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bookmarkStart w:id="0" w:name="_Hlk22928405"/>
      <w:r>
        <w:rPr>
          <w:rFonts w:hint="eastAsia" w:ascii="黑体" w:hAnsi="黑体" w:eastAsia="黑体"/>
          <w:sz w:val="32"/>
          <w:szCs w:val="32"/>
        </w:rPr>
        <w:t>附</w:t>
      </w:r>
      <w:r>
        <w:rPr>
          <w:rFonts w:hint="default" w:ascii="黑体" w:hAnsi="黑体" w:eastAsia="黑体"/>
          <w:sz w:val="32"/>
          <w:szCs w:val="32"/>
        </w:rPr>
        <w:t xml:space="preserve">  </w:t>
      </w:r>
      <w:r>
        <w:rPr>
          <w:rFonts w:hint="eastAsia" w:ascii="黑体" w:hAnsi="黑体" w:eastAsia="黑体"/>
          <w:sz w:val="32"/>
          <w:szCs w:val="32"/>
        </w:rPr>
        <w:t>件</w:t>
      </w:r>
    </w:p>
    <w:p>
      <w:pPr>
        <w:spacing w:line="560" w:lineRule="exact"/>
        <w:jc w:val="left"/>
        <w:rPr>
          <w:rFonts w:hint="eastAsia" w:ascii="黑体" w:hAnsi="黑体" w:eastAsia="黑体"/>
          <w:sz w:val="32"/>
          <w:szCs w:val="32"/>
        </w:rPr>
      </w:pPr>
      <w:r>
        <w:rPr>
          <w:rFonts w:hint="eastAsia" w:ascii="黑体" w:hAnsi="黑体" w:eastAsia="黑体"/>
          <w:sz w:val="32"/>
          <w:szCs w:val="32"/>
        </w:rPr>
        <w:t xml:space="preserve"> </w:t>
      </w:r>
    </w:p>
    <w:p>
      <w:pPr>
        <w:spacing w:line="560" w:lineRule="exact"/>
        <w:jc w:val="center"/>
        <w:rPr>
          <w:rFonts w:ascii="方正小标宋简体" w:hAnsi="Calibri" w:eastAsia="方正小标宋简体" w:cs="Times New Roman"/>
          <w:sz w:val="44"/>
          <w:szCs w:val="44"/>
        </w:rPr>
      </w:pPr>
      <w:r>
        <w:rPr>
          <w:rFonts w:ascii="方正小标宋简体" w:hAnsi="Calibri" w:eastAsia="方正小标宋简体" w:cs="Times New Roman"/>
          <w:sz w:val="44"/>
          <w:szCs w:val="44"/>
        </w:rPr>
        <w:t>深圳市商务局202</w:t>
      </w:r>
      <w:r>
        <w:rPr>
          <w:rFonts w:hint="eastAsia" w:ascii="方正小标宋简体" w:hAnsi="Calibri" w:eastAsia="方正小标宋简体" w:cs="Times New Roman"/>
          <w:sz w:val="44"/>
          <w:szCs w:val="44"/>
          <w:lang w:val="en-US" w:eastAsia="zh-CN"/>
        </w:rPr>
        <w:t>4</w:t>
      </w:r>
      <w:r>
        <w:rPr>
          <w:rFonts w:ascii="方正小标宋简体" w:hAnsi="Calibri" w:eastAsia="方正小标宋简体" w:cs="Times New Roman"/>
          <w:sz w:val="44"/>
          <w:szCs w:val="44"/>
        </w:rPr>
        <w:t>年对外投资合作扶持计划（境外展览重点支持项目资</w:t>
      </w:r>
      <w:bookmarkStart w:id="1" w:name="_GoBack"/>
      <w:bookmarkEnd w:id="1"/>
      <w:r>
        <w:rPr>
          <w:rFonts w:ascii="方正小标宋简体" w:hAnsi="Calibri" w:eastAsia="方正小标宋简体" w:cs="Times New Roman"/>
          <w:sz w:val="44"/>
          <w:szCs w:val="44"/>
        </w:rPr>
        <w:t>助事项）申报指南</w:t>
      </w:r>
    </w:p>
    <w:p>
      <w:pPr>
        <w:spacing w:line="560" w:lineRule="exact"/>
        <w:ind w:firstLine="640" w:firstLineChars="200"/>
        <w:rPr>
          <w:rFonts w:ascii="仿宋_GB2312"/>
          <w:sz w:val="32"/>
          <w:szCs w:val="32"/>
        </w:rPr>
      </w:pPr>
      <w:r>
        <w:rPr>
          <w:rFonts w:ascii="仿宋_GB2312"/>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对境外展览重点支持项目予以资助。境外展览重点支持项目是指列入深圳市商务局202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年境外展览重点支持项目计划的展览项目。支持组展单位组织企业参加境外展览重点支持项目，鼓励重点企业“走出去”，加强深圳优质产品推介。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1.《深圳市关于推动对外投资合作高质量发展的若干措施》（深商务合作字〔2021〕37号）。</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2.《深圳市商务局&lt;关于推动对外投资合作高质量发展的若干措施&gt;实施细则》（深商务规〔2022〕8号）。</w:t>
      </w:r>
    </w:p>
    <w:p>
      <w:pPr>
        <w:autoSpaceDE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《深圳市商务发展专项资金管理办法》（深商务规〔2020〕2号）。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三、支持数量和资助方式</w:t>
      </w:r>
    </w:p>
    <w:p>
      <w:pPr>
        <w:widowControl/>
        <w:shd w:val="clear" w:color="auto" w:fill="FFFFFF"/>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（一）支持数量</w:t>
      </w:r>
    </w:p>
    <w:p>
      <w:pPr>
        <w:bidi w:val="0"/>
        <w:spacing w:line="560" w:lineRule="exact"/>
        <w:rPr>
          <w:rFonts w:hint="eastAsia" w:ascii="等线" w:hAnsi="等线" w:eastAsia="等线" w:cs="Times New Roman"/>
          <w:kern w:val="2"/>
          <w:sz w:val="21"/>
          <w:szCs w:val="22"/>
          <w:lang w:val="en-US" w:eastAsia="zh-CN" w:bidi="ar-SA"/>
        </w:rPr>
      </w:pPr>
    </w:p>
    <w:p>
      <w:pPr>
        <w:tabs>
          <w:tab w:val="left" w:pos="6261"/>
        </w:tabs>
        <w:bidi w:val="0"/>
        <w:spacing w:line="560" w:lineRule="exact"/>
        <w:jc w:val="left"/>
        <w:rPr>
          <w:rFonts w:hint="eastAsia"/>
          <w:lang w:val="en-US" w:eastAsia="zh-CN"/>
        </w:rPr>
      </w:pPr>
      <w:r>
        <w:rPr>
          <w:rFonts w:hint="eastAsia"/>
          <w:lang w:val="en-US" w:eastAsia="zh-CN"/>
        </w:rPr>
        <w:tab/>
      </w:r>
    </w:p>
    <w:p>
      <w:pPr>
        <w:widowControl/>
        <w:shd w:val="clear" w:color="auto" w:fill="FFFFFF"/>
        <w:spacing w:line="560" w:lineRule="exact"/>
        <w:ind w:firstLine="640" w:firstLineChars="200"/>
        <w:rPr>
          <w:rFonts w:ascii="仿宋_GB2312"/>
          <w:sz w:val="32"/>
          <w:szCs w:val="32"/>
        </w:rPr>
      </w:pPr>
      <w:r>
        <w:rPr>
          <w:rFonts w:hint="eastAsia" w:ascii="仿宋_GB2312" w:hAnsi="仿宋_GB2312" w:eastAsia="仿宋_GB2312" w:cs="仿宋_GB2312"/>
          <w:kern w:val="0"/>
          <w:sz w:val="32"/>
          <w:szCs w:val="32"/>
        </w:rPr>
        <w:t>有数量限制，受</w:t>
      </w:r>
      <w:r>
        <w:rPr>
          <w:rFonts w:hint="eastAsia" w:ascii="仿宋_GB2312" w:hAnsi="仿宋_GB2312" w:eastAsia="仿宋_GB2312" w:cs="仿宋_GB2312"/>
          <w:sz w:val="32"/>
          <w:szCs w:val="32"/>
        </w:rPr>
        <w:t>年度资金预算控制，</w:t>
      </w:r>
      <w:r>
        <w:rPr>
          <w:rFonts w:hint="eastAsia" w:ascii="仿宋_GB2312" w:hAnsi="仿宋_GB2312" w:eastAsia="仿宋_GB2312" w:cs="仿宋_GB2312"/>
          <w:kern w:val="0"/>
          <w:sz w:val="32"/>
          <w:szCs w:val="32"/>
        </w:rPr>
        <w:t>视申报情况和预算安排，我局对资助金额、支持比例和拨付进度等进行统一调整，</w:t>
      </w:r>
      <w:r>
        <w:rPr>
          <w:rFonts w:hint="eastAsia" w:ascii="仿宋_GB2312" w:hAnsi="仿宋_GB2312" w:eastAsia="仿宋_GB2312" w:cs="仿宋_GB2312"/>
          <w:sz w:val="32"/>
          <w:szCs w:val="32"/>
        </w:rPr>
        <w:t>资助金额以万元为单位按照舍尾法确定。</w:t>
      </w:r>
      <w:r>
        <w:rPr>
          <w:rFonts w:hint="eastAsia" w:ascii="仿宋_GB2312" w:hAnsi="仿宋_GB2312" w:eastAsia="仿宋_GB2312" w:cs="仿宋_GB2312"/>
          <w:kern w:val="0"/>
          <w:sz w:val="32"/>
          <w:szCs w:val="32"/>
        </w:rPr>
        <w:t>项目申请单位应无条件同意调整结果。</w:t>
      </w:r>
    </w:p>
    <w:p>
      <w:pPr>
        <w:widowControl/>
        <w:shd w:val="clear" w:color="auto" w:fill="FFFFFF"/>
        <w:spacing w:line="560" w:lineRule="exact"/>
        <w:ind w:firstLine="640" w:firstLineChars="200"/>
        <w:rPr>
          <w:rFonts w:ascii="楷体_GB2312" w:hAnsi="楷体_GB2312"/>
          <w:sz w:val="32"/>
          <w:szCs w:val="32"/>
        </w:rPr>
      </w:pPr>
      <w:r>
        <w:rPr>
          <w:rFonts w:hint="eastAsia" w:ascii="楷体_GB2312" w:hAnsi="楷体_GB2312" w:eastAsia="楷体_GB2312" w:cs="楷体_GB2312"/>
          <w:sz w:val="32"/>
          <w:szCs w:val="32"/>
        </w:rPr>
        <w:t>（二）资助方式</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事后资助</w:t>
      </w:r>
      <w:r>
        <w:rPr>
          <w:rFonts w:hint="eastAsia" w:ascii="仿宋_GB2312" w:hAnsi="仿宋_GB2312" w:eastAsia="仿宋_GB2312" w:cs="仿宋_GB2312"/>
          <w:kern w:val="0"/>
          <w:sz w:val="32"/>
          <w:szCs w:val="32"/>
        </w:rPr>
        <w:t>。</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资助拨款按照申报材料中的银行账户信息办理。因申请单位名称变化、账户信息更改或填写错误等原因导致拨款不成功的，原则上予以办理一次拨款信息更改并再次拨款。</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境外展览重点支持项目由组展单位统一申报或由境外展览重点参展企业自行申报。</w:t>
      </w:r>
    </w:p>
    <w:p>
      <w:pPr>
        <w:widowControl/>
        <w:shd w:val="clear" w:color="auto" w:fill="FFFFFF"/>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（三）预算管理</w:t>
      </w:r>
    </w:p>
    <w:p>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经受理审核，符合资助条件的项目纳入市商务发展专项资金预算项目库储备。</w:t>
      </w:r>
    </w:p>
    <w:p>
      <w:pPr>
        <w:widowControl/>
        <w:numPr>
          <w:ilvl w:val="0"/>
          <w:numId w:val="1"/>
        </w:numPr>
        <w:shd w:val="clear" w:color="auto" w:fill="FFFFFF"/>
        <w:spacing w:line="560" w:lineRule="exact"/>
        <w:ind w:firstLine="640" w:firstLineChars="200"/>
        <w:rPr>
          <w:rFonts w:ascii="黑体" w:hAnsi="黑体" w:eastAsia="黑体"/>
          <w:sz w:val="32"/>
          <w:szCs w:val="32"/>
        </w:rPr>
      </w:pPr>
      <w:r>
        <w:rPr>
          <w:rFonts w:hint="eastAsia" w:ascii="黑体" w:hAnsi="黑体" w:eastAsia="黑体"/>
          <w:sz w:val="32"/>
          <w:szCs w:val="32"/>
        </w:rPr>
        <w:t>申报条件</w:t>
      </w:r>
    </w:p>
    <w:p>
      <w:pPr>
        <w:widowControl/>
        <w:shd w:val="clear" w:color="auto" w:fill="FFFFFF"/>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申报主体为在深圳市（含深汕特别合作区）依法登记、具有独立法人资格的企业和社会组织</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申报主体未被国家、省、市有关部门列入严重失信主体名单实施失信惩戒，明确限制申请财政性资金项目，且在限制期内</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申报主体应当对申报材料的真实性、合法性、完整性负责，应如实提供本单位信用状况，承诺承担违约责任，不得弄虚作假、套取、骗取专项资金</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4.申报主体不得以同一事项重复或多头申报市级专项资金。</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（二）专项条件</w:t>
      </w:r>
    </w:p>
    <w:p>
      <w:pPr>
        <w:pStyle w:val="7"/>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1.境外展览重点支持项目资助申请的申报单位为已列入《深圳市商务局202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年境外展览重点支持项目计划》并实施相应组展项目的组展单位，及参加《深圳市商务局202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年境外展览重点支持项目计划》所列线下展会的境外展览重点参展企业。</w:t>
      </w:r>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2.每个组展单位申请的项目数量不超过4个；每个线下展项目实际组展规模不少于20个标准展位（每个标准展位面积以项目主办方签署合同为准）或180平方米，组团参展企业不少于10家。</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.组展单位对组织参加境外展览安全承担主体责任，高度重视知识产权工作。</w:t>
      </w:r>
    </w:p>
    <w:p>
      <w:pPr>
        <w:widowControl/>
        <w:shd w:val="clear" w:color="auto" w:fill="FFFFFF"/>
        <w:spacing w:line="560" w:lineRule="exact"/>
        <w:ind w:firstLine="642" w:firstLineChars="200"/>
        <w:rPr>
          <w:rFonts w:hint="eastAsia" w:ascii="仿宋_GB2312" w:hAnsi="仿宋_GB2312" w:eastAsia="仿宋_GB2312" w:cs="仿宋_GB2312"/>
          <w:b/>
          <w:bCs/>
          <w:sz w:val="32"/>
          <w:szCs w:val="32"/>
        </w:rPr>
      </w:pPr>
      <w:r>
        <w:rPr>
          <w:rFonts w:hint="default" w:ascii="仿宋_GB2312" w:hAnsi="仿宋_GB2312" w:eastAsia="仿宋_GB2312" w:cs="仿宋_GB2312"/>
          <w:b/>
          <w:bCs/>
          <w:sz w:val="32"/>
          <w:szCs w:val="32"/>
        </w:rPr>
        <w:t>4</w:t>
      </w:r>
      <w:r>
        <w:rPr>
          <w:rFonts w:hint="eastAsia" w:ascii="仿宋_GB2312" w:hAnsi="仿宋_GB2312" w:eastAsia="仿宋_GB2312" w:cs="仿宋_GB2312"/>
          <w:b/>
          <w:bCs/>
          <w:sz w:val="32"/>
          <w:szCs w:val="32"/>
        </w:rPr>
        <w:t>.企业参展取得积极成效并获取订单，每家参展企业均提交《展会成效一览表》。</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.境外展览项目应当在202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7</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日期间完成，已支付费用并取得相关单据资料和银行出具的支付凭证。</w:t>
      </w:r>
    </w:p>
    <w:p>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.申报项目主体须与相关费用单据资料、支付凭证和合同协议等申请材料信息相一致。</w:t>
      </w:r>
    </w:p>
    <w:p>
      <w:pPr>
        <w:pStyle w:val="7"/>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7</w:t>
      </w:r>
      <w:r>
        <w:rPr>
          <w:rFonts w:hint="eastAsia" w:ascii="仿宋_GB2312" w:hAnsi="仿宋_GB2312" w:eastAsia="仿宋_GB2312" w:cs="仿宋_GB2312"/>
          <w:sz w:val="32"/>
          <w:szCs w:val="32"/>
        </w:rPr>
        <w:t>.资助费用仅支持申请单位对公账户支付，不支持现金、个人和关联公司等支付方式。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五、支持内容和支持标准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组展单位组织企业参加境外展览重点项目给予展位费和承办费资助，对境外展览重点参展企业给予展位费资助。每个境外展览重点支持项目组展单位申报资金的资助上限不超过200万元。每个境外展览重点参展企业参加一次展会获资金资助上限不超过50万元，合计不超过200万元；不纳入单个境外展览重点支持项目资金资助上限不超过200万元的统筹中。具体如下：</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（一）展位费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心展位费：中心展位是指用于深圳市城市整体形象和产业发展成果展示，及为参展企业提供公共洽谈区域和其他公共服务的展位，由组展单位搭建管理。全额资助中心展位费，每次展览最多2个，总金额不超过10万元。其中，申报的组展计划总展位在50个及以下的，资助1个中心展位的展位费；总展位在51个及以上的，资助2个中心展位的展位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在境外展览重点支持项目计划申报材料中未填报中心展位计划的不可申请该项资助。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2.企业展位费：给予每个企业不超过50％的展位费资助，按照每个标准展位给予资助，每个企业最多资助2个展位。</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（二）承办费</w:t>
      </w:r>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对于组展单位组织企业参加境外展览的承办费用给予资助，金额最高为20万元。实际组展总展位在50个及以下的，每次资助承办费10万元；5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个以上展位的，资助承办费20万元。</w:t>
      </w:r>
    </w:p>
    <w:p>
      <w:pPr>
        <w:pStyle w:val="7"/>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（三）重点参展企业展位费</w:t>
      </w:r>
    </w:p>
    <w:p>
      <w:pPr>
        <w:pStyle w:val="7"/>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对境外展览重点参展企业线下参加202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年境外展览重点支持项目所发生的展位费给予50%的资助。每家境外展览重点参展企业参加一次展会所获资金资助上限为50万元，合计不超过200万元。</w:t>
      </w:r>
    </w:p>
    <w:p>
      <w:pPr>
        <w:spacing w:line="560" w:lineRule="exact"/>
        <w:ind w:firstLine="640" w:firstLineChars="200"/>
        <w:rPr>
          <w:rFonts w:ascii="仿宋_GB2312"/>
          <w:sz w:val="32"/>
          <w:szCs w:val="32"/>
        </w:rPr>
      </w:pPr>
      <w:r>
        <w:rPr>
          <w:rFonts w:hint="eastAsia" w:ascii="黑体" w:hAnsi="黑体" w:eastAsia="黑体"/>
          <w:sz w:val="32"/>
          <w:szCs w:val="32"/>
        </w:rPr>
        <w:t>六、申请材料</w:t>
      </w:r>
    </w:p>
    <w:p>
      <w:pPr>
        <w:spacing w:line="56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（一）基础材料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登录广东政务服务网（http://www.gdzwfw.gov.cn/）—深圳市—市商务局—搜索</w:t>
      </w:r>
      <w:r>
        <w:rPr>
          <w:rFonts w:hint="eastAsia" w:ascii="仿宋_GB2312" w:eastAsia="仿宋_GB2312"/>
          <w:sz w:val="32"/>
          <w:szCs w:val="32"/>
          <w:highlight w:val="none"/>
        </w:rPr>
        <w:t>境外展览重点支持项目</w:t>
      </w:r>
      <w:r>
        <w:rPr>
          <w:rFonts w:hint="default" w:ascii="仿宋_GB2312" w:eastAsia="仿宋_GB2312"/>
          <w:sz w:val="32"/>
          <w:szCs w:val="32"/>
          <w:highlight w:val="none"/>
        </w:rPr>
        <w:t>资助事项</w:t>
      </w:r>
      <w:r>
        <w:rPr>
          <w:rFonts w:hint="eastAsia" w:ascii="仿宋_GB2312" w:hAnsi="仿宋_GB2312" w:eastAsia="仿宋_GB2312" w:cs="仿宋_GB2312"/>
          <w:sz w:val="32"/>
          <w:szCs w:val="32"/>
        </w:rPr>
        <w:t>，在线填报申请书，提供通过该系统打印的申请书纸质文件原件。</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1.展位费发票或单据复印件（验原件收复印件）；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2.招展通知、展位确认合同、各企业与组展单位签署的展位合同协议或展位申请表；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3.支付凭证复印件（验原件收复印件）；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4.承办费单据（重点参展企业无需提供）；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5.展会相关照片（A4纸彩色打印，并注明照片内容，包括但不限于展前培训、中心展位、企业展位、参展人员及展品等照片）；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6.展会绩效总结报告，内容包括但不限于：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（1）展览项目的总体情况，如规模、影响力、知名度和国际参与度，是否有利于深度拓展传统市场、开拓新兴市场以及推动产业发展；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（2）参展企业组织情况，包括企业清单、参展企业构成、名优企业比例、企业展品是否具有自主知识产权；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（3）参展企业接待专业观众和客商的数量和质量，收集客户信息情况；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（4）参展企业现场签订投资贸易和经济合作项目情况，意向协议统计情况和后续跟踪落实情况，</w:t>
      </w:r>
      <w:r>
        <w:rPr>
          <w:rFonts w:hint="eastAsia" w:ascii="仿宋_GB2312" w:hAnsi="仿宋_GB2312" w:eastAsia="仿宋_GB2312" w:cs="仿宋_GB2312"/>
          <w:b/>
          <w:bCs/>
          <w:sz w:val="32"/>
          <w:szCs w:val="32"/>
        </w:rPr>
        <w:t>每家参展企业均提交《展会成效一览表》</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（5）深圳展团整体宣传效果和产品展示成果；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（6）组展单位的组织管理工作情况和服务工作质量，包括展前培训、涉外安全教育和知识产权工作情况（重点参展企业无需提供）；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（7）申报组展计划执行情况、存在问题和改进措施（重点参展企业无需提供）；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（8）企业对组展单位的评价（重点参展企业无需提供）。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均需加盖申报单位公章，多页的还需加盖骑缝公章；涉及外文的，需提供中文翻译件；一式两份，A4纸正反面打印/复印，非空白页（含封面）需连续编写页码，装订成册（胶装）。外币单据材料折算人民币注明。</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七、申请表格</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本指南第六条（一）规定登录广东政务服务网在线填报申请书，网址：</w:t>
      </w:r>
      <w:r>
        <w:rPr>
          <w:rFonts w:hint="eastAsia" w:ascii="仿宋_GB2312" w:hAnsi="仿宋_GB2312" w:eastAsia="仿宋_GB2312" w:cs="仿宋_GB2312"/>
          <w:sz w:val="32"/>
          <w:szCs w:val="32"/>
          <w:u w:val="single"/>
        </w:rPr>
        <w:t>http://www.gdzwfw.gov.cn/</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八、申请受理机关</w:t>
      </w:r>
    </w:p>
    <w:p>
      <w:pPr>
        <w:widowControl/>
        <w:shd w:val="clear" w:color="auto" w:fill="FFFFFF"/>
        <w:adjustRightInd w:val="0"/>
        <w:snapToGrid w:val="0"/>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（一）受理机关：</w:t>
      </w:r>
      <w:r>
        <w:rPr>
          <w:rFonts w:hint="eastAsia" w:ascii="仿宋_GB2312" w:hAnsi="仿宋_GB2312" w:eastAsia="仿宋_GB2312" w:cs="仿宋_GB2312"/>
          <w:kern w:val="0"/>
          <w:sz w:val="32"/>
          <w:szCs w:val="32"/>
        </w:rPr>
        <w:t>深圳市商务局。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1.网络填报时间：202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日9:00—202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17</w:t>
      </w:r>
      <w:r>
        <w:rPr>
          <w:rFonts w:hint="eastAsia" w:ascii="仿宋_GB2312" w:hAnsi="仿宋_GB2312" w:eastAsia="仿宋_GB2312" w:cs="仿宋_GB2312"/>
          <w:sz w:val="32"/>
          <w:szCs w:val="32"/>
        </w:rPr>
        <w:t>日1</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560" w:lineRule="exact"/>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2.纸质材料提交时间：202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日9:00—202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23</w:t>
      </w:r>
      <w:r>
        <w:rPr>
          <w:rFonts w:hint="eastAsia" w:ascii="仿宋_GB2312" w:hAnsi="仿宋_GB2312" w:eastAsia="仿宋_GB2312" w:cs="仿宋_GB2312"/>
          <w:sz w:val="32"/>
          <w:szCs w:val="32"/>
        </w:rPr>
        <w:t>日1</w:t>
      </w:r>
      <w:r>
        <w:rPr>
          <w:rFonts w:hint="default"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00</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（三）受理地点：</w:t>
      </w:r>
      <w:r>
        <w:rPr>
          <w:rFonts w:hint="eastAsia" w:ascii="仿宋_GB2312" w:hAnsi="仿宋_GB2312" w:eastAsia="仿宋_GB2312" w:cs="仿宋_GB2312"/>
          <w:color w:val="000000"/>
          <w:kern w:val="0"/>
          <w:sz w:val="32"/>
          <w:szCs w:val="32"/>
          <w:shd w:val="clear" w:color="auto" w:fill="FFFFFF"/>
          <w:lang w:val="en-US" w:eastAsia="zh-CN" w:bidi="ar-SA"/>
        </w:rPr>
        <w:t>深圳市福田区福中三路市民中心B区深圳市政务服务中心西厅（预约指南：“</w:t>
      </w:r>
      <w:r>
        <w:rPr>
          <w:rFonts w:hint="default" w:ascii="仿宋_GB2312" w:hAnsi="仿宋_GB2312" w:eastAsia="仿宋_GB2312" w:cs="仿宋_GB2312"/>
          <w:color w:val="000000"/>
          <w:kern w:val="0"/>
          <w:sz w:val="32"/>
          <w:szCs w:val="32"/>
          <w:shd w:val="clear" w:color="auto" w:fill="FFFFFF"/>
          <w:lang w:eastAsia="zh-CN" w:bidi="ar-SA"/>
        </w:rPr>
        <w:t>掌上政务</w:t>
      </w:r>
      <w:r>
        <w:rPr>
          <w:rFonts w:hint="eastAsia" w:ascii="仿宋_GB2312" w:hAnsi="仿宋_GB2312" w:eastAsia="仿宋_GB2312" w:cs="仿宋_GB2312"/>
          <w:color w:val="000000"/>
          <w:kern w:val="0"/>
          <w:sz w:val="32"/>
          <w:szCs w:val="32"/>
          <w:shd w:val="clear" w:color="auto" w:fill="FFFFFF"/>
          <w:lang w:val="en-US" w:eastAsia="zh-CN" w:bidi="ar-SA"/>
        </w:rPr>
        <w:t>”APP</w:t>
      </w:r>
      <w:r>
        <w:rPr>
          <w:rFonts w:hint="default" w:ascii="仿宋_GB2312" w:hAnsi="仿宋_GB2312" w:eastAsia="仿宋_GB2312" w:cs="仿宋_GB2312"/>
          <w:color w:val="000000"/>
          <w:kern w:val="0"/>
          <w:sz w:val="32"/>
          <w:szCs w:val="32"/>
          <w:shd w:val="clear" w:color="auto" w:fill="FFFFFF"/>
          <w:lang w:eastAsia="zh-CN" w:bidi="ar-SA"/>
        </w:rPr>
        <w:t>，</w:t>
      </w:r>
      <w:r>
        <w:rPr>
          <w:rFonts w:hint="eastAsia" w:ascii="仿宋_GB2312" w:hAnsi="仿宋_GB2312" w:eastAsia="仿宋_GB2312" w:cs="仿宋_GB2312"/>
          <w:color w:val="000000"/>
          <w:kern w:val="0"/>
          <w:sz w:val="32"/>
          <w:szCs w:val="32"/>
          <w:shd w:val="clear" w:color="auto" w:fill="FFFFFF"/>
          <w:lang w:val="en-US" w:eastAsia="zh-CN" w:bidi="ar-SA"/>
        </w:rPr>
        <w:t>操作流程：【预约</w:t>
      </w:r>
      <w:r>
        <w:rPr>
          <w:rFonts w:hint="default" w:ascii="仿宋_GB2312" w:hAnsi="仿宋_GB2312" w:eastAsia="仿宋_GB2312" w:cs="仿宋_GB2312"/>
          <w:color w:val="000000"/>
          <w:kern w:val="0"/>
          <w:sz w:val="32"/>
          <w:szCs w:val="32"/>
          <w:shd w:val="clear" w:color="auto" w:fill="FFFFFF"/>
          <w:lang w:eastAsia="zh-CN" w:bidi="ar-SA"/>
        </w:rPr>
        <w:t>中心</w:t>
      </w:r>
      <w:r>
        <w:rPr>
          <w:rFonts w:hint="eastAsia" w:ascii="仿宋_GB2312" w:hAnsi="仿宋_GB2312" w:eastAsia="仿宋_GB2312" w:cs="仿宋_GB2312"/>
          <w:color w:val="000000"/>
          <w:kern w:val="0"/>
          <w:sz w:val="32"/>
          <w:szCs w:val="32"/>
          <w:shd w:val="clear" w:color="auto" w:fill="FFFFFF"/>
          <w:lang w:val="en-US" w:eastAsia="zh-CN" w:bidi="ar-SA"/>
        </w:rPr>
        <w:t>】—【深圳市政务服务中心西厅】）。</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（四）咨询电话：0755-83165355</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kern w:val="0"/>
          <w:sz w:val="32"/>
          <w:szCs w:val="32"/>
        </w:rPr>
        <w:t>8810</w:t>
      </w:r>
      <w:r>
        <w:rPr>
          <w:rFonts w:hint="eastAsia" w:ascii="仿宋_GB2312" w:hAnsi="仿宋_GB2312" w:eastAsia="仿宋_GB2312" w:cs="仿宋_GB2312"/>
          <w:kern w:val="0"/>
          <w:sz w:val="32"/>
          <w:szCs w:val="32"/>
          <w:lang w:val="en-US" w:eastAsia="zh-CN"/>
        </w:rPr>
        <w:t>7015</w:t>
      </w:r>
      <w:r>
        <w:rPr>
          <w:rFonts w:hint="eastAsia" w:ascii="仿宋_GB2312" w:hAnsi="仿宋_GB2312" w:eastAsia="仿宋_GB2312" w:cs="仿宋_GB2312"/>
          <w:kern w:val="0"/>
          <w:sz w:val="32"/>
          <w:szCs w:val="32"/>
        </w:rPr>
        <w:t>；系统技术服务电话：</w:t>
      </w:r>
      <w:r>
        <w:rPr>
          <w:rFonts w:hint="eastAsia" w:ascii="仿宋_GB2312" w:hAnsi="仿宋_GB2312" w:eastAsia="仿宋_GB2312" w:cs="仿宋_GB2312"/>
          <w:kern w:val="0"/>
          <w:sz w:val="32"/>
          <w:szCs w:val="32"/>
          <w:highlight w:val="none"/>
        </w:rPr>
        <w:t>0755-88102445</w:t>
      </w:r>
      <w:r>
        <w:rPr>
          <w:rFonts w:hint="eastAsia" w:ascii="仿宋_GB2312" w:hAnsi="仿宋_GB2312" w:eastAsia="仿宋_GB2312" w:cs="仿宋_GB2312"/>
          <w:sz w:val="32"/>
          <w:szCs w:val="32"/>
        </w:rPr>
        <w:t>。</w:t>
      </w:r>
    </w:p>
    <w:p>
      <w:pPr>
        <w:widowControl/>
        <w:shd w:val="clear" w:color="auto" w:fill="FFFFFF"/>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九、申请决定机关</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深圳市商务局。</w:t>
      </w:r>
    </w:p>
    <w:p>
      <w:pPr>
        <w:widowControl/>
        <w:shd w:val="clear" w:color="auto" w:fill="FFFFFF"/>
        <w:adjustRightInd w:val="0"/>
        <w:snapToGri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十、办理流程</w:t>
      </w:r>
    </w:p>
    <w:p>
      <w:pPr>
        <w:adjustRightInd w:val="0"/>
        <w:snapToGrid w:val="0"/>
        <w:spacing w:line="560" w:lineRule="exact"/>
        <w:ind w:firstLine="640" w:firstLineChars="200"/>
        <w:rPr>
          <w:rFonts w:hint="eastAsia" w:ascii="仿宋_GB2312" w:hAnsi="宋体"/>
          <w:sz w:val="32"/>
          <w:szCs w:val="32"/>
        </w:rPr>
      </w:pPr>
      <w:r>
        <w:rPr>
          <w:rFonts w:hint="eastAsia" w:ascii="仿宋_GB2312" w:hAnsi="仿宋_GB2312" w:eastAsia="仿宋_GB2312" w:cs="仿宋_GB2312"/>
          <w:sz w:val="32"/>
          <w:szCs w:val="32"/>
        </w:rPr>
        <w:t>发布申报指南——申报单位网上申报——初审——申报单位向市行政服务大厅收文窗口提交申请材料——形式审查——资质审查——专项审计——征求相关单位意见（根据需要核查比对：资质情况、统计数据，是否存在重复资助情形、有无重大违法违规行为、是否被列入失信联合惩戒名单等情况）——根据年度资金安排</w:t>
      </w:r>
      <w:r>
        <w:rPr>
          <w:rFonts w:hint="eastAsia" w:ascii="仿宋_GB2312" w:hAnsi="仿宋_GB2312" w:eastAsia="仿宋_GB2312" w:cs="仿宋_GB2312"/>
          <w:kern w:val="0"/>
          <w:sz w:val="32"/>
          <w:szCs w:val="32"/>
        </w:rPr>
        <w:t>核定资助计划</w:t>
      </w:r>
      <w:r>
        <w:rPr>
          <w:rFonts w:hint="eastAsia" w:ascii="仿宋_GB2312" w:hAnsi="仿宋_GB2312" w:eastAsia="仿宋_GB2312" w:cs="仿宋_GB2312"/>
          <w:sz w:val="32"/>
          <w:szCs w:val="32"/>
        </w:rPr>
        <w:t>——社会公示——申报单位办理拨款手续——拨付资金。</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十一、办理时限</w:t>
      </w:r>
    </w:p>
    <w:p>
      <w:pPr>
        <w:widowControl/>
        <w:adjustRightInd w:val="0"/>
        <w:snapToGrid w:val="0"/>
        <w:spacing w:line="560" w:lineRule="exact"/>
        <w:ind w:firstLine="640" w:firstLineChars="200"/>
        <w:rPr>
          <w:rFonts w:hint="eastAsia" w:ascii="仿宋_GB2312" w:hAnsi="宋体"/>
          <w:sz w:val="32"/>
          <w:szCs w:val="32"/>
        </w:rPr>
      </w:pPr>
      <w:r>
        <w:rPr>
          <w:rFonts w:hint="eastAsia" w:ascii="仿宋_GB2312" w:hAnsi="仿宋_GB2312" w:eastAsia="仿宋_GB2312" w:cs="仿宋_GB2312"/>
          <w:sz w:val="32"/>
          <w:szCs w:val="32"/>
        </w:rPr>
        <w:t>180个工作日。</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十二、证件及有效期限</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证件：无 </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有效期限：无</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十三、证件的法律效力</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十四、收费</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widowControl/>
        <w:shd w:val="clear" w:color="auto" w:fill="FFFFFF"/>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十五、年审或年检</w:t>
      </w:r>
    </w:p>
    <w:p>
      <w:pPr>
        <w:widowControl/>
        <w:shd w:val="clear" w:color="auto" w:fill="FFFFFF"/>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numPr>
          <w:ilvl w:val="0"/>
          <w:numId w:val="2"/>
        </w:numPr>
        <w:spacing w:line="560" w:lineRule="exact"/>
        <w:ind w:firstLine="640" w:firstLineChars="200"/>
        <w:rPr>
          <w:rFonts w:ascii="黑体" w:hAnsi="黑体" w:eastAsia="黑体"/>
          <w:sz w:val="32"/>
          <w:szCs w:val="32"/>
        </w:rPr>
      </w:pPr>
      <w:r>
        <w:rPr>
          <w:rFonts w:hint="eastAsia" w:ascii="黑体" w:hAnsi="黑体" w:eastAsia="黑体"/>
          <w:sz w:val="32"/>
          <w:szCs w:val="32"/>
        </w:rPr>
        <w:t>补充说明</w:t>
      </w:r>
    </w:p>
    <w:p>
      <w:pPr>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（一）已经获得同类奖励的项目不得重复申报，经核实属重复申报或多头申报的项目，将取消该单位的申报资格并追究责任。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局从未委托任何单位和个人为申报单位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附件：展会成效一览表（展会名称）</w:t>
      </w:r>
    </w:p>
    <w:p>
      <w:pPr>
        <w:rPr>
          <w:rFonts w:hint="eastAsia" w:ascii="黑体" w:hAnsi="黑体" w:eastAsia="黑体"/>
          <w:sz w:val="32"/>
          <w:szCs w:val="32"/>
        </w:rPr>
      </w:pPr>
      <w:r>
        <w:rPr>
          <w:rFonts w:hint="eastAsia" w:ascii="仿宋_GB2312" w:hAnsi="仿宋_GB2312" w:eastAsia="仿宋_GB2312" w:cs="仿宋_GB2312"/>
        </w:rPr>
        <w:br w:type="page"/>
      </w:r>
      <w:r>
        <w:rPr>
          <w:rFonts w:hint="eastAsia" w:ascii="黑体" w:hAnsi="黑体" w:eastAsia="黑体"/>
          <w:sz w:val="32"/>
          <w:szCs w:val="32"/>
        </w:rPr>
        <w:t>附件</w:t>
      </w:r>
    </w:p>
    <w:p>
      <w:pPr>
        <w:pStyle w:val="3"/>
        <w:jc w:val="center"/>
        <w:rPr>
          <w:rFonts w:hint="eastAsia"/>
          <w:b/>
          <w:bCs/>
          <w:sz w:val="42"/>
          <w:szCs w:val="42"/>
        </w:rPr>
      </w:pPr>
    </w:p>
    <w:p>
      <w:pPr>
        <w:pStyle w:val="3"/>
        <w:jc w:val="center"/>
        <w:rPr>
          <w:rFonts w:hint="eastAsia" w:ascii="宋体" w:hAnsi="宋体"/>
          <w:kern w:val="0"/>
          <w:sz w:val="24"/>
          <w:szCs w:val="24"/>
        </w:rPr>
      </w:pPr>
      <w:r>
        <w:rPr>
          <w:rFonts w:hint="eastAsia"/>
          <w:b/>
          <w:bCs/>
          <w:sz w:val="42"/>
          <w:szCs w:val="42"/>
        </w:rPr>
        <w:t>展会成效一览</w:t>
      </w:r>
      <w:r>
        <w:rPr>
          <w:rFonts w:hint="eastAsia" w:cs="宋体"/>
          <w:b/>
          <w:bCs/>
          <w:sz w:val="42"/>
          <w:szCs w:val="42"/>
        </w:rPr>
        <w:t>表</w:t>
      </w:r>
      <w:r>
        <w:rPr>
          <w:rFonts w:hint="eastAsia"/>
          <w:b/>
          <w:bCs/>
          <w:sz w:val="42"/>
          <w:szCs w:val="42"/>
        </w:rPr>
        <w:t>（展会名称）</w:t>
      </w:r>
    </w:p>
    <w:tbl>
      <w:tblPr>
        <w:tblStyle w:val="9"/>
        <w:tblW w:w="5349" w:type="pct"/>
        <w:jc w:val="center"/>
        <w:tblLayout w:type="fixed"/>
        <w:tblCellMar>
          <w:top w:w="0" w:type="dxa"/>
          <w:left w:w="108" w:type="dxa"/>
          <w:bottom w:w="0" w:type="dxa"/>
          <w:right w:w="108" w:type="dxa"/>
        </w:tblCellMar>
      </w:tblPr>
      <w:tblGrid>
        <w:gridCol w:w="2578"/>
        <w:gridCol w:w="771"/>
        <w:gridCol w:w="1901"/>
        <w:gridCol w:w="1108"/>
        <w:gridCol w:w="2113"/>
        <w:gridCol w:w="1344"/>
      </w:tblGrid>
      <w:tr>
        <w:tblPrEx>
          <w:tblCellMar>
            <w:top w:w="0" w:type="dxa"/>
            <w:left w:w="108" w:type="dxa"/>
            <w:bottom w:w="0" w:type="dxa"/>
            <w:right w:w="108" w:type="dxa"/>
          </w:tblCellMar>
        </w:tblPrEx>
        <w:trPr>
          <w:trHeight w:val="633" w:hRule="atLeast"/>
          <w:jc w:val="center"/>
        </w:trPr>
        <w:tc>
          <w:tcPr>
            <w:tcW w:w="9815" w:type="dxa"/>
            <w:gridSpan w:val="6"/>
            <w:tcBorders>
              <w:top w:val="nil"/>
              <w:left w:val="nil"/>
              <w:bottom w:val="nil"/>
              <w:right w:val="nil"/>
            </w:tcBorders>
            <w:noWrap/>
            <w:vAlign w:val="center"/>
          </w:tcPr>
          <w:p>
            <w:pPr>
              <w:widowControl/>
              <w:jc w:val="left"/>
              <w:textAlignment w:val="center"/>
              <w:rPr>
                <w:rFonts w:hint="eastAsia" w:ascii="宋体" w:hAnsi="宋体" w:eastAsia="宋体"/>
                <w:sz w:val="24"/>
                <w:szCs w:val="24"/>
              </w:rPr>
            </w:pPr>
            <w:r>
              <w:rPr>
                <w:rFonts w:hint="eastAsia" w:ascii="宋体" w:hAnsi="宋体" w:eastAsia="宋体"/>
                <w:sz w:val="24"/>
                <w:szCs w:val="24"/>
              </w:rPr>
              <w:t>单位名称：xx公司（加盖公章）</w:t>
            </w:r>
          </w:p>
        </w:tc>
      </w:tr>
      <w:tr>
        <w:tblPrEx>
          <w:tblCellMar>
            <w:top w:w="0" w:type="dxa"/>
            <w:left w:w="108" w:type="dxa"/>
            <w:bottom w:w="0" w:type="dxa"/>
            <w:right w:w="108" w:type="dxa"/>
          </w:tblCellMar>
        </w:tblPrEx>
        <w:trPr>
          <w:trHeight w:val="733" w:hRule="atLeast"/>
          <w:jc w:val="center"/>
        </w:trPr>
        <w:tc>
          <w:tcPr>
            <w:tcW w:w="981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b/>
                <w:bCs/>
                <w:color w:val="000000"/>
                <w:sz w:val="24"/>
                <w:szCs w:val="24"/>
              </w:rPr>
            </w:pPr>
            <w:r>
              <w:rPr>
                <w:rFonts w:hint="eastAsia" w:ascii="宋体" w:hAnsi="宋体" w:eastAsia="宋体"/>
                <w:b/>
                <w:bCs/>
                <w:color w:val="000000"/>
                <w:kern w:val="0"/>
                <w:sz w:val="24"/>
                <w:szCs w:val="24"/>
              </w:rPr>
              <w:t>参展情况</w:t>
            </w:r>
          </w:p>
        </w:tc>
      </w:tr>
      <w:tr>
        <w:tblPrEx>
          <w:tblCellMar>
            <w:top w:w="0" w:type="dxa"/>
            <w:left w:w="108" w:type="dxa"/>
            <w:bottom w:w="0" w:type="dxa"/>
            <w:right w:w="108" w:type="dxa"/>
          </w:tblCellMar>
        </w:tblPrEx>
        <w:trPr>
          <w:trHeight w:val="942" w:hRule="atLeast"/>
          <w:jc w:val="center"/>
        </w:trPr>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sz w:val="24"/>
                <w:szCs w:val="24"/>
              </w:rPr>
            </w:pPr>
            <w:r>
              <w:rPr>
                <w:rFonts w:hint="eastAsia" w:ascii="宋体" w:hAnsi="宋体" w:eastAsia="宋体"/>
                <w:kern w:val="0"/>
                <w:sz w:val="24"/>
                <w:szCs w:val="24"/>
              </w:rPr>
              <w:t>展会时间</w:t>
            </w:r>
          </w:p>
        </w:tc>
        <w:tc>
          <w:tcPr>
            <w:tcW w:w="3759" w:type="dxa"/>
            <w:gridSpan w:val="3"/>
            <w:tcBorders>
              <w:top w:val="single" w:color="000000" w:sz="4" w:space="0"/>
              <w:left w:val="nil"/>
              <w:bottom w:val="single" w:color="000000" w:sz="4" w:space="0"/>
              <w:right w:val="single" w:color="000000" w:sz="4" w:space="0"/>
            </w:tcBorders>
            <w:noWrap/>
            <w:vAlign w:val="center"/>
          </w:tcPr>
          <w:p>
            <w:pPr>
              <w:widowControl/>
              <w:jc w:val="left"/>
              <w:textAlignment w:val="center"/>
              <w:rPr>
                <w:rStyle w:val="11"/>
                <w:sz w:val="24"/>
                <w:szCs w:val="24"/>
              </w:rPr>
            </w:pPr>
            <w:r>
              <w:rPr>
                <w:rFonts w:hint="eastAsia" w:ascii="宋体" w:hAnsi="宋体" w:eastAsia="宋体"/>
                <w:kern w:val="0"/>
                <w:sz w:val="24"/>
                <w:szCs w:val="24"/>
              </w:rPr>
              <w:t xml:space="preserve">  年  月  日</w:t>
            </w:r>
            <w:r>
              <w:rPr>
                <w:rStyle w:val="11"/>
                <w:rFonts w:hint="default"/>
                <w:sz w:val="24"/>
                <w:szCs w:val="24"/>
              </w:rPr>
              <w:t xml:space="preserve">至  </w:t>
            </w:r>
            <w:r>
              <w:rPr>
                <w:rFonts w:hint="eastAsia" w:ascii="宋体" w:hAnsi="宋体" w:eastAsia="宋体"/>
                <w:kern w:val="0"/>
                <w:sz w:val="24"/>
                <w:szCs w:val="24"/>
              </w:rPr>
              <w:t>年  月  日，</w:t>
            </w:r>
            <w:r>
              <w:rPr>
                <w:rStyle w:val="11"/>
                <w:rFonts w:hint="default"/>
                <w:sz w:val="24"/>
                <w:szCs w:val="24"/>
              </w:rPr>
              <w:t>共</w:t>
            </w:r>
          </w:p>
          <w:p>
            <w:pPr>
              <w:widowControl/>
              <w:jc w:val="left"/>
              <w:textAlignment w:val="center"/>
            </w:pPr>
            <w:r>
              <w:rPr>
                <w:rFonts w:hint="eastAsia" w:ascii="宋体" w:hAnsi="宋体" w:eastAsia="宋体"/>
                <w:kern w:val="0"/>
                <w:sz w:val="24"/>
                <w:szCs w:val="24"/>
              </w:rPr>
              <w:t> </w:t>
            </w:r>
            <w:r>
              <w:rPr>
                <w:rStyle w:val="12"/>
                <w:rFonts w:hint="default"/>
                <w:sz w:val="24"/>
                <w:szCs w:val="24"/>
              </w:rPr>
              <w:t xml:space="preserve">     </w:t>
            </w:r>
            <w:r>
              <w:rPr>
                <w:rStyle w:val="11"/>
                <w:rFonts w:hint="default"/>
                <w:sz w:val="24"/>
                <w:szCs w:val="24"/>
              </w:rPr>
              <w:t xml:space="preserve"> 天</w:t>
            </w:r>
          </w:p>
        </w:tc>
        <w:tc>
          <w:tcPr>
            <w:tcW w:w="2122" w:type="dxa"/>
            <w:tcBorders>
              <w:top w:val="single" w:color="000000" w:sz="4" w:space="0"/>
              <w:left w:val="nil"/>
              <w:bottom w:val="single" w:color="000000" w:sz="4" w:space="0"/>
              <w:right w:val="nil"/>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color w:val="000000"/>
                <w:kern w:val="0"/>
                <w:sz w:val="24"/>
                <w:szCs w:val="24"/>
              </w:rPr>
              <w:t>展览所在国</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olor w:val="000000"/>
                <w:sz w:val="24"/>
                <w:szCs w:val="24"/>
              </w:rPr>
            </w:pPr>
          </w:p>
        </w:tc>
      </w:tr>
      <w:tr>
        <w:tblPrEx>
          <w:tblCellMar>
            <w:top w:w="0" w:type="dxa"/>
            <w:left w:w="108" w:type="dxa"/>
            <w:bottom w:w="0" w:type="dxa"/>
            <w:right w:w="108" w:type="dxa"/>
          </w:tblCellMar>
        </w:tblPrEx>
        <w:trPr>
          <w:trHeight w:val="942" w:hRule="atLeast"/>
          <w:jc w:val="center"/>
        </w:trPr>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color w:val="000000"/>
                <w:kern w:val="0"/>
                <w:sz w:val="24"/>
                <w:szCs w:val="24"/>
              </w:rPr>
              <w:t>接待专业观众数量</w:t>
            </w:r>
          </w:p>
        </w:tc>
        <w:tc>
          <w:tcPr>
            <w:tcW w:w="3759" w:type="dxa"/>
            <w:gridSpan w:val="3"/>
            <w:tcBorders>
              <w:top w:val="single" w:color="000000" w:sz="4" w:space="0"/>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kern w:val="0"/>
                <w:sz w:val="24"/>
                <w:szCs w:val="24"/>
              </w:rPr>
              <w:t> </w:t>
            </w:r>
            <w:r>
              <w:rPr>
                <w:rStyle w:val="12"/>
                <w:rFonts w:hint="default"/>
                <w:sz w:val="24"/>
                <w:szCs w:val="24"/>
              </w:rPr>
              <w:t xml:space="preserve">     </w:t>
            </w:r>
            <w:r>
              <w:rPr>
                <w:rStyle w:val="11"/>
                <w:rFonts w:hint="default"/>
                <w:sz w:val="24"/>
                <w:szCs w:val="24"/>
              </w:rPr>
              <w:t> 家</w:t>
            </w:r>
            <w:r>
              <w:rPr>
                <w:rFonts w:hint="eastAsia" w:ascii="宋体" w:hAnsi="宋体" w:eastAsia="宋体"/>
                <w:kern w:val="0"/>
                <w:sz w:val="24"/>
                <w:szCs w:val="24"/>
              </w:rPr>
              <w:t> </w:t>
            </w:r>
            <w:r>
              <w:rPr>
                <w:rStyle w:val="12"/>
                <w:rFonts w:hint="default"/>
                <w:sz w:val="24"/>
                <w:szCs w:val="24"/>
              </w:rPr>
              <w:t xml:space="preserve">     </w:t>
            </w:r>
            <w:r>
              <w:rPr>
                <w:rStyle w:val="11"/>
                <w:rFonts w:hint="default"/>
                <w:sz w:val="24"/>
                <w:szCs w:val="24"/>
              </w:rPr>
              <w:t> 人</w:t>
            </w:r>
          </w:p>
        </w:tc>
        <w:tc>
          <w:tcPr>
            <w:tcW w:w="2122" w:type="dxa"/>
            <w:tcBorders>
              <w:top w:val="single" w:color="000000" w:sz="4" w:space="0"/>
              <w:left w:val="nil"/>
              <w:bottom w:val="single" w:color="000000" w:sz="4" w:space="0"/>
              <w:right w:val="nil"/>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color w:val="000000"/>
                <w:kern w:val="0"/>
                <w:sz w:val="24"/>
                <w:szCs w:val="24"/>
              </w:rPr>
              <w:t>专业观众国别</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color w:val="000000"/>
                <w:kern w:val="0"/>
                <w:sz w:val="24"/>
                <w:szCs w:val="24"/>
              </w:rPr>
              <w:t>请罗列</w:t>
            </w:r>
          </w:p>
        </w:tc>
      </w:tr>
      <w:tr>
        <w:tblPrEx>
          <w:tblCellMar>
            <w:top w:w="0" w:type="dxa"/>
            <w:left w:w="108" w:type="dxa"/>
            <w:bottom w:w="0" w:type="dxa"/>
            <w:right w:w="108" w:type="dxa"/>
          </w:tblCellMar>
        </w:tblPrEx>
        <w:trPr>
          <w:trHeight w:val="733" w:hRule="atLeast"/>
          <w:jc w:val="center"/>
        </w:trPr>
        <w:tc>
          <w:tcPr>
            <w:tcW w:w="981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b/>
                <w:bCs/>
                <w:color w:val="000000"/>
                <w:kern w:val="0"/>
                <w:sz w:val="24"/>
                <w:szCs w:val="24"/>
              </w:rPr>
              <w:t>展会成交情况</w:t>
            </w:r>
          </w:p>
        </w:tc>
      </w:tr>
      <w:tr>
        <w:tblPrEx>
          <w:tblCellMar>
            <w:top w:w="0" w:type="dxa"/>
            <w:left w:w="108" w:type="dxa"/>
            <w:bottom w:w="0" w:type="dxa"/>
            <w:right w:w="108" w:type="dxa"/>
          </w:tblCellMar>
        </w:tblPrEx>
        <w:trPr>
          <w:trHeight w:val="733" w:hRule="atLeast"/>
          <w:jc w:val="center"/>
        </w:trPr>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olor w:val="000000"/>
                <w:sz w:val="24"/>
                <w:szCs w:val="24"/>
              </w:rPr>
            </w:pPr>
            <w:r>
              <w:rPr>
                <w:rFonts w:hint="eastAsia" w:ascii="宋体" w:hAnsi="宋体" w:eastAsia="宋体"/>
                <w:color w:val="000000"/>
                <w:kern w:val="0"/>
                <w:sz w:val="24"/>
                <w:szCs w:val="24"/>
              </w:rPr>
              <w:t>1.成交订单总数量</w:t>
            </w:r>
          </w:p>
        </w:tc>
        <w:tc>
          <w:tcPr>
            <w:tcW w:w="7220" w:type="dxa"/>
            <w:gridSpan w:val="5"/>
            <w:tcBorders>
              <w:top w:val="single" w:color="000000" w:sz="4" w:space="0"/>
              <w:left w:val="nil"/>
              <w:bottom w:val="single" w:color="000000" w:sz="4" w:space="0"/>
              <w:right w:val="single" w:color="000000" w:sz="4" w:space="0"/>
            </w:tcBorders>
            <w:noWrap/>
            <w:vAlign w:val="center"/>
          </w:tcPr>
          <w:p>
            <w:pPr>
              <w:rPr>
                <w:rFonts w:hint="eastAsia" w:ascii="宋体" w:hAnsi="宋体" w:eastAsia="宋体"/>
                <w:color w:val="FF0000"/>
                <w:sz w:val="24"/>
                <w:szCs w:val="24"/>
              </w:rPr>
            </w:pPr>
            <w:r>
              <w:rPr>
                <w:rFonts w:hint="eastAsia" w:ascii="宋体" w:hAnsi="宋体" w:eastAsia="宋体"/>
                <w:kern w:val="0"/>
                <w:sz w:val="24"/>
                <w:szCs w:val="24"/>
              </w:rPr>
              <w:t> </w:t>
            </w:r>
            <w:r>
              <w:rPr>
                <w:rStyle w:val="12"/>
                <w:rFonts w:hint="default"/>
                <w:sz w:val="24"/>
                <w:szCs w:val="24"/>
              </w:rPr>
              <w:t xml:space="preserve">     </w:t>
            </w:r>
            <w:r>
              <w:rPr>
                <w:rStyle w:val="11"/>
                <w:rFonts w:hint="default"/>
                <w:sz w:val="24"/>
                <w:szCs w:val="24"/>
              </w:rPr>
              <w:t> 份</w:t>
            </w:r>
            <w:r>
              <w:rPr>
                <w:rFonts w:hint="eastAsia" w:ascii="宋体" w:hAnsi="宋体" w:eastAsia="宋体"/>
                <w:color w:val="000000"/>
                <w:kern w:val="0"/>
                <w:sz w:val="24"/>
                <w:szCs w:val="24"/>
              </w:rPr>
              <w:t>（包括展后成交）</w:t>
            </w:r>
          </w:p>
        </w:tc>
      </w:tr>
      <w:tr>
        <w:tblPrEx>
          <w:tblCellMar>
            <w:top w:w="0" w:type="dxa"/>
            <w:left w:w="108" w:type="dxa"/>
            <w:bottom w:w="0" w:type="dxa"/>
            <w:right w:w="108" w:type="dxa"/>
          </w:tblCellMar>
        </w:tblPrEx>
        <w:trPr>
          <w:trHeight w:val="733" w:hRule="atLeast"/>
          <w:jc w:val="center"/>
        </w:trPr>
        <w:tc>
          <w:tcPr>
            <w:tcW w:w="9815" w:type="dxa"/>
            <w:gridSpan w:val="6"/>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olor w:val="FF0000"/>
                <w:sz w:val="24"/>
                <w:szCs w:val="24"/>
              </w:rPr>
            </w:pPr>
            <w:r>
              <w:rPr>
                <w:rFonts w:hint="eastAsia" w:ascii="宋体" w:hAnsi="宋体" w:eastAsia="宋体"/>
                <w:color w:val="000000"/>
                <w:kern w:val="0"/>
                <w:sz w:val="24"/>
                <w:szCs w:val="24"/>
              </w:rPr>
              <w:t>其中：</w:t>
            </w:r>
          </w:p>
        </w:tc>
      </w:tr>
      <w:tr>
        <w:tblPrEx>
          <w:tblCellMar>
            <w:top w:w="0" w:type="dxa"/>
            <w:left w:w="108" w:type="dxa"/>
            <w:bottom w:w="0" w:type="dxa"/>
            <w:right w:w="108" w:type="dxa"/>
          </w:tblCellMar>
        </w:tblPrEx>
        <w:trPr>
          <w:trHeight w:val="733" w:hRule="atLeast"/>
          <w:jc w:val="center"/>
        </w:trPr>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样品订单数量</w:t>
            </w:r>
          </w:p>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（份）</w:t>
            </w:r>
          </w:p>
        </w:tc>
        <w:tc>
          <w:tcPr>
            <w:tcW w:w="755" w:type="dxa"/>
            <w:tcBorders>
              <w:top w:val="single" w:color="000000" w:sz="4" w:space="0"/>
              <w:left w:val="nil"/>
              <w:bottom w:val="single" w:color="000000" w:sz="4" w:space="0"/>
              <w:right w:val="nil"/>
            </w:tcBorders>
            <w:noWrap/>
            <w:vAlign w:val="center"/>
          </w:tcPr>
          <w:p>
            <w:pPr>
              <w:rPr>
                <w:rFonts w:hint="eastAsia" w:ascii="宋体" w:hAnsi="宋体" w:eastAsia="宋体"/>
                <w:sz w:val="24"/>
                <w:szCs w:val="24"/>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意向订单数量</w:t>
            </w:r>
          </w:p>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（份）</w:t>
            </w:r>
          </w:p>
        </w:tc>
        <w:tc>
          <w:tcPr>
            <w:tcW w:w="1098" w:type="dxa"/>
            <w:tcBorders>
              <w:top w:val="single" w:color="000000" w:sz="4" w:space="0"/>
              <w:left w:val="nil"/>
              <w:bottom w:val="single" w:color="000000" w:sz="4" w:space="0"/>
              <w:right w:val="single" w:color="000000" w:sz="4" w:space="0"/>
            </w:tcBorders>
            <w:noWrap/>
            <w:vAlign w:val="center"/>
          </w:tcPr>
          <w:p>
            <w:pPr>
              <w:rPr>
                <w:rFonts w:hint="eastAsia" w:ascii="宋体" w:hAnsi="宋体" w:eastAsia="宋体"/>
                <w:sz w:val="24"/>
                <w:szCs w:val="24"/>
              </w:rPr>
            </w:pPr>
          </w:p>
        </w:tc>
        <w:tc>
          <w:tcPr>
            <w:tcW w:w="2122"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贸易订单数量</w:t>
            </w:r>
          </w:p>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（份）</w:t>
            </w:r>
          </w:p>
        </w:tc>
        <w:tc>
          <w:tcPr>
            <w:tcW w:w="1339"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sz w:val="24"/>
                <w:szCs w:val="24"/>
              </w:rPr>
            </w:pPr>
          </w:p>
        </w:tc>
      </w:tr>
      <w:tr>
        <w:tblPrEx>
          <w:tblCellMar>
            <w:top w:w="0" w:type="dxa"/>
            <w:left w:w="108" w:type="dxa"/>
            <w:bottom w:w="0" w:type="dxa"/>
            <w:right w:w="108" w:type="dxa"/>
          </w:tblCellMar>
        </w:tblPrEx>
        <w:trPr>
          <w:trHeight w:val="733" w:hRule="atLeast"/>
          <w:jc w:val="center"/>
        </w:trPr>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2.成交总金额</w:t>
            </w:r>
          </w:p>
        </w:tc>
        <w:tc>
          <w:tcPr>
            <w:tcW w:w="7220" w:type="dxa"/>
            <w:gridSpan w:val="5"/>
            <w:tcBorders>
              <w:top w:val="single" w:color="000000" w:sz="4" w:space="0"/>
              <w:left w:val="nil"/>
              <w:bottom w:val="single" w:color="000000" w:sz="4" w:space="0"/>
              <w:right w:val="single" w:color="000000" w:sz="4" w:space="0"/>
            </w:tcBorders>
            <w:noWrap/>
            <w:vAlign w:val="center"/>
          </w:tcPr>
          <w:p>
            <w:pPr>
              <w:rPr>
                <w:rFonts w:hint="eastAsia" w:ascii="宋体" w:hAnsi="宋体" w:eastAsia="宋体"/>
                <w:sz w:val="24"/>
                <w:szCs w:val="24"/>
              </w:rPr>
            </w:pPr>
            <w:r>
              <w:rPr>
                <w:rFonts w:hint="eastAsia" w:ascii="宋体" w:hAnsi="宋体" w:eastAsia="宋体"/>
                <w:kern w:val="0"/>
                <w:sz w:val="24"/>
                <w:szCs w:val="24"/>
              </w:rPr>
              <w:t> </w:t>
            </w:r>
            <w:r>
              <w:rPr>
                <w:rStyle w:val="12"/>
                <w:rFonts w:hint="default"/>
                <w:sz w:val="24"/>
                <w:szCs w:val="24"/>
              </w:rPr>
              <w:t xml:space="preserve">     </w:t>
            </w:r>
            <w:r>
              <w:rPr>
                <w:rStyle w:val="11"/>
                <w:rFonts w:hint="default"/>
                <w:sz w:val="24"/>
                <w:szCs w:val="24"/>
              </w:rPr>
              <w:t> 元</w:t>
            </w:r>
            <w:r>
              <w:rPr>
                <w:rFonts w:hint="eastAsia" w:ascii="宋体" w:hAnsi="宋体" w:eastAsia="宋体"/>
                <w:color w:val="000000"/>
                <w:kern w:val="0"/>
                <w:sz w:val="24"/>
                <w:szCs w:val="24"/>
              </w:rPr>
              <w:t>（包括展后成交）</w:t>
            </w:r>
          </w:p>
        </w:tc>
      </w:tr>
      <w:tr>
        <w:tblPrEx>
          <w:tblCellMar>
            <w:top w:w="0" w:type="dxa"/>
            <w:left w:w="108" w:type="dxa"/>
            <w:bottom w:w="0" w:type="dxa"/>
            <w:right w:w="108" w:type="dxa"/>
          </w:tblCellMar>
        </w:tblPrEx>
        <w:trPr>
          <w:trHeight w:val="741" w:hRule="atLeast"/>
          <w:jc w:val="center"/>
        </w:trPr>
        <w:tc>
          <w:tcPr>
            <w:tcW w:w="981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sz w:val="24"/>
                <w:szCs w:val="24"/>
              </w:rPr>
            </w:pPr>
            <w:r>
              <w:rPr>
                <w:rFonts w:hint="eastAsia" w:ascii="宋体" w:hAnsi="宋体" w:eastAsia="宋体"/>
                <w:color w:val="000000"/>
                <w:kern w:val="0"/>
                <w:sz w:val="24"/>
                <w:szCs w:val="24"/>
              </w:rPr>
              <w:t>其中：</w:t>
            </w:r>
          </w:p>
        </w:tc>
      </w:tr>
      <w:tr>
        <w:tblPrEx>
          <w:tblCellMar>
            <w:top w:w="0" w:type="dxa"/>
            <w:left w:w="108" w:type="dxa"/>
            <w:bottom w:w="0" w:type="dxa"/>
            <w:right w:w="108" w:type="dxa"/>
          </w:tblCellMar>
        </w:tblPrEx>
        <w:trPr>
          <w:trHeight w:val="771" w:hRule="atLeast"/>
          <w:jc w:val="center"/>
        </w:trPr>
        <w:tc>
          <w:tcPr>
            <w:tcW w:w="25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样品订单成交</w:t>
            </w:r>
          </w:p>
          <w:p>
            <w:pPr>
              <w:widowControl/>
              <w:jc w:val="left"/>
              <w:textAlignment w:val="center"/>
              <w:rPr>
                <w:rFonts w:hint="eastAsia" w:ascii="宋体" w:hAnsi="宋体" w:eastAsia="宋体"/>
                <w:sz w:val="24"/>
                <w:szCs w:val="24"/>
              </w:rPr>
            </w:pPr>
            <w:r>
              <w:rPr>
                <w:rFonts w:hint="eastAsia" w:ascii="宋体" w:hAnsi="宋体" w:eastAsia="宋体"/>
                <w:kern w:val="0"/>
                <w:sz w:val="24"/>
                <w:szCs w:val="24"/>
              </w:rPr>
              <w:t>金额（元）</w:t>
            </w:r>
          </w:p>
        </w:tc>
        <w:tc>
          <w:tcPr>
            <w:tcW w:w="755" w:type="dxa"/>
            <w:tcBorders>
              <w:top w:val="single" w:color="000000" w:sz="4" w:space="0"/>
              <w:left w:val="nil"/>
              <w:bottom w:val="single" w:color="000000" w:sz="4" w:space="0"/>
              <w:right w:val="nil"/>
            </w:tcBorders>
            <w:noWrap/>
            <w:vAlign w:val="center"/>
          </w:tcPr>
          <w:p>
            <w:pPr>
              <w:rPr>
                <w:rFonts w:hint="eastAsia" w:ascii="宋体" w:hAnsi="宋体" w:eastAsia="宋体"/>
                <w:sz w:val="24"/>
                <w:szCs w:val="24"/>
              </w:rPr>
            </w:pPr>
          </w:p>
        </w:tc>
        <w:tc>
          <w:tcPr>
            <w:tcW w:w="19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sz w:val="24"/>
                <w:szCs w:val="24"/>
              </w:rPr>
            </w:pPr>
            <w:r>
              <w:rPr>
                <w:rFonts w:hint="eastAsia" w:ascii="宋体" w:hAnsi="宋体" w:eastAsia="宋体"/>
                <w:kern w:val="0"/>
                <w:sz w:val="24"/>
                <w:szCs w:val="24"/>
              </w:rPr>
              <w:t>意向成交金额（元）</w:t>
            </w:r>
          </w:p>
        </w:tc>
        <w:tc>
          <w:tcPr>
            <w:tcW w:w="1098" w:type="dxa"/>
            <w:tcBorders>
              <w:top w:val="single" w:color="000000" w:sz="4" w:space="0"/>
              <w:left w:val="nil"/>
              <w:bottom w:val="single" w:color="000000" w:sz="4" w:space="0"/>
              <w:right w:val="single" w:color="000000" w:sz="4" w:space="0"/>
            </w:tcBorders>
            <w:noWrap/>
            <w:vAlign w:val="center"/>
          </w:tcPr>
          <w:p>
            <w:pPr>
              <w:rPr>
                <w:rFonts w:hint="eastAsia" w:ascii="宋体" w:hAnsi="宋体" w:eastAsia="宋体"/>
                <w:sz w:val="24"/>
                <w:szCs w:val="24"/>
              </w:rPr>
            </w:pPr>
          </w:p>
        </w:tc>
        <w:tc>
          <w:tcPr>
            <w:tcW w:w="2122" w:type="dxa"/>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eastAsia="宋体"/>
                <w:kern w:val="0"/>
                <w:sz w:val="24"/>
                <w:szCs w:val="24"/>
              </w:rPr>
            </w:pPr>
            <w:r>
              <w:rPr>
                <w:rFonts w:hint="eastAsia" w:ascii="宋体" w:hAnsi="宋体" w:eastAsia="宋体"/>
                <w:kern w:val="0"/>
                <w:sz w:val="24"/>
                <w:szCs w:val="24"/>
              </w:rPr>
              <w:t>贸易订单成交</w:t>
            </w:r>
          </w:p>
          <w:p>
            <w:pPr>
              <w:widowControl/>
              <w:jc w:val="left"/>
              <w:textAlignment w:val="center"/>
              <w:rPr>
                <w:rFonts w:hint="eastAsia" w:ascii="宋体" w:hAnsi="宋体" w:eastAsia="宋体"/>
                <w:sz w:val="24"/>
                <w:szCs w:val="24"/>
              </w:rPr>
            </w:pPr>
            <w:r>
              <w:rPr>
                <w:rFonts w:hint="eastAsia" w:ascii="宋体" w:hAnsi="宋体" w:eastAsia="宋体"/>
                <w:kern w:val="0"/>
                <w:sz w:val="24"/>
                <w:szCs w:val="24"/>
              </w:rPr>
              <w:t>金额（元）</w:t>
            </w:r>
          </w:p>
        </w:tc>
        <w:tc>
          <w:tcPr>
            <w:tcW w:w="1339"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sz w:val="24"/>
                <w:szCs w:val="24"/>
              </w:rPr>
            </w:pPr>
          </w:p>
        </w:tc>
      </w:tr>
    </w:tbl>
    <w:p>
      <w:pPr>
        <w:pStyle w:val="13"/>
        <w:autoSpaceDE w:val="0"/>
        <w:ind w:firstLine="0" w:firstLineChars="0"/>
        <w:rPr>
          <w:rFonts w:hint="eastAsia" w:eastAsia="宋体"/>
          <w:b/>
          <w:bCs/>
          <w:kern w:val="0"/>
        </w:rPr>
      </w:pPr>
      <w:r>
        <w:rPr>
          <w:rFonts w:hint="eastAsia" w:eastAsia="宋体"/>
          <w:b/>
          <w:bCs/>
          <w:kern w:val="0"/>
        </w:rPr>
        <w:t>说明：</w:t>
      </w:r>
    </w:p>
    <w:p>
      <w:pPr>
        <w:pStyle w:val="13"/>
        <w:autoSpaceDE w:val="0"/>
        <w:ind w:left="0" w:leftChars="0" w:firstLine="560" w:firstLineChars="200"/>
        <w:rPr>
          <w:rFonts w:hint="eastAsia" w:eastAsia="宋体"/>
          <w:kern w:val="0"/>
        </w:rPr>
      </w:pPr>
      <w:r>
        <w:rPr>
          <w:rFonts w:hint="eastAsia" w:eastAsia="宋体"/>
          <w:kern w:val="0"/>
        </w:rPr>
        <w:t>1.成交订单是指通过参加境外展会获取的订单，包括现场样品订单、通过邮件等方式收到的意向订单和签署正式合同的贸易订单。</w:t>
      </w:r>
    </w:p>
    <w:p>
      <w:pPr>
        <w:pStyle w:val="13"/>
        <w:autoSpaceDE w:val="0"/>
        <w:ind w:left="0" w:leftChars="0" w:firstLine="560" w:firstLineChars="200"/>
        <w:rPr>
          <w:rFonts w:hint="eastAsia" w:ascii="仿宋_GB2312" w:eastAsia="仿宋_GB2312"/>
          <w:sz w:val="32"/>
          <w:szCs w:val="32"/>
        </w:rPr>
      </w:pPr>
      <w:r>
        <w:rPr>
          <w:rFonts w:hint="eastAsia" w:eastAsia="宋体"/>
          <w:kern w:val="0"/>
          <w:sz w:val="24"/>
          <w:szCs w:val="24"/>
        </w:rPr>
        <w:t>2.</w:t>
      </w:r>
      <w:r>
        <w:rPr>
          <w:rFonts w:hint="eastAsia" w:ascii="宋体" w:hAnsi="宋体" w:eastAsia="宋体"/>
          <w:kern w:val="0"/>
          <w:sz w:val="24"/>
          <w:szCs w:val="24"/>
        </w:rPr>
        <w:t>获取订单的时间不限于展会期间，统计截至网络提交申报材料之日。</w:t>
      </w:r>
      <w:bookmarkEnd w:id="0"/>
    </w:p>
    <w:p/>
    <w:sectPr>
      <w:footerReference r:id="rId3" w:type="default"/>
      <w:pgSz w:w="11906" w:h="16838"/>
      <w:pgMar w:top="1814" w:right="1474" w:bottom="181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8"/>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7447E"/>
    <w:multiLevelType w:val="multilevel"/>
    <w:tmpl w:val="0EB7447E"/>
    <w:lvl w:ilvl="0" w:tentative="0">
      <w:start w:val="16"/>
      <w:numFmt w:val="chineseCounting"/>
      <w:suff w:val="nothing"/>
      <w:lvlText w:val="%1、"/>
      <w:lvlJc w:val="left"/>
      <w:pPr>
        <w:ind w:left="0" w:firstLine="0"/>
      </w:pPr>
      <w:rPr>
        <w:rFonts w:hint="eastAsia" w:ascii="黑体" w:hAnsi="黑体" w:eastAsia="黑体" w:cs="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05B1218"/>
    <w:multiLevelType w:val="multilevel"/>
    <w:tmpl w:val="705B1218"/>
    <w:lvl w:ilvl="0" w:tentative="0">
      <w:start w:val="4"/>
      <w:numFmt w:val="chineseCounting"/>
      <w:suff w:val="nothing"/>
      <w:lvlText w:val="%1、"/>
      <w:lvlJc w:val="left"/>
      <w:pPr>
        <w:ind w:left="0" w:firstLine="0"/>
      </w:pPr>
      <w:rPr>
        <w:rFonts w:hint="eastAsia" w:ascii="黑体" w:hAnsi="黑体" w:eastAsia="黑体" w:cs="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MjQwZjcwMTA0NGM4ZmU0YjE1YmY1MWNmYzEyMTEifQ=="/>
  </w:docVars>
  <w:rsids>
    <w:rsidRoot w:val="13371850"/>
    <w:rsid w:val="13371850"/>
    <w:rsid w:val="5FF214F6"/>
    <w:rsid w:val="7D5B6B4E"/>
    <w:rsid w:val="7D774E65"/>
    <w:rsid w:val="7F3AB903"/>
    <w:rsid w:val="7FEBE3FD"/>
    <w:rsid w:val="7FF90060"/>
    <w:rsid w:val="CDDBF29D"/>
    <w:rsid w:val="EDDEEC6B"/>
    <w:rsid w:val="EFBFDCFA"/>
    <w:rsid w:val="F5E7D03A"/>
    <w:rsid w:val="FDFFF4A2"/>
    <w:rsid w:val="FE7BC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qFormat/>
    <w:uiPriority w:val="0"/>
    <w:pPr>
      <w:tabs>
        <w:tab w:val="left" w:pos="562"/>
        <w:tab w:val="left" w:pos="3372"/>
        <w:tab w:val="left" w:pos="3653"/>
      </w:tabs>
    </w:pPr>
  </w:style>
  <w:style w:type="paragraph" w:styleId="4">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5">
    <w:name w:val="Body Text Indent"/>
    <w:basedOn w:val="1"/>
    <w:qFormat/>
    <w:uiPriority w:val="0"/>
    <w:pPr>
      <w:spacing w:after="120"/>
      <w:ind w:left="420" w:leftChars="200"/>
    </w:pPr>
  </w:style>
  <w:style w:type="paragraph" w:styleId="6">
    <w:name w:val="Plain Text"/>
    <w:basedOn w:val="7"/>
    <w:qFormat/>
    <w:uiPriority w:val="0"/>
    <w:rPr>
      <w:rFonts w:ascii="等线" w:hAnsi="Courier New" w:cs="Courier New"/>
    </w:rPr>
  </w:style>
  <w:style w:type="paragraph" w:customStyle="1" w:styleId="7">
    <w:name w:val="正文_0"/>
    <w:next w:val="6"/>
    <w:qFormat/>
    <w:uiPriority w:val="0"/>
    <w:pPr>
      <w:widowControl w:val="0"/>
      <w:jc w:val="both"/>
    </w:pPr>
    <w:rPr>
      <w:rFonts w:ascii="Calibri" w:hAnsi="Calibri"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character" w:customStyle="1" w:styleId="11">
    <w:name w:val="15"/>
    <w:basedOn w:val="10"/>
    <w:qFormat/>
    <w:uiPriority w:val="0"/>
    <w:rPr>
      <w:rFonts w:hint="eastAsia" w:ascii="宋体" w:hAnsi="宋体" w:eastAsia="宋体"/>
      <w:color w:val="000000"/>
      <w:sz w:val="20"/>
      <w:szCs w:val="20"/>
    </w:rPr>
  </w:style>
  <w:style w:type="character" w:customStyle="1" w:styleId="12">
    <w:name w:val="16"/>
    <w:basedOn w:val="10"/>
    <w:qFormat/>
    <w:uiPriority w:val="0"/>
    <w:rPr>
      <w:rFonts w:hint="eastAsia" w:ascii="宋体" w:hAnsi="宋体" w:eastAsia="宋体"/>
      <w:color w:val="000000"/>
      <w:sz w:val="20"/>
      <w:szCs w:val="20"/>
      <w:u w:val="single"/>
    </w:rPr>
  </w:style>
  <w:style w:type="paragraph" w:customStyle="1" w:styleId="13">
    <w:name w:val="正文首行缩进 21"/>
    <w:basedOn w:val="5"/>
    <w:qFormat/>
    <w:uiPriority w:val="0"/>
    <w:pPr>
      <w:spacing w:before="100" w:beforeAutospacing="1" w:after="0" w:line="380" w:lineRule="exact"/>
      <w:ind w:left="0" w:leftChars="0" w:firstLine="420" w:firstLineChars="200"/>
    </w:pPr>
    <w:rPr>
      <w:rFonts w:ascii="宋体" w:hAnsi="宋体"/>
      <w:spacing w:val="2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2022-03-09T23:01:00Z</dcterms:created>
  <dc:creator>86151</dc:creator>
  <cp:lastModifiedBy>网站运维(陈梓标)</cp:lastModifiedBy>
  <dcterms:modified xsi:type="dcterms:W3CDTF">2024-07-31T10:31:18Z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105E5BE47873B83AF6A1A966D84E4493</vt:lpwstr>
  </property>
</Properties>
</file>