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黑体" w:cs="Times New Roman"/>
          <w:color w:val="000000"/>
          <w:kern w:val="0"/>
          <w:sz w:val="32"/>
          <w:szCs w:val="32"/>
          <w:highlight w:val="none"/>
          <w:lang w:val="en-US" w:eastAsia="zh-CN" w:bidi="ar"/>
        </w:rPr>
      </w:pPr>
      <w:r>
        <w:rPr>
          <w:rFonts w:hint="eastAsia" w:ascii="Times New Roman" w:hAnsi="Times New Roman" w:eastAsia="黑体" w:cs="Times New Roman"/>
          <w:color w:val="000000"/>
          <w:kern w:val="0"/>
          <w:sz w:val="32"/>
          <w:szCs w:val="32"/>
          <w:highlight w:val="none"/>
          <w:lang w:val="en-US" w:eastAsia="zh-CN" w:bidi="ar"/>
        </w:rPr>
        <w:t>附件6</w:t>
      </w:r>
    </w:p>
    <w:p>
      <w:pPr>
        <w:keepNext w:val="0"/>
        <w:keepLines w:val="0"/>
        <w:pageBreakBefore w:val="0"/>
        <w:widowControl w:val="0"/>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黑体" w:cs="Times New Roman"/>
          <w:color w:val="000000"/>
          <w:kern w:val="0"/>
          <w:sz w:val="32"/>
          <w:szCs w:val="32"/>
          <w:highlight w:val="none"/>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kern w:val="0"/>
          <w:sz w:val="44"/>
          <w:szCs w:val="44"/>
          <w:highlight w:val="none"/>
          <w:lang w:val="en-US" w:eastAsia="zh-CN" w:bidi="ar"/>
        </w:rPr>
      </w:pPr>
      <w:r>
        <w:rPr>
          <w:rFonts w:hint="eastAsia" w:ascii="方正小标宋简体" w:hAnsi="方正小标宋简体" w:eastAsia="方正小标宋简体" w:cs="方正小标宋简体"/>
          <w:color w:val="000000"/>
          <w:kern w:val="0"/>
          <w:sz w:val="44"/>
          <w:szCs w:val="44"/>
          <w:highlight w:val="none"/>
          <w:lang w:val="en-US" w:eastAsia="zh-CN" w:bidi="ar"/>
        </w:rPr>
        <w:t>第十三届中国创新创业大赛颠覆性技术</w:t>
      </w:r>
    </w:p>
    <w:p>
      <w:pPr>
        <w:keepNext w:val="0"/>
        <w:keepLines w:val="0"/>
        <w:pageBreakBefore w:val="0"/>
        <w:widowControl w:val="0"/>
        <w:suppressLineNumbers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sz w:val="40"/>
          <w:szCs w:val="40"/>
          <w:highlight w:val="none"/>
        </w:rPr>
      </w:pPr>
      <w:r>
        <w:rPr>
          <w:rFonts w:hint="eastAsia" w:ascii="方正小标宋简体" w:hAnsi="方正小标宋简体" w:eastAsia="方正小标宋简体" w:cs="方正小标宋简体"/>
          <w:color w:val="000000"/>
          <w:kern w:val="0"/>
          <w:sz w:val="44"/>
          <w:szCs w:val="44"/>
          <w:highlight w:val="none"/>
          <w:lang w:val="en-US" w:eastAsia="zh-CN" w:bidi="ar"/>
        </w:rPr>
        <w:t>创新大赛（未来健康领域赛）组织方案</w:t>
      </w:r>
    </w:p>
    <w:p>
      <w:pPr>
        <w:spacing w:line="560" w:lineRule="exact"/>
        <w:rPr>
          <w:rFonts w:hint="default" w:ascii="Times New Roman" w:hAnsi="Times New Roman" w:eastAsia="仿宋_GB2312" w:cs="Times New Roman"/>
          <w:sz w:val="32"/>
          <w:szCs w:val="32"/>
          <w:highlight w:val="none"/>
        </w:rPr>
      </w:pPr>
    </w:p>
    <w:p>
      <w:pPr>
        <w:keepNext w:val="0"/>
        <w:keepLines w:val="0"/>
        <w:pageBreakBefore w:val="0"/>
        <w:kinsoku/>
        <w:overflowPunct/>
        <w:topLinePunct w:val="0"/>
        <w:autoSpaceDE/>
        <w:autoSpaceDN/>
        <w:bidi w:val="0"/>
        <w:spacing w:line="56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根据工业和信息化部火炬中心《关于举办第十三届中国创新创业大赛的通知》（火炬〔2024〕8号）</w:t>
      </w:r>
      <w:r>
        <w:rPr>
          <w:rFonts w:hint="eastAsia" w:ascii="Times New Roman" w:hAnsi="Times New Roman" w:eastAsia="仿宋_GB2312" w:cs="Times New Roman"/>
          <w:sz w:val="32"/>
          <w:szCs w:val="32"/>
          <w:highlight w:val="none"/>
          <w:lang w:val="en-US" w:eastAsia="zh-CN"/>
        </w:rPr>
        <w:t>要求</w:t>
      </w:r>
      <w:r>
        <w:rPr>
          <w:rFonts w:hint="default" w:ascii="Times New Roman" w:hAnsi="Times New Roman" w:eastAsia="仿宋_GB2312" w:cs="Times New Roman"/>
          <w:sz w:val="32"/>
          <w:szCs w:val="32"/>
          <w:highlight w:val="none"/>
          <w:lang w:val="en-US" w:eastAsia="zh-CN"/>
        </w:rPr>
        <w:t>，制定第十三届中国创新创业大赛颠覆性技术创新大赛（未来</w:t>
      </w:r>
      <w:r>
        <w:rPr>
          <w:rFonts w:hint="eastAsia" w:ascii="Times New Roman" w:hAnsi="Times New Roman" w:eastAsia="仿宋_GB2312" w:cs="Times New Roman"/>
          <w:sz w:val="32"/>
          <w:szCs w:val="32"/>
          <w:highlight w:val="none"/>
          <w:lang w:val="en-US" w:eastAsia="zh-CN"/>
        </w:rPr>
        <w:t>健康</w:t>
      </w:r>
      <w:r>
        <w:rPr>
          <w:rFonts w:hint="default" w:ascii="Times New Roman" w:hAnsi="Times New Roman" w:eastAsia="仿宋_GB2312" w:cs="Times New Roman"/>
          <w:sz w:val="32"/>
          <w:szCs w:val="32"/>
          <w:highlight w:val="none"/>
          <w:lang w:val="en-US" w:eastAsia="zh-CN"/>
        </w:rPr>
        <w:t>领域赛）方案。</w:t>
      </w: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560" w:lineRule="exact"/>
        <w:ind w:left="630" w:leftChars="0"/>
        <w:textAlignment w:val="auto"/>
        <w:outlineLvl w:val="0"/>
        <w:rPr>
          <w:rFonts w:hint="eastAsia"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一、指导思想</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以习近平新时代中国特色社会主义思想为指导，深入实施创新驱动发展战略，把颠覆性技术创新大赛作为落实《工业和信息化部等七部门关于推动未来产业创新发展的实施意见》（工信部联科〔2024〕12号）的重要抓手，强化颠覆性技术源头供给，促进颠覆性技术成果转化，前瞻布局未来产业，加快发展</w:t>
      </w:r>
      <w:r>
        <w:rPr>
          <w:rFonts w:hint="eastAsia" w:ascii="Times New Roman" w:hAnsi="Times New Roman" w:eastAsia="仿宋_GB2312" w:cs="Times New Roman"/>
          <w:spacing w:val="-6"/>
          <w:sz w:val="32"/>
          <w:szCs w:val="32"/>
          <w:highlight w:val="none"/>
          <w:lang w:val="en-US" w:eastAsia="zh-CN"/>
        </w:rPr>
        <w:t>新质生产力。</w:t>
      </w:r>
    </w:p>
    <w:p>
      <w:pPr>
        <w:keepNext w:val="0"/>
        <w:keepLines w:val="0"/>
        <w:pageBreakBefore w:val="0"/>
        <w:numPr>
          <w:ilvl w:val="0"/>
          <w:numId w:val="0"/>
        </w:numPr>
        <w:suppressAutoHyphens/>
        <w:kinsoku/>
        <w:wordWrap/>
        <w:overflowPunct/>
        <w:topLinePunct w:val="0"/>
        <w:autoSpaceDE/>
        <w:autoSpaceDN/>
        <w:bidi w:val="0"/>
        <w:adjustRightInd/>
        <w:snapToGrid w:val="0"/>
        <w:spacing w:line="560" w:lineRule="exact"/>
        <w:ind w:firstLine="640" w:firstLineChars="200"/>
        <w:textAlignment w:val="auto"/>
        <w:outlineLvl w:val="0"/>
        <w:rPr>
          <w:rFonts w:hint="eastAsia"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二、</w:t>
      </w:r>
      <w:r>
        <w:rPr>
          <w:rFonts w:hint="eastAsia" w:ascii="Times New Roman" w:hAnsi="Times New Roman" w:eastAsia="黑体" w:cs="Times New Roman"/>
          <w:sz w:val="32"/>
          <w:szCs w:val="32"/>
          <w:highlight w:val="none"/>
        </w:rPr>
        <w:t>赛事安排</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未来健康领域赛采用</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公开海选</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方式，面向社会公开征集具有颠覆性技术苗头的项目参赛，通过层层筛选和项目比拼，优胜项目</w:t>
      </w:r>
      <w:r>
        <w:rPr>
          <w:rFonts w:hint="default" w:ascii="Times New Roman" w:hAnsi="Times New Roman" w:eastAsia="仿宋_GB2312" w:cs="Times New Roman"/>
          <w:sz w:val="32"/>
          <w:szCs w:val="32"/>
          <w:highlight w:val="none"/>
          <w:lang w:val="en-US" w:eastAsia="zh-CN"/>
        </w:rPr>
        <w:t>择优</w:t>
      </w:r>
      <w:r>
        <w:rPr>
          <w:rFonts w:hint="default" w:ascii="Times New Roman" w:hAnsi="Times New Roman" w:eastAsia="仿宋_GB2312" w:cs="Times New Roman"/>
          <w:sz w:val="32"/>
          <w:szCs w:val="32"/>
          <w:highlight w:val="none"/>
        </w:rPr>
        <w:t>进入决赛。符合参赛条件的单位统一登录中国创新创业大赛网站（http://www.cxcyds.com）—颠覆性技术创新大赛入口报名参赛。同一参赛单位（大专院校除外）仅可报名1个项目参赛；大专院校报名项目总数量不超过3个。比赛不向参赛单位收取任何费用。</w:t>
      </w:r>
    </w:p>
    <w:p>
      <w:pPr>
        <w:keepNext w:val="0"/>
        <w:keepLines w:val="0"/>
        <w:pageBreakBefore w:val="0"/>
        <w:suppressAutoHyphens/>
        <w:kinsoku/>
        <w:wordWrap/>
        <w:overflowPunct/>
        <w:topLinePunct w:val="0"/>
        <w:autoSpaceDE/>
        <w:autoSpaceDN/>
        <w:bidi w:val="0"/>
        <w:adjustRightInd/>
        <w:snapToGrid w:val="0"/>
        <w:spacing w:line="560" w:lineRule="exact"/>
        <w:ind w:firstLine="640" w:firstLineChars="200"/>
        <w:textAlignment w:val="auto"/>
        <w:outlineLvl w:val="0"/>
        <w:rPr>
          <w:rFonts w:ascii="Times New Roman" w:hAnsi="Times New Roman" w:eastAsia="楷体" w:cs="Times New Roman"/>
          <w:b/>
          <w:color w:val="000000"/>
          <w:sz w:val="32"/>
          <w:szCs w:val="32"/>
          <w:highlight w:val="none"/>
        </w:rPr>
      </w:pPr>
      <w:r>
        <w:rPr>
          <w:rFonts w:hint="eastAsia" w:ascii="Times New Roman" w:hAnsi="Times New Roman" w:eastAsia="黑体" w:cs="Times New Roman"/>
          <w:sz w:val="32"/>
          <w:szCs w:val="32"/>
          <w:highlight w:val="none"/>
        </w:rPr>
        <w:t>三、组织机构</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主办单位：工业和信息化部火炬高技术产业开发中心</w:t>
      </w:r>
    </w:p>
    <w:p>
      <w:pPr>
        <w:keepNext w:val="0"/>
        <w:keepLines w:val="0"/>
        <w:pageBreakBefore w:val="0"/>
        <w:kinsoku/>
        <w:wordWrap/>
        <w:overflowPunct/>
        <w:topLinePunct w:val="0"/>
        <w:autoSpaceDE/>
        <w:autoSpaceDN/>
        <w:bidi w:val="0"/>
        <w:adjustRightInd/>
        <w:spacing w:line="560" w:lineRule="exact"/>
        <w:ind w:firstLine="2240" w:firstLineChars="7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上海市奉贤区人民政府</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承办单位：上海市奉贤区科学技术委员会</w:t>
      </w:r>
    </w:p>
    <w:p>
      <w:pPr>
        <w:keepNext w:val="0"/>
        <w:keepLines w:val="0"/>
        <w:pageBreakBefore w:val="0"/>
        <w:kinsoku/>
        <w:wordWrap/>
        <w:overflowPunct/>
        <w:topLinePunct w:val="0"/>
        <w:autoSpaceDE/>
        <w:autoSpaceDN/>
        <w:bidi w:val="0"/>
        <w:adjustRightInd/>
        <w:snapToGrid w:val="0"/>
        <w:spacing w:line="560" w:lineRule="exact"/>
        <w:ind w:left="0" w:leftChars="0" w:firstLine="2240" w:firstLineChars="800"/>
        <w:textAlignment w:val="auto"/>
        <w:rPr>
          <w:rFonts w:hint="eastAsia" w:ascii="Times New Roman" w:hAnsi="Times New Roman" w:eastAsia="仿宋_GB2312" w:cs="Times New Roman"/>
          <w:sz w:val="32"/>
          <w:szCs w:val="32"/>
          <w:highlight w:val="none"/>
        </w:rPr>
      </w:pPr>
      <w:r>
        <w:rPr>
          <w:rFonts w:ascii="Times New Roman" w:hAnsi="Times New Roman" w:eastAsia="仿宋_GB2312" w:cs="Times New Roman"/>
          <w:spacing w:val="-20"/>
          <w:sz w:val="32"/>
          <w:szCs w:val="32"/>
          <w:highlight w:val="none"/>
        </w:rPr>
        <w:t>华东理工大学生物反应器工程国家重点实验室</w:t>
      </w:r>
    </w:p>
    <w:p>
      <w:pPr>
        <w:keepNext w:val="0"/>
        <w:keepLines w:val="0"/>
        <w:pageBreakBefore w:val="0"/>
        <w:kinsoku/>
        <w:wordWrap/>
        <w:overflowPunct/>
        <w:topLinePunct w:val="0"/>
        <w:autoSpaceDE/>
        <w:autoSpaceDN/>
        <w:bidi w:val="0"/>
        <w:adjustRightInd/>
        <w:snapToGrid w:val="0"/>
        <w:spacing w:line="560" w:lineRule="exact"/>
        <w:ind w:firstLine="2240" w:firstLineChars="7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上海沪江产业技术研究院</w:t>
      </w:r>
    </w:p>
    <w:p>
      <w:pPr>
        <w:keepNext w:val="0"/>
        <w:keepLines w:val="0"/>
        <w:pageBreakBefore w:val="0"/>
        <w:kinsoku/>
        <w:wordWrap/>
        <w:overflowPunct/>
        <w:topLinePunct w:val="0"/>
        <w:autoSpaceDE/>
        <w:autoSpaceDN/>
        <w:bidi w:val="0"/>
        <w:adjustRightInd/>
        <w:snapToGrid w:val="0"/>
        <w:spacing w:line="560" w:lineRule="exact"/>
        <w:ind w:firstLine="2240" w:firstLineChars="700"/>
        <w:textAlignment w:val="auto"/>
        <w:rPr>
          <w:rFonts w:hint="eastAsia"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中国技术创业协会</w:t>
      </w:r>
    </w:p>
    <w:p>
      <w:pPr>
        <w:keepNext w:val="0"/>
        <w:keepLines w:val="0"/>
        <w:pageBreakBefore w:val="0"/>
        <w:kinsoku/>
        <w:overflowPunct/>
        <w:topLinePunct w:val="0"/>
        <w:autoSpaceDE/>
        <w:autoSpaceDN/>
        <w:bidi w:val="0"/>
        <w:snapToGrid w:val="0"/>
        <w:spacing w:line="560" w:lineRule="exact"/>
        <w:ind w:firstLine="640" w:firstLineChars="0"/>
        <w:rPr>
          <w:rFonts w:hint="eastAsia"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highlight w:val="none"/>
        </w:rPr>
        <w:t>支持单位：</w:t>
      </w:r>
      <w:r>
        <w:rPr>
          <w:rFonts w:hint="eastAsia" w:ascii="Times New Roman" w:hAnsi="Times New Roman" w:eastAsia="仿宋_GB2312" w:cs="Times New Roman"/>
          <w:sz w:val="32"/>
          <w:szCs w:val="32"/>
          <w:highlight w:val="none"/>
          <w:lang w:val="en-US" w:eastAsia="zh-CN"/>
        </w:rPr>
        <w:t>招商银行科技创新公益基金</w:t>
      </w:r>
    </w:p>
    <w:p>
      <w:pPr>
        <w:keepNext w:val="0"/>
        <w:keepLines w:val="0"/>
        <w:pageBreakBefore w:val="0"/>
        <w:kinsoku/>
        <w:overflowPunct/>
        <w:topLinePunct w:val="0"/>
        <w:autoSpaceDE/>
        <w:autoSpaceDN/>
        <w:bidi w:val="0"/>
        <w:snapToGrid w:val="0"/>
        <w:spacing w:line="560" w:lineRule="exact"/>
        <w:ind w:firstLine="2249" w:firstLineChars="703"/>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新华社中国经济信息社</w:t>
      </w:r>
    </w:p>
    <w:p>
      <w:pPr>
        <w:keepNext w:val="0"/>
        <w:keepLines w:val="0"/>
        <w:pageBreakBefore w:val="0"/>
        <w:kinsoku/>
        <w:overflowPunct/>
        <w:topLinePunct w:val="0"/>
        <w:autoSpaceDE/>
        <w:autoSpaceDN/>
        <w:bidi w:val="0"/>
        <w:snapToGrid w:val="0"/>
        <w:spacing w:line="560" w:lineRule="exact"/>
        <w:ind w:firstLine="2249" w:firstLineChars="703"/>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国家国防科技工业局经济技术发展中心</w:t>
      </w:r>
    </w:p>
    <w:p>
      <w:pPr>
        <w:keepNext w:val="0"/>
        <w:keepLines w:val="0"/>
        <w:pageBreakBefore w:val="0"/>
        <w:kinsoku/>
        <w:overflowPunct/>
        <w:topLinePunct w:val="0"/>
        <w:autoSpaceDE/>
        <w:autoSpaceDN/>
        <w:bidi w:val="0"/>
        <w:snapToGrid w:val="0"/>
        <w:spacing w:line="560" w:lineRule="exact"/>
        <w:ind w:firstLine="2249" w:firstLineChars="703"/>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中国科学院科技战略咨询研究院</w:t>
      </w:r>
    </w:p>
    <w:p>
      <w:pPr>
        <w:keepNext w:val="0"/>
        <w:keepLines w:val="0"/>
        <w:pageBreakBefore w:val="0"/>
        <w:kinsoku/>
        <w:overflowPunct/>
        <w:topLinePunct w:val="0"/>
        <w:autoSpaceDE/>
        <w:autoSpaceDN/>
        <w:bidi w:val="0"/>
        <w:snapToGrid w:val="0"/>
        <w:spacing w:line="560" w:lineRule="exact"/>
        <w:ind w:firstLine="2249" w:firstLineChars="703"/>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京津冀国家技术创新中心</w:t>
      </w:r>
    </w:p>
    <w:p>
      <w:pPr>
        <w:keepNext w:val="0"/>
        <w:keepLines w:val="0"/>
        <w:pageBreakBefore w:val="0"/>
        <w:kinsoku/>
        <w:overflowPunct/>
        <w:topLinePunct w:val="0"/>
        <w:autoSpaceDE/>
        <w:autoSpaceDN/>
        <w:bidi w:val="0"/>
        <w:snapToGrid w:val="0"/>
        <w:spacing w:line="560" w:lineRule="exact"/>
        <w:ind w:firstLine="2249" w:firstLineChars="703"/>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先进技术成果长三角转化中心</w:t>
      </w:r>
    </w:p>
    <w:p>
      <w:pPr>
        <w:keepNext w:val="0"/>
        <w:keepLines w:val="0"/>
        <w:pageBreakBefore w:val="0"/>
        <w:kinsoku/>
        <w:overflowPunct/>
        <w:topLinePunct w:val="0"/>
        <w:autoSpaceDE/>
        <w:autoSpaceDN/>
        <w:bidi w:val="0"/>
        <w:snapToGrid w:val="0"/>
        <w:spacing w:line="560" w:lineRule="exact"/>
        <w:ind w:firstLine="2240" w:firstLineChars="700"/>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The Innovation期刊</w:t>
      </w:r>
    </w:p>
    <w:p>
      <w:pPr>
        <w:keepNext w:val="0"/>
        <w:keepLines w:val="0"/>
        <w:pageBreakBefore w:val="0"/>
        <w:kinsoku/>
        <w:overflowPunct/>
        <w:topLinePunct w:val="0"/>
        <w:autoSpaceDE/>
        <w:autoSpaceDN/>
        <w:bidi w:val="0"/>
        <w:snapToGrid w:val="0"/>
        <w:spacing w:line="560" w:lineRule="exact"/>
        <w:ind w:firstLine="2240" w:firstLineChars="700"/>
        <w:rPr>
          <w:rFonts w:hint="eastAsia"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highlight w:val="none"/>
        </w:rPr>
        <w:t>中国邮政储蓄银行</w:t>
      </w:r>
      <w:r>
        <w:rPr>
          <w:rFonts w:hint="eastAsia" w:ascii="Times New Roman" w:hAnsi="Times New Roman" w:eastAsia="仿宋_GB2312" w:cs="Times New Roman"/>
          <w:sz w:val="32"/>
          <w:szCs w:val="32"/>
          <w:highlight w:val="none"/>
          <w:lang w:val="en-US" w:eastAsia="zh-CN"/>
        </w:rPr>
        <w:t>股份有限公司上海分行</w:t>
      </w:r>
    </w:p>
    <w:p>
      <w:pPr>
        <w:keepNext w:val="0"/>
        <w:keepLines w:val="0"/>
        <w:pageBreakBefore w:val="0"/>
        <w:suppressAutoHyphens/>
        <w:kinsoku/>
        <w:wordWrap/>
        <w:overflowPunct/>
        <w:topLinePunct w:val="0"/>
        <w:autoSpaceDE/>
        <w:autoSpaceDN/>
        <w:bidi w:val="0"/>
        <w:adjustRightInd/>
        <w:snapToGrid w:val="0"/>
        <w:spacing w:line="560" w:lineRule="exact"/>
        <w:ind w:firstLine="640" w:firstLineChars="200"/>
        <w:textAlignment w:val="auto"/>
        <w:outlineLvl w:val="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四、</w:t>
      </w:r>
      <w:r>
        <w:rPr>
          <w:rFonts w:ascii="Times New Roman" w:hAnsi="Times New Roman" w:eastAsia="黑体" w:cs="Times New Roman"/>
          <w:sz w:val="32"/>
          <w:szCs w:val="32"/>
          <w:highlight w:val="none"/>
        </w:rPr>
        <w:t>参赛要求</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bCs w:val="0"/>
          <w:color w:val="000000"/>
          <w:kern w:val="0"/>
          <w:sz w:val="32"/>
          <w:szCs w:val="32"/>
          <w:highlight w:val="none"/>
          <w:lang w:val="en-US" w:eastAsia="zh-CN" w:bidi="ar"/>
        </w:rPr>
      </w:pPr>
      <w:r>
        <w:rPr>
          <w:rFonts w:hint="default" w:ascii="Times New Roman" w:hAnsi="Times New Roman" w:eastAsia="楷体_GB2312" w:cs="Times New Roman"/>
          <w:b w:val="0"/>
          <w:bCs w:val="0"/>
          <w:color w:val="000000"/>
          <w:kern w:val="0"/>
          <w:sz w:val="32"/>
          <w:szCs w:val="32"/>
          <w:highlight w:val="none"/>
          <w:lang w:val="en-US" w:eastAsia="zh-CN" w:bidi="ar"/>
        </w:rPr>
        <w:t>（一）参赛单位要求</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参赛单位应是具有独立法人资格的企事业单位等，经营规范、社会信誉良好、无知识产权纠纷，且具有较强的创新能力和一定的项目实施条件。</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bCs w:val="0"/>
          <w:color w:val="000000"/>
          <w:kern w:val="0"/>
          <w:sz w:val="32"/>
          <w:szCs w:val="32"/>
          <w:highlight w:val="none"/>
          <w:lang w:val="en-US" w:eastAsia="zh-CN" w:bidi="ar"/>
        </w:rPr>
      </w:pPr>
      <w:r>
        <w:rPr>
          <w:rFonts w:hint="default" w:ascii="Times New Roman" w:hAnsi="Times New Roman" w:eastAsia="楷体_GB2312" w:cs="Times New Roman"/>
          <w:b w:val="0"/>
          <w:bCs w:val="0"/>
          <w:color w:val="000000"/>
          <w:kern w:val="0"/>
          <w:sz w:val="32"/>
          <w:szCs w:val="32"/>
          <w:highlight w:val="none"/>
          <w:lang w:val="en-US" w:eastAsia="zh-CN" w:bidi="ar"/>
        </w:rPr>
        <w:t>（二）参赛项目要求</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ascii="Times New Roman" w:hAnsi="Times New Roman" w:eastAsia="黑体" w:cs="Times New Roman"/>
          <w:sz w:val="32"/>
          <w:szCs w:val="32"/>
          <w:highlight w:val="none"/>
        </w:rPr>
      </w:pPr>
      <w:r>
        <w:rPr>
          <w:rFonts w:ascii="Times New Roman" w:hAnsi="Times New Roman" w:eastAsia="仿宋_GB2312" w:cs="Times New Roman"/>
          <w:sz w:val="32"/>
          <w:szCs w:val="32"/>
          <w:highlight w:val="none"/>
        </w:rPr>
        <w:t>颠覆性技术是</w:t>
      </w:r>
      <w:r>
        <w:rPr>
          <w:rFonts w:hint="eastAsia" w:ascii="仿宋_GB2312" w:hAnsi="仿宋_GB2312" w:eastAsia="仿宋_GB2312" w:cs="仿宋_GB2312"/>
          <w:sz w:val="32"/>
          <w:szCs w:val="32"/>
          <w:highlight w:val="none"/>
          <w:lang w:eastAsia="zh-CN"/>
        </w:rPr>
        <w:t>“</w:t>
      </w:r>
      <w:r>
        <w:rPr>
          <w:rFonts w:ascii="Times New Roman" w:hAnsi="Times New Roman" w:eastAsia="仿宋_GB2312" w:cs="Times New Roman"/>
          <w:sz w:val="32"/>
          <w:szCs w:val="32"/>
          <w:highlight w:val="none"/>
        </w:rPr>
        <w:t>可改变游戏规则</w:t>
      </w:r>
      <w:r>
        <w:rPr>
          <w:rFonts w:hint="eastAsia" w:ascii="仿宋_GB2312" w:hAnsi="仿宋_GB2312" w:eastAsia="仿宋_GB2312" w:cs="仿宋_GB2312"/>
          <w:sz w:val="32"/>
          <w:szCs w:val="32"/>
          <w:highlight w:val="none"/>
          <w:lang w:eastAsia="zh-CN"/>
        </w:rPr>
        <w:t>”</w:t>
      </w:r>
      <w:r>
        <w:rPr>
          <w:rFonts w:ascii="Times New Roman" w:hAnsi="Times New Roman" w:eastAsia="仿宋_GB2312" w:cs="Times New Roman"/>
          <w:sz w:val="32"/>
          <w:szCs w:val="32"/>
          <w:highlight w:val="none"/>
        </w:rPr>
        <w:t>的创新技术，以创新思维为根本，开辟新型技术发展模式，在发展到一定阶段时，将超越原有技术并产生替代，具有另辟蹊径改变技术轨道的演化曲线和颠覆现况的变革性效果。从技术角度看，是以科学技术的新原理、新组合和新应用为基础，开辟全新技术轨道，产生突破性的创新技术；从产业角度看，应与产业结合紧密，通过形成新工艺、新产品或新模式，利用技术创新带动产业升级换代，改变行业主流产品和市场格局，推动相关产业乃至全球经济的革命性、颠覆性进步。大赛聚焦对产业具有颠覆前景的技术项目，清晰阐明其技术突破性、产业变革性等。</w:t>
      </w:r>
    </w:p>
    <w:p>
      <w:pPr>
        <w:keepNext w:val="0"/>
        <w:keepLines w:val="0"/>
        <w:pageBreakBefore w:val="0"/>
        <w:suppressAutoHyphens/>
        <w:kinsoku/>
        <w:wordWrap/>
        <w:overflowPunct/>
        <w:topLinePunct w:val="0"/>
        <w:autoSpaceDE/>
        <w:autoSpaceDN/>
        <w:bidi w:val="0"/>
        <w:adjustRightInd/>
        <w:snapToGrid w:val="0"/>
        <w:spacing w:line="560" w:lineRule="exact"/>
        <w:ind w:firstLine="640" w:firstLineChars="200"/>
        <w:textAlignment w:val="auto"/>
        <w:outlineLvl w:val="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五、</w:t>
      </w:r>
      <w:r>
        <w:rPr>
          <w:rFonts w:ascii="Times New Roman" w:hAnsi="Times New Roman" w:eastAsia="黑体" w:cs="Times New Roman"/>
          <w:sz w:val="32"/>
          <w:szCs w:val="32"/>
          <w:highlight w:val="none"/>
        </w:rPr>
        <w:t>技术方向</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ascii="Times New Roman" w:hAnsi="Times New Roman" w:eastAsia="黑体" w:cs="Times New Roman"/>
          <w:sz w:val="32"/>
          <w:szCs w:val="32"/>
          <w:highlight w:val="none"/>
        </w:rPr>
      </w:pPr>
      <w:r>
        <w:rPr>
          <w:rFonts w:ascii="Times New Roman" w:hAnsi="Times New Roman" w:eastAsia="仿宋_GB2312" w:cs="Times New Roman"/>
          <w:color w:val="000000"/>
          <w:sz w:val="32"/>
          <w:szCs w:val="32"/>
          <w:highlight w:val="none"/>
        </w:rPr>
        <w:t>重点聚焦未来</w:t>
      </w:r>
      <w:r>
        <w:rPr>
          <w:rFonts w:hint="eastAsia" w:ascii="Times New Roman" w:hAnsi="Times New Roman" w:eastAsia="仿宋_GB2312" w:cs="Times New Roman"/>
          <w:sz w:val="32"/>
          <w:szCs w:val="32"/>
          <w:highlight w:val="none"/>
        </w:rPr>
        <w:t>健康</w:t>
      </w:r>
      <w:r>
        <w:rPr>
          <w:rFonts w:ascii="Times New Roman" w:hAnsi="Times New Roman" w:eastAsia="仿宋_GB2312" w:cs="Times New Roman"/>
          <w:color w:val="000000"/>
          <w:sz w:val="32"/>
          <w:szCs w:val="32"/>
          <w:highlight w:val="none"/>
        </w:rPr>
        <w:t>领域</w:t>
      </w:r>
      <w:r>
        <w:rPr>
          <w:rFonts w:ascii="Times New Roman" w:hAnsi="Times New Roman" w:eastAsia="仿宋_GB2312" w:cs="Times New Roman"/>
          <w:sz w:val="32"/>
          <w:szCs w:val="32"/>
          <w:highlight w:val="none"/>
        </w:rPr>
        <w:t>，</w:t>
      </w:r>
      <w:r>
        <w:rPr>
          <w:rFonts w:ascii="Times New Roman" w:hAnsi="Times New Roman" w:eastAsia="仿宋_GB2312" w:cs="Times New Roman"/>
          <w:color w:val="000000"/>
          <w:sz w:val="32"/>
          <w:szCs w:val="32"/>
          <w:highlight w:val="none"/>
        </w:rPr>
        <w:t>包括</w:t>
      </w:r>
      <w:r>
        <w:rPr>
          <w:rFonts w:ascii="Times New Roman" w:hAnsi="Times New Roman" w:eastAsia="仿宋_GB2312" w:cs="Times New Roman"/>
          <w:sz w:val="32"/>
          <w:szCs w:val="32"/>
          <w:highlight w:val="none"/>
        </w:rPr>
        <w:t>细胞和基因技术、合成生物、生物育种等前沿技术，5G/6G、元宇宙、人工智能等技术赋能</w:t>
      </w:r>
      <w:r>
        <w:rPr>
          <w:rFonts w:hint="eastAsia" w:ascii="Times New Roman" w:hAnsi="Times New Roman" w:eastAsia="仿宋_GB2312" w:cs="Times New Roman"/>
          <w:sz w:val="32"/>
          <w:szCs w:val="32"/>
          <w:highlight w:val="none"/>
        </w:rPr>
        <w:t>的</w:t>
      </w:r>
      <w:r>
        <w:rPr>
          <w:rFonts w:ascii="Times New Roman" w:hAnsi="Times New Roman" w:eastAsia="仿宋_GB2312" w:cs="Times New Roman"/>
          <w:sz w:val="32"/>
          <w:szCs w:val="32"/>
          <w:highlight w:val="none"/>
        </w:rPr>
        <w:t>新型医疗服务，融合数字孪生、脑机交互等先进技术的高端医疗装备和健康用品</w:t>
      </w:r>
      <w:r>
        <w:rPr>
          <w:rFonts w:ascii="Times New Roman" w:hAnsi="Times New Roman" w:eastAsia="仿宋_GB2312" w:cs="Times New Roman"/>
          <w:color w:val="000000"/>
          <w:sz w:val="32"/>
          <w:szCs w:val="32"/>
          <w:highlight w:val="none"/>
        </w:rPr>
        <w:t>等方向。</w:t>
      </w:r>
    </w:p>
    <w:p>
      <w:pPr>
        <w:keepNext w:val="0"/>
        <w:keepLines w:val="0"/>
        <w:pageBreakBefore w:val="0"/>
        <w:suppressAutoHyphens/>
        <w:kinsoku/>
        <w:wordWrap/>
        <w:overflowPunct/>
        <w:topLinePunct w:val="0"/>
        <w:autoSpaceDE/>
        <w:autoSpaceDN/>
        <w:bidi w:val="0"/>
        <w:adjustRightInd/>
        <w:snapToGrid w:val="0"/>
        <w:spacing w:line="560" w:lineRule="exact"/>
        <w:ind w:firstLine="640" w:firstLineChars="200"/>
        <w:textAlignment w:val="auto"/>
        <w:outlineLvl w:val="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六、</w:t>
      </w:r>
      <w:r>
        <w:rPr>
          <w:rFonts w:ascii="Times New Roman" w:hAnsi="Times New Roman" w:eastAsia="黑体" w:cs="Times New Roman"/>
          <w:sz w:val="32"/>
          <w:szCs w:val="32"/>
          <w:highlight w:val="none"/>
        </w:rPr>
        <w:t>赛程安排</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Times New Roman" w:hAnsi="Times New Roman" w:eastAsia="仿宋_GB2312" w:cs="Times New Roman"/>
          <w:sz w:val="32"/>
          <w:szCs w:val="32"/>
          <w:highlight w:val="none"/>
        </w:rPr>
      </w:pPr>
      <w:r>
        <w:rPr>
          <w:rFonts w:hint="eastAsia" w:ascii="楷体" w:hAnsi="楷体" w:eastAsia="楷体" w:cs="楷体"/>
          <w:b w:val="0"/>
          <w:color w:val="000000"/>
          <w:kern w:val="0"/>
          <w:sz w:val="32"/>
          <w:szCs w:val="32"/>
          <w:highlight w:val="none"/>
          <w:lang w:val="en-US" w:eastAsia="zh-CN" w:bidi="ar"/>
        </w:rPr>
        <w:t>（一）自主报名。</w:t>
      </w:r>
      <w:r>
        <w:rPr>
          <w:rFonts w:ascii="Times New Roman" w:hAnsi="Times New Roman" w:eastAsia="仿宋_GB2312" w:cs="Times New Roman"/>
          <w:sz w:val="32"/>
          <w:szCs w:val="32"/>
          <w:highlight w:val="none"/>
        </w:rPr>
        <w:t>各参赛单位通过大赛官方网站进行统一注册报名，同时承诺对填报信息的准确、真实、合法、有效性负责。</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报名截止时间为2024年</w:t>
      </w:r>
      <w:r>
        <w:rPr>
          <w:rFonts w:hint="eastAsia" w:ascii="Times New Roman" w:hAnsi="Times New Roman" w:eastAsia="仿宋_GB2312" w:cs="Times New Roman"/>
          <w:sz w:val="32"/>
          <w:szCs w:val="32"/>
          <w:highlight w:val="none"/>
          <w:lang w:val="en-US" w:eastAsia="zh-CN"/>
        </w:rPr>
        <w:t>10</w:t>
      </w:r>
      <w:r>
        <w:rPr>
          <w:rFonts w:hint="eastAsia" w:ascii="Times New Roman" w:hAnsi="Times New Roman" w:eastAsia="仿宋_GB2312" w:cs="Times New Roman"/>
          <w:sz w:val="32"/>
          <w:szCs w:val="32"/>
          <w:highlight w:val="none"/>
        </w:rPr>
        <w:t>月</w:t>
      </w:r>
      <w:r>
        <w:rPr>
          <w:rFonts w:hint="eastAsia" w:ascii="Times New Roman" w:hAnsi="Times New Roman" w:eastAsia="仿宋_GB2312" w:cs="Times New Roman"/>
          <w:sz w:val="32"/>
          <w:szCs w:val="32"/>
          <w:highlight w:val="none"/>
          <w:lang w:val="en-US" w:eastAsia="zh-CN"/>
        </w:rPr>
        <w:t>12</w:t>
      </w:r>
      <w:r>
        <w:rPr>
          <w:rFonts w:hint="eastAsia" w:ascii="Times New Roman" w:hAnsi="Times New Roman" w:eastAsia="仿宋_GB2312" w:cs="Times New Roman"/>
          <w:sz w:val="32"/>
          <w:szCs w:val="32"/>
          <w:highlight w:val="none"/>
        </w:rPr>
        <w:t>日。</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color w:val="000000"/>
          <w:kern w:val="0"/>
          <w:sz w:val="32"/>
          <w:szCs w:val="32"/>
          <w:highlight w:val="none"/>
          <w:lang w:val="en-US" w:eastAsia="zh-CN" w:bidi="ar"/>
        </w:rPr>
      </w:pPr>
      <w:r>
        <w:rPr>
          <w:rFonts w:hint="eastAsia" w:ascii="楷体" w:hAnsi="楷体" w:eastAsia="楷体" w:cs="楷体"/>
          <w:b w:val="0"/>
          <w:color w:val="000000"/>
          <w:kern w:val="0"/>
          <w:sz w:val="32"/>
          <w:szCs w:val="32"/>
          <w:highlight w:val="none"/>
          <w:lang w:val="en-US" w:eastAsia="zh-CN" w:bidi="ar"/>
        </w:rPr>
        <w:t>（二）</w:t>
      </w:r>
      <w:r>
        <w:rPr>
          <w:rFonts w:hint="default" w:ascii="楷体" w:hAnsi="楷体" w:eastAsia="楷体" w:cs="楷体"/>
          <w:b w:val="0"/>
          <w:color w:val="000000"/>
          <w:kern w:val="0"/>
          <w:sz w:val="32"/>
          <w:szCs w:val="32"/>
          <w:highlight w:val="none"/>
          <w:lang w:val="en-US" w:eastAsia="zh-CN" w:bidi="ar"/>
        </w:rPr>
        <w:t>项目审查和初筛。</w:t>
      </w:r>
      <w:r>
        <w:rPr>
          <w:rFonts w:hint="eastAsia" w:ascii="Times New Roman" w:hAnsi="Times New Roman" w:eastAsia="仿宋_GB2312" w:cs="Times New Roman"/>
          <w:color w:val="000000"/>
          <w:kern w:val="0"/>
          <w:sz w:val="32"/>
          <w:szCs w:val="32"/>
          <w:highlight w:val="none"/>
          <w:lang w:val="en-US" w:eastAsia="zh-CN" w:bidi="ar"/>
        </w:rPr>
        <w:t>由承办单位</w:t>
      </w:r>
      <w:r>
        <w:rPr>
          <w:rFonts w:hint="default" w:ascii="Times New Roman" w:hAnsi="Times New Roman" w:eastAsia="仿宋_GB2312" w:cs="Times New Roman"/>
          <w:color w:val="000000"/>
          <w:kern w:val="0"/>
          <w:sz w:val="32"/>
          <w:szCs w:val="32"/>
          <w:highlight w:val="none"/>
          <w:lang w:val="en-US" w:eastAsia="zh-CN" w:bidi="ar"/>
        </w:rPr>
        <w:t>按照项目合规性审查标准</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对报名参赛项目进行审查，再组织相关专家，采用全方位评议模式</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根据颠覆性技术评议标准进行初步筛选，确定进入领域赛项目名单。</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项目初筛时间为202</w:t>
      </w:r>
      <w:r>
        <w:rPr>
          <w:rFonts w:hint="eastAsia" w:ascii="Times New Roman" w:hAnsi="Times New Roman" w:eastAsia="仿宋_GB2312" w:cs="Times New Roman"/>
          <w:sz w:val="32"/>
          <w:szCs w:val="32"/>
          <w:highlight w:val="none"/>
          <w:lang w:val="en-US" w:eastAsia="zh-CN"/>
        </w:rPr>
        <w:t>4</w:t>
      </w:r>
      <w:r>
        <w:rPr>
          <w:rFonts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rPr>
        <w:t>10</w:t>
      </w:r>
      <w:r>
        <w:rPr>
          <w:rFonts w:ascii="Times New Roman" w:hAnsi="Times New Roman" w:eastAsia="仿宋_GB2312" w:cs="Times New Roman"/>
          <w:sz w:val="32"/>
          <w:szCs w:val="32"/>
          <w:highlight w:val="none"/>
        </w:rPr>
        <w:t>月</w:t>
      </w:r>
      <w:r>
        <w:rPr>
          <w:rFonts w:hint="eastAsia" w:ascii="Times New Roman" w:hAnsi="Times New Roman" w:eastAsia="仿宋_GB2312" w:cs="Times New Roman"/>
          <w:sz w:val="32"/>
          <w:szCs w:val="32"/>
          <w:highlight w:val="none"/>
        </w:rPr>
        <w:t>中旬。</w:t>
      </w:r>
    </w:p>
    <w:p>
      <w:pPr>
        <w:keepNext w:val="0"/>
        <w:keepLines w:val="0"/>
        <w:pageBreakBefore w:val="0"/>
        <w:kinsoku/>
        <w:wordWrap/>
        <w:overflowPunct/>
        <w:topLinePunct w:val="0"/>
        <w:autoSpaceDE/>
        <w:autoSpaceDN/>
        <w:bidi w:val="0"/>
        <w:adjustRightInd/>
        <w:spacing w:line="560" w:lineRule="exact"/>
        <w:ind w:firstLine="643" w:firstLineChars="200"/>
        <w:textAlignment w:val="auto"/>
        <w:rPr>
          <w:rFonts w:ascii="Times New Roman" w:hAnsi="Times New Roman" w:eastAsia="仿宋_GB2312" w:cs="Times New Roman"/>
          <w:b/>
          <w:bCs/>
          <w:sz w:val="32"/>
          <w:szCs w:val="32"/>
          <w:highlight w:val="none"/>
        </w:rPr>
      </w:pP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楷体" w:hAnsi="楷体" w:eastAsia="楷体" w:cs="楷体"/>
          <w:b w:val="0"/>
          <w:color w:val="000000"/>
          <w:kern w:val="0"/>
          <w:sz w:val="32"/>
          <w:szCs w:val="32"/>
          <w:highlight w:val="none"/>
          <w:lang w:val="en-US" w:eastAsia="zh-CN" w:bidi="ar"/>
        </w:rPr>
      </w:pPr>
      <w:r>
        <w:rPr>
          <w:rFonts w:hint="eastAsia" w:ascii="楷体" w:hAnsi="楷体" w:eastAsia="楷体" w:cs="楷体"/>
          <w:b w:val="0"/>
          <w:color w:val="000000"/>
          <w:kern w:val="0"/>
          <w:sz w:val="32"/>
          <w:szCs w:val="32"/>
          <w:highlight w:val="none"/>
          <w:lang w:val="en-US" w:eastAsia="zh-CN" w:bidi="ar"/>
        </w:rPr>
        <w:t>（三）</w:t>
      </w:r>
      <w:r>
        <w:rPr>
          <w:rFonts w:hint="default" w:ascii="楷体" w:hAnsi="楷体" w:eastAsia="楷体" w:cs="楷体"/>
          <w:b w:val="0"/>
          <w:color w:val="000000"/>
          <w:kern w:val="0"/>
          <w:sz w:val="32"/>
          <w:szCs w:val="32"/>
          <w:highlight w:val="none"/>
          <w:lang w:val="en-US" w:eastAsia="zh-CN" w:bidi="ar"/>
        </w:rPr>
        <w:t>比赛说明。</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0"/>
          <w:sz w:val="32"/>
          <w:szCs w:val="32"/>
          <w:highlight w:val="none"/>
        </w:rPr>
      </w:pPr>
      <w:r>
        <w:rPr>
          <w:rFonts w:hint="eastAsia" w:ascii="Times New Roman" w:hAnsi="Times New Roman" w:eastAsia="仿宋_GB2312" w:cs="Times New Roman"/>
          <w:color w:val="000000"/>
          <w:kern w:val="0"/>
          <w:sz w:val="32"/>
          <w:szCs w:val="32"/>
          <w:highlight w:val="none"/>
          <w:lang w:val="en-US" w:eastAsia="zh-CN" w:bidi="ar"/>
        </w:rPr>
        <w:t>1.</w:t>
      </w:r>
      <w:r>
        <w:rPr>
          <w:rFonts w:hint="default" w:ascii="Times New Roman" w:hAnsi="Times New Roman" w:eastAsia="仿宋_GB2312" w:cs="Times New Roman"/>
          <w:color w:val="000000"/>
          <w:kern w:val="0"/>
          <w:sz w:val="32"/>
          <w:szCs w:val="32"/>
          <w:highlight w:val="none"/>
          <w:lang w:val="en-US" w:eastAsia="zh-CN" w:bidi="ar"/>
        </w:rPr>
        <w:t>比赛分组。</w:t>
      </w:r>
      <w:r>
        <w:rPr>
          <w:rFonts w:hint="eastAsia" w:ascii="Times New Roman" w:hAnsi="Times New Roman" w:eastAsia="仿宋_GB2312" w:cs="Times New Roman"/>
          <w:color w:val="000000"/>
          <w:kern w:val="0"/>
          <w:sz w:val="32"/>
          <w:szCs w:val="32"/>
          <w:highlight w:val="none"/>
          <w:lang w:val="en-US" w:eastAsia="zh-CN" w:bidi="ar"/>
        </w:rPr>
        <w:t>未来健康领域赛</w:t>
      </w:r>
      <w:r>
        <w:rPr>
          <w:rFonts w:hint="default" w:ascii="Times New Roman" w:hAnsi="Times New Roman" w:eastAsia="仿宋_GB2312" w:cs="Times New Roman"/>
          <w:color w:val="000000"/>
          <w:kern w:val="0"/>
          <w:sz w:val="32"/>
          <w:szCs w:val="32"/>
          <w:highlight w:val="none"/>
          <w:lang w:val="en-US" w:eastAsia="zh-CN" w:bidi="ar"/>
        </w:rPr>
        <w:t>将参赛单位分组并排序，参加评议的评委随机分组组成评议组，项目组与评议组随机匹配。</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color w:val="000000"/>
          <w:sz w:val="32"/>
          <w:szCs w:val="24"/>
          <w:highlight w:val="none"/>
          <w:shd w:val="clear" w:color="auto" w:fill="FFFFFF"/>
        </w:rPr>
      </w:pPr>
      <w:r>
        <w:rPr>
          <w:rFonts w:hint="eastAsia" w:ascii="Times New Roman" w:hAnsi="Times New Roman" w:eastAsia="仿宋_GB2312" w:cs="Times New Roman"/>
          <w:color w:val="000000"/>
          <w:kern w:val="0"/>
          <w:sz w:val="32"/>
          <w:szCs w:val="32"/>
          <w:highlight w:val="none"/>
          <w:lang w:val="en-US" w:eastAsia="zh-CN" w:bidi="ar"/>
        </w:rPr>
        <w:t>2.</w:t>
      </w:r>
      <w:r>
        <w:rPr>
          <w:rFonts w:hint="default" w:ascii="Times New Roman" w:hAnsi="Times New Roman" w:eastAsia="仿宋_GB2312" w:cs="Times New Roman"/>
          <w:color w:val="000000"/>
          <w:kern w:val="0"/>
          <w:sz w:val="32"/>
          <w:szCs w:val="32"/>
          <w:highlight w:val="none"/>
          <w:lang w:val="en-US" w:eastAsia="zh-CN" w:bidi="ar"/>
        </w:rPr>
        <w:t>比赛模式。</w:t>
      </w:r>
      <w:r>
        <w:rPr>
          <w:rFonts w:hint="eastAsia" w:ascii="Times New Roman" w:hAnsi="Times New Roman" w:eastAsia="仿宋_GB2312" w:cs="Times New Roman"/>
          <w:color w:val="000000"/>
          <w:kern w:val="0"/>
          <w:sz w:val="32"/>
          <w:szCs w:val="32"/>
          <w:highlight w:val="none"/>
          <w:lang w:val="en-US" w:eastAsia="zh-CN" w:bidi="ar"/>
        </w:rPr>
        <w:t>未来健康领域赛</w:t>
      </w:r>
      <w:r>
        <w:rPr>
          <w:rFonts w:hint="default" w:ascii="Times New Roman" w:hAnsi="Times New Roman" w:eastAsia="仿宋_GB2312" w:cs="Times New Roman"/>
          <w:color w:val="000000"/>
          <w:kern w:val="0"/>
          <w:sz w:val="32"/>
          <w:szCs w:val="32"/>
          <w:highlight w:val="none"/>
          <w:lang w:val="en-US" w:eastAsia="zh-CN" w:bidi="ar"/>
        </w:rPr>
        <w:t>采用</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12+8</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模式封闭式陈述和答辩，参赛选手陈述时间12分钟，评议组问答时间8分钟。</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color w:val="000000"/>
          <w:sz w:val="32"/>
          <w:szCs w:val="24"/>
          <w:highlight w:val="none"/>
          <w:shd w:val="clear" w:color="auto" w:fill="FFFFFF"/>
          <w:lang w:val="en-US" w:eastAsia="zh-CN"/>
        </w:rPr>
        <w:t>3.</w:t>
      </w:r>
      <w:r>
        <w:rPr>
          <w:rFonts w:ascii="Times New Roman" w:hAnsi="Times New Roman" w:eastAsia="仿宋_GB2312" w:cs="Times New Roman"/>
          <w:color w:val="000000"/>
          <w:sz w:val="32"/>
          <w:szCs w:val="24"/>
          <w:highlight w:val="none"/>
          <w:shd w:val="clear" w:color="auto" w:fill="FFFFFF"/>
        </w:rPr>
        <w:t>评议流程。评议流程按初次评议和交叉评议两个环节依次进行。初次评议既对项目技术情况作出颠覆性可能评价，也进行评级；交叉评议对项目技术情况的颠覆性可能作进一步识别。</w:t>
      </w:r>
      <w:r>
        <w:rPr>
          <w:rFonts w:hint="eastAsia" w:ascii="Times New Roman" w:hAnsi="Times New Roman" w:eastAsia="仿宋_GB2312" w:cs="Times New Roman"/>
          <w:color w:val="000000"/>
          <w:sz w:val="32"/>
          <w:szCs w:val="24"/>
          <w:highlight w:val="none"/>
          <w:shd w:val="clear" w:color="auto" w:fill="FFFFFF"/>
        </w:rPr>
        <w:t>评议结果</w:t>
      </w:r>
      <w:r>
        <w:rPr>
          <w:rFonts w:hint="eastAsia" w:ascii="Times New Roman" w:hAnsi="Times New Roman" w:eastAsia="仿宋_GB2312" w:cs="Times New Roman"/>
          <w:sz w:val="32"/>
          <w:szCs w:val="32"/>
          <w:highlight w:val="none"/>
        </w:rPr>
        <w:t>分为优秀项目和优胜项目，优胜项目择优进入决赛。</w:t>
      </w:r>
    </w:p>
    <w:p>
      <w:pPr>
        <w:keepNext w:val="0"/>
        <w:keepLines w:val="0"/>
        <w:pageBreakBefore w:val="0"/>
        <w:suppressAutoHyphens/>
        <w:kinsoku/>
        <w:wordWrap/>
        <w:overflowPunct/>
        <w:topLinePunct w:val="0"/>
        <w:autoSpaceDE/>
        <w:autoSpaceDN/>
        <w:bidi w:val="0"/>
        <w:adjustRightInd/>
        <w:spacing w:line="560" w:lineRule="exact"/>
        <w:ind w:left="420" w:leftChars="200" w:firstLine="320" w:firstLineChars="100"/>
        <w:textAlignment w:val="auto"/>
        <w:rPr>
          <w:rFonts w:ascii="Times New Roman" w:hAnsi="Times New Roman" w:eastAsia="仿宋_GB2312" w:cs="Times New Roman"/>
          <w:color w:val="000000"/>
          <w:sz w:val="32"/>
          <w:szCs w:val="24"/>
          <w:highlight w:val="none"/>
          <w:shd w:val="clear" w:color="auto" w:fill="FFFFFF"/>
        </w:rPr>
      </w:pPr>
      <w:r>
        <w:rPr>
          <w:rFonts w:hint="eastAsia" w:ascii="Times New Roman" w:hAnsi="Times New Roman" w:eastAsia="仿宋_GB2312" w:cs="Times New Roman"/>
          <w:color w:val="000000"/>
          <w:sz w:val="32"/>
          <w:szCs w:val="24"/>
          <w:highlight w:val="none"/>
          <w:shd w:val="clear" w:color="auto" w:fill="FFFFFF"/>
          <w:lang w:val="en-US" w:eastAsia="zh-CN"/>
        </w:rPr>
        <w:t>4.</w:t>
      </w:r>
      <w:r>
        <w:rPr>
          <w:rFonts w:ascii="Times New Roman" w:hAnsi="Times New Roman" w:eastAsia="仿宋_GB2312" w:cs="Times New Roman"/>
          <w:color w:val="000000"/>
          <w:sz w:val="32"/>
          <w:szCs w:val="24"/>
          <w:highlight w:val="none"/>
          <w:shd w:val="clear" w:color="auto" w:fill="FFFFFF"/>
        </w:rPr>
        <w:t>组织方案。</w:t>
      </w:r>
    </w:p>
    <w:p>
      <w:pPr>
        <w:keepNext w:val="0"/>
        <w:keepLines w:val="0"/>
        <w:pageBreakBefore w:val="0"/>
        <w:suppressAutoHyphens/>
        <w:kinsoku/>
        <w:wordWrap/>
        <w:overflowPunct/>
        <w:topLinePunct w:val="0"/>
        <w:autoSpaceDE/>
        <w:autoSpaceDN/>
        <w:bidi w:val="0"/>
        <w:adjustRightInd/>
        <w:spacing w:line="560" w:lineRule="exact"/>
        <w:ind w:firstLine="640" w:firstLineChars="200"/>
        <w:textAlignment w:val="auto"/>
        <w:rPr>
          <w:rFonts w:hint="eastAsia" w:ascii="Times New Roman" w:hAnsi="Times New Roman" w:eastAsia="仿宋_GB2312" w:cs="Times New Roman"/>
          <w:kern w:val="0"/>
          <w:sz w:val="32"/>
          <w:szCs w:val="32"/>
          <w:highlight w:val="none"/>
          <w:lang w:eastAsia="zh-CN"/>
        </w:rPr>
      </w:pP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1</w:t>
      </w:r>
      <w:r>
        <w:rPr>
          <w:rFonts w:hint="eastAsia" w:ascii="Times New Roman" w:hAnsi="Times New Roman" w:eastAsia="仿宋_GB2312" w:cs="Times New Roman"/>
          <w:sz w:val="32"/>
          <w:szCs w:val="32"/>
          <w:highlight w:val="none"/>
          <w:lang w:eastAsia="zh-CN"/>
        </w:rPr>
        <w:t>）</w:t>
      </w:r>
      <w:r>
        <w:rPr>
          <w:rFonts w:ascii="Times New Roman" w:hAnsi="Times New Roman" w:eastAsia="仿宋_GB2312" w:cs="Times New Roman"/>
          <w:kern w:val="0"/>
          <w:sz w:val="32"/>
          <w:szCs w:val="32"/>
          <w:highlight w:val="none"/>
        </w:rPr>
        <w:t>比赛时间：</w:t>
      </w:r>
      <w:r>
        <w:rPr>
          <w:rFonts w:hint="eastAsia" w:ascii="Times New Roman" w:hAnsi="Times New Roman" w:eastAsia="仿宋_GB2312" w:cs="Times New Roman"/>
          <w:kern w:val="0"/>
          <w:sz w:val="32"/>
          <w:szCs w:val="32"/>
          <w:highlight w:val="none"/>
        </w:rPr>
        <w:t>2024年10月2</w:t>
      </w:r>
      <w:r>
        <w:rPr>
          <w:rFonts w:hint="eastAsia" w:ascii="Times New Roman" w:hAnsi="Times New Roman" w:eastAsia="仿宋_GB2312" w:cs="Times New Roman"/>
          <w:kern w:val="0"/>
          <w:sz w:val="32"/>
          <w:szCs w:val="32"/>
          <w:highlight w:val="none"/>
          <w:lang w:val="en-US" w:eastAsia="zh-CN"/>
        </w:rPr>
        <w:t>4</w:t>
      </w:r>
      <w:r>
        <w:rPr>
          <w:rFonts w:hint="eastAsia" w:ascii="Times New Roman" w:hAnsi="Times New Roman" w:eastAsia="仿宋_GB2312" w:cs="Times New Roman"/>
          <w:kern w:val="0"/>
          <w:sz w:val="32"/>
          <w:szCs w:val="32"/>
          <w:highlight w:val="none"/>
        </w:rPr>
        <w:t>日</w:t>
      </w:r>
      <w:r>
        <w:rPr>
          <w:rFonts w:hint="eastAsia" w:ascii="Times New Roman" w:hAnsi="Times New Roman" w:eastAsia="仿宋_GB2312" w:cs="Times New Roman"/>
          <w:kern w:val="0"/>
          <w:sz w:val="32"/>
          <w:szCs w:val="32"/>
          <w:highlight w:val="none"/>
          <w:lang w:val="en-US" w:eastAsia="zh-CN"/>
        </w:rPr>
        <w:t>-10月</w:t>
      </w:r>
      <w:r>
        <w:rPr>
          <w:rFonts w:hint="eastAsia" w:ascii="Times New Roman" w:hAnsi="Times New Roman" w:eastAsia="仿宋_GB2312" w:cs="Times New Roman"/>
          <w:kern w:val="0"/>
          <w:sz w:val="32"/>
          <w:szCs w:val="32"/>
          <w:highlight w:val="none"/>
        </w:rPr>
        <w:t>2</w:t>
      </w:r>
      <w:r>
        <w:rPr>
          <w:rFonts w:hint="eastAsia" w:ascii="Times New Roman" w:hAnsi="Times New Roman" w:eastAsia="仿宋_GB2312" w:cs="Times New Roman"/>
          <w:kern w:val="0"/>
          <w:sz w:val="32"/>
          <w:szCs w:val="32"/>
          <w:highlight w:val="none"/>
          <w:lang w:val="en-US" w:eastAsia="zh-CN"/>
        </w:rPr>
        <w:t>6</w:t>
      </w:r>
      <w:r>
        <w:rPr>
          <w:rFonts w:hint="eastAsia" w:ascii="Times New Roman" w:hAnsi="Times New Roman" w:eastAsia="仿宋_GB2312" w:cs="Times New Roman"/>
          <w:kern w:val="0"/>
          <w:sz w:val="32"/>
          <w:szCs w:val="32"/>
          <w:highlight w:val="none"/>
        </w:rPr>
        <w:t>日</w:t>
      </w:r>
      <w:r>
        <w:rPr>
          <w:rFonts w:hint="eastAsia" w:ascii="Times New Roman" w:hAnsi="Times New Roman" w:eastAsia="仿宋_GB2312" w:cs="Times New Roman"/>
          <w:kern w:val="0"/>
          <w:sz w:val="32"/>
          <w:szCs w:val="32"/>
          <w:highlight w:val="none"/>
          <w:lang w:eastAsia="zh-CN"/>
        </w:rPr>
        <w:t>。</w:t>
      </w:r>
    </w:p>
    <w:p>
      <w:pPr>
        <w:keepNext w:val="0"/>
        <w:keepLines w:val="0"/>
        <w:pageBreakBefore w:val="0"/>
        <w:widowControl/>
        <w:suppressAutoHyphens/>
        <w:kinsoku/>
        <w:wordWrap/>
        <w:overflowPunct/>
        <w:topLinePunct w:val="0"/>
        <w:autoSpaceDE/>
        <w:autoSpaceDN/>
        <w:bidi w:val="0"/>
        <w:adjustRightInd/>
        <w:snapToGrid w:val="0"/>
        <w:spacing w:line="560" w:lineRule="exact"/>
        <w:ind w:firstLine="640" w:firstLineChars="200"/>
        <w:jc w:val="left"/>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lang w:eastAsia="zh-CN"/>
        </w:rPr>
        <w:t>）</w:t>
      </w:r>
      <w:r>
        <w:rPr>
          <w:rFonts w:ascii="Times New Roman" w:hAnsi="Times New Roman" w:eastAsia="仿宋_GB2312" w:cs="Times New Roman"/>
          <w:sz w:val="32"/>
          <w:szCs w:val="32"/>
          <w:highlight w:val="none"/>
        </w:rPr>
        <w:t>参赛人员。每个参赛项目单位选派1-2名代表作为选手参加比赛。其中1名为参赛项目的负责人或研发团队主要人员作为陈述和答辩人，另可选派1名助手。</w:t>
      </w:r>
    </w:p>
    <w:p>
      <w:pPr>
        <w:keepNext w:val="0"/>
        <w:keepLines w:val="0"/>
        <w:pageBreakBefore w:val="0"/>
        <w:widowControl/>
        <w:suppressAutoHyphens/>
        <w:kinsoku/>
        <w:wordWrap/>
        <w:overflowPunct/>
        <w:topLinePunct w:val="0"/>
        <w:autoSpaceDE/>
        <w:autoSpaceDN/>
        <w:bidi w:val="0"/>
        <w:adjustRightInd/>
        <w:snapToGrid w:val="0"/>
        <w:spacing w:line="560" w:lineRule="exact"/>
        <w:ind w:firstLine="640" w:firstLineChars="200"/>
        <w:jc w:val="left"/>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3</w:t>
      </w:r>
      <w:r>
        <w:rPr>
          <w:rFonts w:hint="eastAsia" w:ascii="Times New Roman" w:hAnsi="Times New Roman" w:eastAsia="仿宋_GB2312" w:cs="Times New Roman"/>
          <w:sz w:val="32"/>
          <w:szCs w:val="32"/>
          <w:highlight w:val="none"/>
          <w:lang w:eastAsia="zh-CN"/>
        </w:rPr>
        <w:t>）</w:t>
      </w:r>
      <w:r>
        <w:rPr>
          <w:rFonts w:ascii="Times New Roman" w:hAnsi="Times New Roman" w:eastAsia="仿宋_GB2312" w:cs="Times New Roman"/>
          <w:sz w:val="32"/>
          <w:szCs w:val="32"/>
          <w:highlight w:val="none"/>
        </w:rPr>
        <w:t>比赛展示。参赛选手须提供比赛使用的PPT电子版。参赛选手可在比赛中展示产品、样品等相关实物模型。</w:t>
      </w:r>
    </w:p>
    <w:p>
      <w:pPr>
        <w:keepNext w:val="0"/>
        <w:keepLines w:val="0"/>
        <w:pageBreakBefore w:val="0"/>
        <w:suppressAutoHyphens/>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kern w:val="0"/>
          <w:sz w:val="32"/>
          <w:szCs w:val="32"/>
          <w:highlight w:val="none"/>
        </w:rPr>
      </w:pP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4</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参赛费用。</w:t>
      </w:r>
      <w:r>
        <w:rPr>
          <w:rFonts w:hint="default" w:ascii="Times New Roman" w:hAnsi="Times New Roman" w:eastAsia="仿宋_GB2312" w:cs="Times New Roman"/>
          <w:color w:val="000000"/>
          <w:kern w:val="0"/>
          <w:sz w:val="32"/>
          <w:szCs w:val="32"/>
          <w:highlight w:val="none"/>
          <w:lang w:val="en-US" w:eastAsia="zh-CN" w:bidi="ar"/>
        </w:rPr>
        <w:t>未来健康领域赛不向参赛单位收取任何费用</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不统一安排食宿，差旅费、食宿费自理</w:t>
      </w:r>
      <w:r>
        <w:rPr>
          <w:rFonts w:hint="default" w:ascii="Times New Roman" w:hAnsi="Times New Roman" w:eastAsia="仿宋_GB2312" w:cs="Times New Roman"/>
          <w:b w:val="0"/>
          <w:bCs w:val="0"/>
          <w:kern w:val="2"/>
          <w:sz w:val="32"/>
          <w:szCs w:val="32"/>
          <w:highlight w:val="none"/>
          <w:lang w:val="en-US" w:eastAsia="zh-CN" w:bidi="ar-SA"/>
        </w:rPr>
        <w:t>。</w:t>
      </w:r>
    </w:p>
    <w:p>
      <w:pPr>
        <w:keepNext w:val="0"/>
        <w:keepLines w:val="0"/>
        <w:pageBreakBefore w:val="0"/>
        <w:suppressAutoHyphens/>
        <w:kinsoku/>
        <w:wordWrap/>
        <w:overflowPunct/>
        <w:topLinePunct w:val="0"/>
        <w:autoSpaceDE/>
        <w:autoSpaceDN/>
        <w:bidi w:val="0"/>
        <w:adjustRightInd/>
        <w:snapToGrid w:val="0"/>
        <w:spacing w:line="560" w:lineRule="exact"/>
        <w:ind w:firstLine="640" w:firstLineChars="200"/>
        <w:textAlignment w:val="auto"/>
        <w:outlineLvl w:val="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七、</w:t>
      </w:r>
      <w:r>
        <w:rPr>
          <w:rFonts w:hint="eastAsia" w:ascii="Times New Roman" w:hAnsi="Times New Roman" w:eastAsia="黑体" w:cs="Times New Roman"/>
          <w:sz w:val="32"/>
          <w:szCs w:val="32"/>
          <w:highlight w:val="none"/>
        </w:rPr>
        <w:t>服务政策</w:t>
      </w:r>
    </w:p>
    <w:p>
      <w:pPr>
        <w:keepNext w:val="0"/>
        <w:keepLines w:val="0"/>
        <w:pageBreakBefore w:val="0"/>
        <w:kinsoku/>
        <w:wordWrap/>
        <w:overflowPunct/>
        <w:topLinePunct w:val="0"/>
        <w:autoSpaceDE/>
        <w:autoSpaceDN/>
        <w:bidi w:val="0"/>
        <w:adjustRightInd/>
        <w:spacing w:line="560" w:lineRule="exact"/>
        <w:ind w:left="0" w:leftChars="0" w:firstLine="640" w:firstLineChars="200"/>
        <w:textAlignment w:val="auto"/>
        <w:rPr>
          <w:rFonts w:ascii="Times New Roman" w:hAnsi="Times New Roman" w:eastAsia="仿宋_GB2312" w:cs="Times New Roman"/>
          <w:sz w:val="32"/>
          <w:szCs w:val="32"/>
          <w:highlight w:val="none"/>
        </w:rPr>
      </w:pPr>
      <w:r>
        <w:rPr>
          <w:rFonts w:hint="eastAsia" w:ascii="楷体" w:hAnsi="楷体" w:eastAsia="楷体" w:cs="楷体"/>
          <w:b w:val="0"/>
          <w:bCs w:val="0"/>
          <w:color w:val="000000"/>
          <w:kern w:val="0"/>
          <w:sz w:val="32"/>
          <w:szCs w:val="32"/>
          <w:highlight w:val="none"/>
          <w:lang w:val="en-US" w:eastAsia="zh-CN" w:bidi="ar"/>
        </w:rPr>
        <w:t>（一）落地支持。</w:t>
      </w:r>
      <w:r>
        <w:rPr>
          <w:rFonts w:ascii="Times New Roman" w:hAnsi="Times New Roman" w:eastAsia="仿宋_GB2312" w:cs="Times New Roman"/>
          <w:sz w:val="32"/>
          <w:szCs w:val="32"/>
          <w:highlight w:val="none"/>
        </w:rPr>
        <w:t>采用专项政策、一事一议等方式给予组合支持。采取以赛代评、专项组织、部门会商等多种组织方式。资金支持方式可采取无偿资助（分期、里程碑等）、国有投资平台股权投资、贷款贴息等。最终获得总决赛优胜奖的项目给予200万资金支持，提供落地孵化、创业辅导、</w:t>
      </w:r>
      <w:r>
        <w:rPr>
          <w:rFonts w:ascii="Times New Roman" w:hAnsi="Times New Roman" w:eastAsia="仿宋_GB2312" w:cs="Times New Roman"/>
          <w:spacing w:val="-6"/>
          <w:sz w:val="32"/>
          <w:szCs w:val="32"/>
          <w:highlight w:val="none"/>
        </w:rPr>
        <w:t>投融资对接等扶持措施，并将对落地项目开展持续跟踪支持。</w:t>
      </w:r>
    </w:p>
    <w:p>
      <w:pPr>
        <w:keepNext w:val="0"/>
        <w:keepLines w:val="0"/>
        <w:pageBreakBefore w:val="0"/>
        <w:kinsoku/>
        <w:wordWrap/>
        <w:overflowPunct/>
        <w:topLinePunct w:val="0"/>
        <w:autoSpaceDE/>
        <w:autoSpaceDN/>
        <w:bidi w:val="0"/>
        <w:adjustRightInd/>
        <w:spacing w:line="560" w:lineRule="exact"/>
        <w:ind w:left="0" w:leftChars="0" w:firstLine="640" w:firstLineChars="200"/>
        <w:textAlignment w:val="auto"/>
        <w:rPr>
          <w:rFonts w:ascii="Times New Roman" w:hAnsi="Times New Roman" w:eastAsia="仿宋_GB2312" w:cs="Times New Roman"/>
          <w:sz w:val="32"/>
          <w:szCs w:val="32"/>
          <w:highlight w:val="none"/>
        </w:rPr>
      </w:pPr>
      <w:r>
        <w:rPr>
          <w:rFonts w:hint="eastAsia" w:ascii="楷体" w:hAnsi="楷体" w:eastAsia="楷体" w:cs="楷体"/>
          <w:b w:val="0"/>
          <w:bCs w:val="0"/>
          <w:color w:val="000000"/>
          <w:kern w:val="0"/>
          <w:sz w:val="32"/>
          <w:szCs w:val="32"/>
          <w:highlight w:val="none"/>
          <w:lang w:val="en-US" w:eastAsia="zh-CN" w:bidi="ar"/>
        </w:rPr>
        <w:t>（二）空间保障。</w:t>
      </w:r>
      <w:r>
        <w:rPr>
          <w:rFonts w:hint="eastAsia" w:ascii="Times New Roman" w:hAnsi="Times New Roman" w:eastAsia="仿宋_GB2312" w:cs="Times New Roman"/>
          <w:sz w:val="32"/>
          <w:szCs w:val="32"/>
          <w:highlight w:val="none"/>
        </w:rPr>
        <w:t>对首创性、长周期的颠覆性技术项目，变</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rPr>
        <w:t>前置准入</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rPr>
        <w:t>为</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rPr>
        <w:t>后期评估</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rPr>
        <w:t>，提升非共识项目风险容忍度，与优质潜力企业共成长。</w:t>
      </w:r>
      <w:r>
        <w:rPr>
          <w:rFonts w:ascii="Times New Roman" w:hAnsi="Times New Roman" w:eastAsia="仿宋_GB2312" w:cs="Times New Roman"/>
          <w:sz w:val="32"/>
          <w:szCs w:val="32"/>
          <w:highlight w:val="none"/>
        </w:rPr>
        <w:t>奉贤区正大力发展未来健康产业，近年兴建众多生物医药、合成生物、医疗器械产业园与孵化器，通过颠覆性技术创新大赛窗口协助落户项目匹配产业化场地等资源，助力项目扩大应用场景并高效开展科技成果转移转化，推动形成颠覆性技术产业。</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Times New Roman" w:hAnsi="Times New Roman" w:eastAsia="仿宋_GB2312" w:cs="Times New Roman"/>
          <w:sz w:val="32"/>
          <w:szCs w:val="32"/>
          <w:highlight w:val="none"/>
        </w:rPr>
      </w:pPr>
      <w:r>
        <w:rPr>
          <w:rFonts w:hint="eastAsia" w:ascii="楷体" w:hAnsi="楷体" w:eastAsia="楷体" w:cs="楷体"/>
          <w:b w:val="0"/>
          <w:bCs w:val="0"/>
          <w:color w:val="000000"/>
          <w:kern w:val="0"/>
          <w:sz w:val="32"/>
          <w:szCs w:val="32"/>
          <w:highlight w:val="none"/>
          <w:lang w:val="en-US" w:eastAsia="zh-CN" w:bidi="ar"/>
        </w:rPr>
        <w:t>（三）科技金融。</w:t>
      </w:r>
      <w:r>
        <w:rPr>
          <w:rFonts w:ascii="Times New Roman" w:hAnsi="Times New Roman" w:eastAsia="仿宋_GB2312" w:cs="Times New Roman"/>
          <w:sz w:val="32"/>
          <w:szCs w:val="32"/>
          <w:highlight w:val="none"/>
        </w:rPr>
        <w:t>奉贤区成立奉投基金，专注于区内创新项目的投融资，承办机构将协助对接产业高端战略机构、创业投资机构、商业银行等创新资源，建立全生命周期服务体系，推动开展系统的深度孵化服务。对落户项目给予科技金融贷款贴息支持、贴保支持、天使投资支持等补贴。</w:t>
      </w:r>
      <w:r>
        <w:rPr>
          <w:rFonts w:hint="default" w:ascii="Times New Roman" w:hAnsi="Times New Roman" w:eastAsia="仿宋_GB2312" w:cs="Times New Roman"/>
          <w:color w:val="000000"/>
          <w:kern w:val="0"/>
          <w:sz w:val="32"/>
          <w:szCs w:val="32"/>
          <w:highlight w:val="none"/>
          <w:lang w:val="en-US" w:eastAsia="zh-CN" w:bidi="ar"/>
        </w:rPr>
        <w:t>促进国家产融合作平台为参赛企业在优惠信贷、发行债券、上市融资等方面创造便利条件，大赛合作银行择优给予参赛企业贷款授信支持。</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楷体" w:hAnsi="楷体" w:eastAsia="楷体" w:cs="楷体"/>
          <w:color w:val="000000"/>
          <w:kern w:val="0"/>
          <w:sz w:val="32"/>
          <w:szCs w:val="32"/>
          <w:highlight w:val="none"/>
          <w:lang w:val="en-US" w:eastAsia="zh-CN" w:bidi="ar"/>
        </w:rPr>
        <w:t>（四）人才服务。</w:t>
      </w:r>
      <w:r>
        <w:rPr>
          <w:rFonts w:hint="default" w:ascii="Times New Roman" w:hAnsi="Times New Roman" w:eastAsia="仿宋_GB2312" w:cs="Times New Roman"/>
          <w:color w:val="000000"/>
          <w:kern w:val="0"/>
          <w:sz w:val="32"/>
          <w:szCs w:val="32"/>
          <w:highlight w:val="none"/>
          <w:lang w:val="en-US" w:eastAsia="zh-CN" w:bidi="ar"/>
        </w:rPr>
        <w:t>联合相关高校为参赛企业举办创新创业优秀人才招聘，推荐参赛企业参加国家高新区科研助理岗招聘活动。依托</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百园百校万企</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合作行动，为高新区、企业提供人才服务。</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kern w:val="0"/>
          <w:sz w:val="32"/>
          <w:szCs w:val="32"/>
          <w:highlight w:val="none"/>
          <w:lang w:val="en-US" w:eastAsia="zh-CN" w:bidi="ar"/>
        </w:rPr>
      </w:pPr>
      <w:r>
        <w:rPr>
          <w:rFonts w:hint="eastAsia" w:ascii="楷体" w:hAnsi="楷体" w:eastAsia="楷体" w:cs="楷体"/>
          <w:color w:val="000000"/>
          <w:kern w:val="0"/>
          <w:sz w:val="32"/>
          <w:szCs w:val="32"/>
          <w:highlight w:val="none"/>
          <w:lang w:val="en-US" w:eastAsia="zh-CN" w:bidi="ar"/>
        </w:rPr>
        <w:t>（五）信息服务。</w:t>
      </w:r>
      <w:r>
        <w:rPr>
          <w:rFonts w:hint="default" w:ascii="Times New Roman" w:hAnsi="Times New Roman" w:eastAsia="仿宋_GB2312" w:cs="Times New Roman"/>
          <w:color w:val="000000"/>
          <w:kern w:val="0"/>
          <w:sz w:val="32"/>
          <w:szCs w:val="32"/>
          <w:highlight w:val="none"/>
          <w:lang w:val="en-US" w:eastAsia="zh-CN" w:bidi="ar"/>
        </w:rPr>
        <w:t>定向为获奖企业推送相关领域政府投资项目规划信息、科研项目指南信息、武器装备采购需求等信息；根据获奖企业技术特点和需求方向，精准推送先进领域技术成果信息，并促进与成果转化意向单位洽谈合作；向大型工业企业、科研院所推送获奖企业的项目产品、知识产权、技术成果信息，促进协同创新和产研合作。</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楷体" w:hAnsi="楷体" w:eastAsia="楷体" w:cs="楷体"/>
          <w:color w:val="000000"/>
          <w:kern w:val="0"/>
          <w:sz w:val="32"/>
          <w:szCs w:val="32"/>
          <w:highlight w:val="none"/>
          <w:lang w:val="en-US" w:eastAsia="zh-CN" w:bidi="ar"/>
        </w:rPr>
        <w:t>（六）培训对接。</w:t>
      </w:r>
      <w:r>
        <w:rPr>
          <w:rFonts w:hint="eastAsia" w:ascii="仿宋_GB2312" w:hAnsi="仿宋_GB2312" w:eastAsia="仿宋_GB2312" w:cs="仿宋_GB2312"/>
          <w:color w:val="000000"/>
          <w:kern w:val="0"/>
          <w:sz w:val="32"/>
          <w:szCs w:val="32"/>
          <w:highlight w:val="none"/>
          <w:lang w:val="en-US" w:eastAsia="zh-CN" w:bidi="ar"/>
        </w:rPr>
        <w:t>组织“创新创业训练营”</w:t>
      </w:r>
      <w:r>
        <w:rPr>
          <w:rFonts w:hint="default" w:ascii="Times New Roman" w:hAnsi="Times New Roman" w:eastAsia="仿宋_GB2312" w:cs="Times New Roman"/>
          <w:color w:val="000000"/>
          <w:kern w:val="0"/>
          <w:sz w:val="32"/>
          <w:szCs w:val="32"/>
          <w:highlight w:val="none"/>
          <w:lang w:val="en-US" w:eastAsia="zh-CN" w:bidi="ar"/>
        </w:rPr>
        <w:t>等活动，为优秀参赛企业提供专项政策对接、与大企业合作、新技术场景应用等增值服务。联合军工行业有关部门，为优势企业搭建快速参军渠道，提供政策宣讲、资质辅导、技术评价、供需对接、军工科研项目咨询、市场开拓等服务。</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楷体" w:hAnsi="楷体" w:eastAsia="楷体" w:cs="楷体"/>
          <w:color w:val="000000"/>
          <w:kern w:val="0"/>
          <w:sz w:val="32"/>
          <w:szCs w:val="32"/>
          <w:highlight w:val="none"/>
          <w:lang w:val="en-US" w:eastAsia="zh-CN" w:bidi="ar"/>
        </w:rPr>
        <w:t>（七）专项支持。</w:t>
      </w:r>
      <w:r>
        <w:rPr>
          <w:rFonts w:hint="default" w:ascii="Times New Roman" w:hAnsi="Times New Roman" w:eastAsia="仿宋_GB2312" w:cs="Times New Roman"/>
          <w:color w:val="000000"/>
          <w:kern w:val="0"/>
          <w:sz w:val="32"/>
          <w:szCs w:val="32"/>
          <w:highlight w:val="none"/>
          <w:lang w:val="en-US" w:eastAsia="zh-CN" w:bidi="ar"/>
        </w:rPr>
        <w:t>支持符合条件的参赛企业纳入工业和信息化部优质企业梯度培育体系，争取国家颠覆性技术创新重点专项支持。</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Times New Roman" w:hAnsi="Times New Roman" w:eastAsia="仿宋_GB2312" w:cs="Times New Roman"/>
          <w:sz w:val="32"/>
          <w:szCs w:val="32"/>
          <w:highlight w:val="none"/>
        </w:rPr>
      </w:pPr>
      <w:r>
        <w:rPr>
          <w:rFonts w:hint="eastAsia" w:ascii="楷体" w:hAnsi="楷体" w:eastAsia="楷体" w:cs="楷体"/>
          <w:color w:val="000000"/>
          <w:kern w:val="0"/>
          <w:sz w:val="32"/>
          <w:szCs w:val="32"/>
          <w:highlight w:val="none"/>
          <w:lang w:val="en-US" w:eastAsia="zh-CN" w:bidi="ar"/>
        </w:rPr>
        <w:t>（八）宣传展示。</w:t>
      </w:r>
      <w:r>
        <w:rPr>
          <w:rFonts w:hint="default" w:ascii="Times New Roman" w:hAnsi="Times New Roman" w:eastAsia="仿宋_GB2312" w:cs="Times New Roman"/>
          <w:color w:val="000000"/>
          <w:kern w:val="0"/>
          <w:sz w:val="32"/>
          <w:szCs w:val="32"/>
          <w:highlight w:val="none"/>
          <w:lang w:val="en-US" w:eastAsia="zh-CN" w:bidi="ar"/>
        </w:rPr>
        <w:t>通过中国创新创业大赛官网、合作媒体渠道、大赛附属论坛、展览、培训等活动，对赛事进行宣传展示。</w:t>
      </w:r>
    </w:p>
    <w:p>
      <w:pPr>
        <w:keepNext w:val="0"/>
        <w:keepLines w:val="0"/>
        <w:pageBreakBefore w:val="0"/>
        <w:suppressAutoHyphens/>
        <w:kinsoku/>
        <w:wordWrap/>
        <w:overflowPunct/>
        <w:topLinePunct w:val="0"/>
        <w:autoSpaceDE/>
        <w:autoSpaceDN/>
        <w:bidi w:val="0"/>
        <w:adjustRightInd/>
        <w:snapToGrid w:val="0"/>
        <w:spacing w:line="560" w:lineRule="exact"/>
        <w:ind w:firstLine="640" w:firstLineChars="200"/>
        <w:textAlignment w:val="auto"/>
        <w:outlineLvl w:val="0"/>
        <w:rPr>
          <w:rFonts w:hint="eastAsia" w:ascii="Times New Roman" w:hAnsi="Times New Roman" w:eastAsia="黑体" w:cs="Times New Roman"/>
          <w:sz w:val="32"/>
          <w:szCs w:val="32"/>
          <w:highlight w:val="none"/>
        </w:rPr>
      </w:pPr>
    </w:p>
    <w:p>
      <w:pPr>
        <w:keepNext w:val="0"/>
        <w:keepLines w:val="0"/>
        <w:pageBreakBefore w:val="0"/>
        <w:widowControl/>
        <w:suppressAutoHyphens/>
        <w:kinsoku/>
        <w:wordWrap/>
        <w:overflowPunct/>
        <w:topLinePunct w:val="0"/>
        <w:autoSpaceDE/>
        <w:autoSpaceDN/>
        <w:bidi w:val="0"/>
        <w:adjustRightInd/>
        <w:snapToGrid w:val="0"/>
        <w:spacing w:line="560" w:lineRule="exact"/>
        <w:ind w:firstLine="640" w:firstLineChars="200"/>
        <w:jc w:val="left"/>
        <w:textAlignment w:val="auto"/>
        <w:rPr>
          <w:rFonts w:ascii="Times New Roman" w:hAnsi="Times New Roman" w:eastAsia="仿宋_GB2312" w:cs="Times New Roman"/>
          <w:sz w:val="32"/>
          <w:szCs w:val="32"/>
          <w:highlight w:val="none"/>
          <w:shd w:val="clear" w:color="auto" w:fill="FFFFFF"/>
        </w:rPr>
      </w:pPr>
      <w:r>
        <w:rPr>
          <w:rFonts w:hint="eastAsia" w:ascii="Times New Roman" w:hAnsi="Times New Roman" w:eastAsia="仿宋_GB2312" w:cs="Times New Roman"/>
          <w:sz w:val="32"/>
          <w:szCs w:val="32"/>
          <w:highlight w:val="none"/>
        </w:rPr>
        <w:t>联系人：唐旭东</w:t>
      </w:r>
      <w:r>
        <w:rPr>
          <w:rFonts w:hint="eastAsia" w:ascii="Times New Roman" w:hAnsi="Times New Roman" w:eastAsia="仿宋_GB2312" w:cs="Times New Roman"/>
          <w:sz w:val="32"/>
          <w:szCs w:val="32"/>
          <w:highlight w:val="none"/>
          <w:lang w:val="en-US" w:eastAsia="zh-CN"/>
        </w:rPr>
        <w:t xml:space="preserve">  </w:t>
      </w:r>
      <w:r>
        <w:rPr>
          <w:rFonts w:hint="eastAsia" w:ascii="Times New Roman" w:hAnsi="Times New Roman" w:eastAsia="仿宋_GB2312" w:cs="Times New Roman"/>
          <w:sz w:val="32"/>
          <w:szCs w:val="32"/>
          <w:highlight w:val="none"/>
        </w:rPr>
        <w:t>13917662089</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184F27"/>
    <w:rsid w:val="6F184F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2024-09-14T10:46:00Z</dcterms:created>
  <dc:creator>Chen</dc:creator>
  <cp:lastModifiedBy>Chen</cp:lastModifiedBy>
  <dcterms:modified xsi:type="dcterms:W3CDTF">2024-09-14T10:46:27Z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ies>
</file>