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both"/>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附件1</w:t>
      </w:r>
    </w:p>
    <w:p>
      <w:pPr>
        <w:keepNext w:val="0"/>
        <w:keepLines w:val="0"/>
        <w:pageBreakBefore w:val="0"/>
        <w:kinsoku/>
        <w:wordWrap/>
        <w:overflowPunct/>
        <w:topLinePunct w:val="0"/>
        <w:autoSpaceDE/>
        <w:autoSpaceDN/>
        <w:bidi w:val="0"/>
        <w:adjustRightInd w:val="0"/>
        <w:snapToGrid w:val="0"/>
        <w:spacing w:line="560" w:lineRule="exact"/>
        <w:jc w:val="both"/>
        <w:rPr>
          <w:rFonts w:hint="default" w:asciiTheme="majorEastAsia" w:hAnsiTheme="majorEastAsia" w:eastAsiaTheme="majorEastAsia" w:cstheme="majorEastAsia"/>
          <w:b w:val="0"/>
          <w:bCs w:val="0"/>
          <w:sz w:val="44"/>
          <w:szCs w:val="44"/>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深圳市龙岗区商务发展专项资金支持商贸业</w:t>
      </w:r>
    </w:p>
    <w:p>
      <w:pPr>
        <w:keepNext w:val="0"/>
        <w:keepLines w:val="0"/>
        <w:pageBreakBefore w:val="0"/>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val="0"/>
          <w:bCs w:val="0"/>
          <w:sz w:val="44"/>
          <w:szCs w:val="44"/>
          <w:highlight w:val="none"/>
          <w:u w:val="none"/>
        </w:rPr>
      </w:pPr>
      <w:r>
        <w:rPr>
          <w:rFonts w:hint="eastAsia" w:ascii="方正小标宋简体" w:hAnsi="方正小标宋简体" w:eastAsia="方正小标宋简体" w:cs="方正小标宋简体"/>
          <w:spacing w:val="-2"/>
          <w:sz w:val="44"/>
          <w:szCs w:val="44"/>
          <w:lang w:val="en-US" w:eastAsia="zh-CN"/>
        </w:rPr>
        <w:t>发展实施细则</w:t>
      </w:r>
    </w:p>
    <w:p>
      <w:pPr>
        <w:pStyle w:val="4"/>
        <w:keepNext w:val="0"/>
        <w:keepLines w:val="0"/>
        <w:pageBreakBefore w:val="0"/>
        <w:kinsoku/>
        <w:wordWrap/>
        <w:overflowPunct/>
        <w:topLinePunct w:val="0"/>
        <w:autoSpaceDE/>
        <w:autoSpaceDN/>
        <w:bidi w:val="0"/>
        <w:adjustRightInd w:val="0"/>
        <w:snapToGrid w:val="0"/>
        <w:spacing w:line="560" w:lineRule="exact"/>
        <w:jc w:val="center"/>
        <w:rPr>
          <w:rFonts w:hint="eastAsia" w:ascii="楷体_GB2312" w:hAnsi="楷体_GB2312" w:eastAsia="楷体_GB2312" w:cs="楷体_GB2312"/>
          <w:kern w:val="2"/>
          <w:sz w:val="32"/>
          <w:szCs w:val="32"/>
          <w:highlight w:val="none"/>
          <w:u w:val="none"/>
          <w:lang w:val="en-US" w:eastAsia="zh-CN" w:bidi="ar-SA"/>
        </w:rPr>
      </w:pPr>
      <w:r>
        <w:rPr>
          <w:rFonts w:hint="eastAsia" w:ascii="楷体_GB2312" w:hAnsi="楷体_GB2312" w:eastAsia="楷体_GB2312" w:cs="楷体_GB2312"/>
          <w:kern w:val="2"/>
          <w:sz w:val="32"/>
          <w:szCs w:val="32"/>
          <w:highlight w:val="none"/>
          <w:u w:val="none"/>
          <w:lang w:val="en-US" w:eastAsia="zh-CN" w:bidi="ar-SA"/>
        </w:rPr>
        <w:t>（征求意见稿）</w:t>
      </w:r>
    </w:p>
    <w:p>
      <w:pPr>
        <w:pStyle w:val="4"/>
        <w:keepNext w:val="0"/>
        <w:keepLines w:val="0"/>
        <w:pageBreakBefore w:val="0"/>
        <w:kinsoku/>
        <w:wordWrap/>
        <w:overflowPunct/>
        <w:topLinePunct w:val="0"/>
        <w:autoSpaceDE/>
        <w:autoSpaceDN/>
        <w:bidi w:val="0"/>
        <w:adjustRightInd w:val="0"/>
        <w:snapToGrid w:val="0"/>
        <w:spacing w:line="560" w:lineRule="exact"/>
        <w:jc w:val="both"/>
        <w:rPr>
          <w:rFonts w:hint="eastAsia" w:ascii="Arial" w:hAnsi="Arial" w:eastAsia="仿宋" w:cs="Arial"/>
          <w:sz w:val="32"/>
          <w:szCs w:val="32"/>
          <w:highlight w:val="none"/>
          <w:u w:val="none"/>
          <w:lang w:eastAsia="zh-CN"/>
        </w:rPr>
      </w:pPr>
    </w:p>
    <w:p>
      <w:pPr>
        <w:keepNext w:val="0"/>
        <w:keepLines w:val="0"/>
        <w:pageBreakBefore w:val="0"/>
        <w:numPr>
          <w:ilvl w:val="0"/>
          <w:numId w:val="1"/>
        </w:numPr>
        <w:kinsoku/>
        <w:wordWrap/>
        <w:overflowPunct/>
        <w:topLinePunct w:val="0"/>
        <w:autoSpaceDE/>
        <w:autoSpaceDN/>
        <w:bidi w:val="0"/>
        <w:adjustRightInd w:val="0"/>
        <w:snapToGrid w:val="0"/>
        <w:spacing w:line="560" w:lineRule="exact"/>
        <w:jc w:val="center"/>
        <w:rPr>
          <w:rFonts w:ascii="黑体" w:hAnsi="黑体" w:eastAsia="黑体" w:cs="黑体"/>
          <w:sz w:val="32"/>
          <w:szCs w:val="32"/>
          <w:highlight w:val="none"/>
          <w:u w:val="none"/>
        </w:rPr>
      </w:pPr>
      <w:r>
        <w:rPr>
          <w:rFonts w:hint="eastAsia" w:ascii="黑体" w:hAnsi="黑体" w:eastAsia="黑体" w:cs="黑体"/>
          <w:sz w:val="32"/>
          <w:szCs w:val="32"/>
          <w:highlight w:val="none"/>
          <w:u w:val="none"/>
        </w:rPr>
        <w:t>总则</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jc w:val="both"/>
        <w:rPr>
          <w:rFonts w:ascii="仿宋_GB2312" w:hAnsi="Arial" w:eastAsia="仿宋_GB2312" w:cs="Arial"/>
          <w:sz w:val="32"/>
          <w:szCs w:val="32"/>
          <w:highlight w:val="none"/>
          <w:u w:val="none"/>
        </w:rPr>
      </w:pPr>
      <w:r>
        <w:rPr>
          <w:rFonts w:hint="eastAsia" w:ascii="仿宋_GB2312" w:hAnsi="Arial" w:eastAsia="仿宋_GB2312" w:cs="Arial"/>
          <w:sz w:val="32"/>
          <w:szCs w:val="32"/>
          <w:highlight w:val="none"/>
          <w:u w:val="none"/>
        </w:rPr>
        <w:t xml:space="preserve"> 根据《深圳市龙岗区区级财政专项资金管理办法</w:t>
      </w:r>
      <w:r>
        <w:rPr>
          <w:rFonts w:hint="eastAsia" w:ascii="仿宋_GB2312" w:hAnsi="Arial" w:eastAsia="仿宋_GB2312" w:cs="Arial"/>
          <w:sz w:val="32"/>
          <w:szCs w:val="32"/>
          <w:highlight w:val="none"/>
          <w:u w:val="none"/>
          <w:lang w:eastAsia="zh-CN"/>
        </w:rPr>
        <w:t>（修订）</w:t>
      </w:r>
      <w:r>
        <w:rPr>
          <w:rFonts w:hint="eastAsia" w:ascii="仿宋_GB2312" w:hAnsi="Arial" w:eastAsia="仿宋_GB2312" w:cs="Arial"/>
          <w:sz w:val="32"/>
          <w:szCs w:val="32"/>
          <w:highlight w:val="none"/>
          <w:u w:val="none"/>
        </w:rPr>
        <w:t>》（深龙府规</w:t>
      </w:r>
      <w:r>
        <w:rPr>
          <w:rFonts w:hint="eastAsia" w:ascii="仿宋_GB2312" w:hAnsi="仿宋_GB2312" w:eastAsia="仿宋_GB2312" w:cs="仿宋_GB2312"/>
          <w:sz w:val="32"/>
          <w:szCs w:val="32"/>
          <w:highlight w:val="none"/>
          <w:u w:val="none"/>
        </w:rPr>
        <w:t>〔</w:t>
      </w:r>
      <w:r>
        <w:rPr>
          <w:rFonts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4</w:t>
      </w:r>
      <w:r>
        <w:rPr>
          <w:rFonts w:hint="eastAsia" w:ascii="仿宋_GB2312" w:hAnsi="Arial" w:eastAsia="仿宋_GB2312" w:cs="Arial"/>
          <w:sz w:val="32"/>
          <w:szCs w:val="32"/>
          <w:highlight w:val="none"/>
          <w:u w:val="none"/>
        </w:rPr>
        <w:t>〕</w:t>
      </w:r>
      <w:r>
        <w:rPr>
          <w:rFonts w:hint="eastAsia" w:ascii="仿宋_GB2312" w:hAnsi="Arial" w:eastAsia="仿宋_GB2312" w:cs="Arial"/>
          <w:sz w:val="32"/>
          <w:szCs w:val="32"/>
          <w:highlight w:val="none"/>
          <w:u w:val="none"/>
          <w:lang w:val="en-US" w:eastAsia="zh-CN"/>
        </w:rPr>
        <w:t>4</w:t>
      </w:r>
      <w:r>
        <w:rPr>
          <w:rFonts w:hint="eastAsia" w:ascii="仿宋_GB2312" w:hAnsi="Arial" w:eastAsia="仿宋_GB2312" w:cs="Arial"/>
          <w:sz w:val="32"/>
          <w:szCs w:val="32"/>
          <w:highlight w:val="none"/>
          <w:u w:val="none"/>
        </w:rPr>
        <w:t>号），结合工作实际，制定本实施细则。</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jc w:val="both"/>
        <w:rPr>
          <w:rFonts w:ascii="仿宋_GB2312" w:hAnsi="Arial" w:eastAsia="仿宋_GB2312" w:cs="Arial"/>
          <w:sz w:val="32"/>
          <w:szCs w:val="32"/>
          <w:highlight w:val="none"/>
          <w:u w:val="none"/>
        </w:rPr>
      </w:pPr>
      <w:r>
        <w:rPr>
          <w:rFonts w:hint="eastAsia" w:ascii="仿宋_GB2312" w:hAnsi="Arial" w:eastAsia="仿宋_GB2312" w:cs="Arial"/>
          <w:sz w:val="32"/>
          <w:szCs w:val="32"/>
          <w:highlight w:val="none"/>
          <w:u w:val="none"/>
        </w:rPr>
        <w:t xml:space="preserve"> 本实施细则所需资金从深圳市龙岗区商务发展专项资金中列支，实行总额控制，如果年度资助规模超出财政预算，则对扶持项目应获资助金额按比例核减。</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jc w:val="both"/>
        <w:rPr>
          <w:rFonts w:ascii="仿宋_GB2312" w:hAnsi="Arial" w:eastAsia="仿宋_GB2312" w:cs="Arial"/>
          <w:sz w:val="32"/>
          <w:szCs w:val="32"/>
          <w:highlight w:val="none"/>
          <w:u w:val="none"/>
        </w:rPr>
      </w:pPr>
      <w:r>
        <w:rPr>
          <w:rFonts w:hint="eastAsia" w:ascii="仿宋_GB2312" w:hAnsi="Arial" w:eastAsia="仿宋_GB2312" w:cs="Arial"/>
          <w:sz w:val="32"/>
          <w:szCs w:val="32"/>
          <w:highlight w:val="none"/>
          <w:u w:val="none"/>
        </w:rPr>
        <w:t xml:space="preserve"> 区</w:t>
      </w:r>
      <w:r>
        <w:rPr>
          <w:rFonts w:hint="eastAsia" w:ascii="仿宋_GB2312" w:hAnsi="Arial" w:eastAsia="仿宋_GB2312" w:cs="Arial"/>
          <w:sz w:val="32"/>
          <w:szCs w:val="32"/>
          <w:highlight w:val="none"/>
          <w:u w:val="none"/>
          <w:lang w:eastAsia="zh-CN"/>
        </w:rPr>
        <w:t>商务</w:t>
      </w:r>
      <w:r>
        <w:rPr>
          <w:rFonts w:hint="eastAsia" w:ascii="仿宋_GB2312" w:hAnsi="Arial" w:eastAsia="仿宋_GB2312" w:cs="Arial"/>
          <w:sz w:val="32"/>
          <w:szCs w:val="32"/>
          <w:highlight w:val="none"/>
          <w:u w:val="none"/>
        </w:rPr>
        <w:t>局是本细则的实施部门。</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630"/>
        <w:jc w:val="both"/>
        <w:rPr>
          <w:rFonts w:ascii="仿宋_GB2312" w:hAnsi="Arial" w:eastAsia="仿宋_GB2312" w:cs="Arial"/>
          <w:sz w:val="32"/>
          <w:szCs w:val="32"/>
          <w:highlight w:val="none"/>
          <w:u w:val="none"/>
        </w:rPr>
      </w:pPr>
    </w:p>
    <w:p>
      <w:pPr>
        <w:pStyle w:val="8"/>
        <w:keepNext w:val="0"/>
        <w:keepLines w:val="0"/>
        <w:pageBreakBefore w:val="0"/>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560" w:lineRule="exact"/>
        <w:jc w:val="center"/>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扶持范围、标准和审核方式</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60" w:lineRule="exact"/>
        <w:ind w:left="-10" w:leftChars="0" w:right="0" w:rightChars="0" w:firstLine="640" w:firstLineChars="0"/>
        <w:jc w:val="both"/>
        <w:textAlignment w:val="baseline"/>
        <w:outlineLvl w:val="9"/>
        <w:rPr>
          <w:rFonts w:hint="eastAsia" w:ascii="楷体_GB2312" w:hAnsi="楷体_GB2312" w:eastAsia="楷体_GB2312" w:cs="楷体_GB2312"/>
          <w:b/>
          <w:bCs/>
          <w:color w:val="auto"/>
          <w:kern w:val="2"/>
          <w:sz w:val="32"/>
          <w:szCs w:val="32"/>
          <w:highlight w:val="none"/>
          <w:u w:val="none"/>
        </w:rPr>
      </w:pPr>
      <w:r>
        <w:rPr>
          <w:rFonts w:hint="eastAsia" w:ascii="楷体_GB2312" w:hAnsi="楷体_GB2312" w:eastAsia="楷体_GB2312" w:cs="楷体_GB2312"/>
          <w:b/>
          <w:bCs/>
          <w:color w:val="auto"/>
          <w:kern w:val="2"/>
          <w:sz w:val="32"/>
          <w:szCs w:val="32"/>
          <w:highlight w:val="none"/>
          <w:u w:val="none"/>
          <w:lang w:val="en-US" w:eastAsia="zh-CN"/>
        </w:rPr>
        <w:t xml:space="preserve"> </w:t>
      </w:r>
      <w:r>
        <w:rPr>
          <w:rFonts w:hint="eastAsia" w:ascii="楷体_GB2312" w:hAnsi="楷体_GB2312" w:eastAsia="楷体_GB2312" w:cs="楷体_GB2312"/>
          <w:b/>
          <w:bCs/>
          <w:color w:val="auto"/>
          <w:kern w:val="2"/>
          <w:sz w:val="32"/>
          <w:szCs w:val="32"/>
          <w:highlight w:val="none"/>
          <w:u w:val="none"/>
        </w:rPr>
        <w:t>推动企业上规模</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eastAsia" w:ascii="仿宋_GB2312" w:hAnsi="Arial" w:eastAsia="仿宋_GB2312" w:cs="Arial"/>
          <w:color w:val="auto"/>
          <w:kern w:val="2"/>
          <w:sz w:val="32"/>
          <w:szCs w:val="32"/>
          <w:highlight w:val="none"/>
          <w:lang w:val="en-US" w:eastAsia="zh-CN" w:bidi="ar-SA"/>
        </w:rPr>
      </w:pPr>
      <w:r>
        <w:rPr>
          <w:rFonts w:hint="eastAsia" w:ascii="仿宋_GB2312" w:hAnsi="Arial" w:eastAsia="仿宋_GB2312" w:cs="Arial"/>
          <w:color w:val="auto"/>
          <w:kern w:val="2"/>
          <w:sz w:val="32"/>
          <w:szCs w:val="32"/>
          <w:highlight w:val="none"/>
          <w:u w:val="none"/>
        </w:rPr>
        <w:t>（一）扶持范围：</w:t>
      </w:r>
      <w:r>
        <w:rPr>
          <w:rFonts w:hint="eastAsia" w:ascii="仿宋_GB2312" w:hAnsi="Arial" w:eastAsia="仿宋_GB2312" w:cs="Arial"/>
          <w:color w:val="auto"/>
          <w:kern w:val="2"/>
          <w:sz w:val="32"/>
          <w:szCs w:val="32"/>
          <w:highlight w:val="none"/>
          <w:lang w:val="en-US" w:eastAsia="zh-CN" w:bidi="ar-SA"/>
        </w:rPr>
        <w:t>对首次纳入国家统计局统计联网直报平台（非转专业）并于次年实现销售额（营业额、营业收入）正增长的批发、零售、餐饮业企业，且其实际经营地在龙岗区。</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（二）扶持方式和标准：</w:t>
      </w:r>
      <w:r>
        <w:rPr>
          <w:rFonts w:hint="eastAsia" w:ascii="仿宋_GB2312" w:hAnsi="仿宋_GB2312" w:eastAsia="仿宋_GB2312" w:cs="仿宋_GB2312"/>
          <w:color w:val="auto"/>
          <w:sz w:val="32"/>
          <w:szCs w:val="32"/>
          <w:highlight w:val="none"/>
          <w:u w:val="none"/>
        </w:rPr>
        <w:t>给予</w:t>
      </w:r>
      <w:r>
        <w:rPr>
          <w:rFonts w:hint="eastAsia" w:ascii="仿宋_GB2312" w:hAnsi="仿宋_GB2312" w:eastAsia="仿宋_GB2312" w:cs="仿宋_GB2312"/>
          <w:color w:val="auto"/>
          <w:sz w:val="32"/>
          <w:szCs w:val="32"/>
          <w:highlight w:val="none"/>
          <w:u w:val="none"/>
          <w:lang w:eastAsia="zh-CN"/>
        </w:rPr>
        <w:t>不超过</w:t>
      </w:r>
      <w:r>
        <w:rPr>
          <w:rFonts w:ascii="仿宋_GB2312" w:hAnsi="仿宋_GB2312" w:eastAsia="仿宋_GB2312" w:cs="仿宋_GB2312"/>
          <w:color w:val="auto"/>
          <w:sz w:val="32"/>
          <w:szCs w:val="32"/>
          <w:highlight w:val="none"/>
          <w:u w:val="none"/>
        </w:rPr>
        <w:t>10万元的一次性奖励。</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（三）审核方式：核准制。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bCs/>
          <w:color w:val="auto"/>
          <w:kern w:val="2"/>
          <w:sz w:val="32"/>
          <w:szCs w:val="32"/>
          <w:highlight w:val="none"/>
          <w:u w:val="none"/>
        </w:rPr>
      </w:pPr>
      <w:r>
        <w:rPr>
          <w:rFonts w:hint="eastAsia" w:ascii="楷体_GB2312" w:hAnsi="楷体_GB2312" w:eastAsia="楷体_GB2312" w:cs="楷体_GB2312"/>
          <w:b/>
          <w:bCs/>
          <w:color w:val="auto"/>
          <w:kern w:val="2"/>
          <w:sz w:val="32"/>
          <w:szCs w:val="32"/>
          <w:highlight w:val="none"/>
          <w:u w:val="none"/>
        </w:rPr>
        <w:t>第</w:t>
      </w:r>
      <w:r>
        <w:rPr>
          <w:rFonts w:hint="eastAsia" w:ascii="楷体_GB2312" w:hAnsi="楷体_GB2312" w:eastAsia="楷体_GB2312" w:cs="楷体_GB2312"/>
          <w:b/>
          <w:bCs/>
          <w:color w:val="auto"/>
          <w:kern w:val="2"/>
          <w:sz w:val="32"/>
          <w:szCs w:val="32"/>
          <w:highlight w:val="none"/>
          <w:u w:val="none"/>
          <w:lang w:eastAsia="zh-CN"/>
        </w:rPr>
        <w:t>五</w:t>
      </w:r>
      <w:r>
        <w:rPr>
          <w:rFonts w:hint="eastAsia" w:ascii="楷体_GB2312" w:hAnsi="楷体_GB2312" w:eastAsia="楷体_GB2312" w:cs="楷体_GB2312"/>
          <w:b/>
          <w:bCs/>
          <w:color w:val="auto"/>
          <w:kern w:val="2"/>
          <w:sz w:val="32"/>
          <w:szCs w:val="32"/>
          <w:highlight w:val="none"/>
          <w:u w:val="none"/>
        </w:rPr>
        <w:t>条</w:t>
      </w:r>
      <w:r>
        <w:rPr>
          <w:rFonts w:hint="eastAsia" w:ascii="楷体_GB2312" w:hAnsi="楷体_GB2312" w:eastAsia="楷体_GB2312" w:cs="楷体_GB2312"/>
          <w:color w:val="auto"/>
          <w:sz w:val="32"/>
          <w:szCs w:val="32"/>
          <w:highlight w:val="none"/>
          <w:u w:val="none"/>
        </w:rPr>
        <w:t xml:space="preserve"> </w:t>
      </w:r>
      <w:r>
        <w:rPr>
          <w:rFonts w:hint="eastAsia" w:ascii="楷体_GB2312" w:hAnsi="楷体_GB2312" w:eastAsia="楷体_GB2312" w:cs="楷体_GB2312"/>
          <w:b/>
          <w:bCs/>
          <w:color w:val="auto"/>
          <w:kern w:val="2"/>
          <w:sz w:val="32"/>
          <w:szCs w:val="32"/>
          <w:highlight w:val="none"/>
          <w:u w:val="none"/>
        </w:rPr>
        <w:t>支持</w:t>
      </w:r>
      <w:r>
        <w:rPr>
          <w:rFonts w:hint="eastAsia" w:ascii="楷体_GB2312" w:hAnsi="楷体_GB2312" w:eastAsia="楷体_GB2312" w:cs="楷体_GB2312"/>
          <w:b/>
          <w:bCs/>
          <w:color w:val="auto"/>
          <w:kern w:val="2"/>
          <w:sz w:val="32"/>
          <w:szCs w:val="32"/>
          <w:highlight w:val="none"/>
          <w:u w:val="none"/>
          <w:lang w:eastAsia="zh-CN"/>
        </w:rPr>
        <w:t>首店引进</w:t>
      </w:r>
    </w:p>
    <w:p>
      <w:pPr>
        <w:keepNext w:val="0"/>
        <w:keepLines w:val="0"/>
        <w:pageBreakBefore w:val="0"/>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（一）扶持范围：</w:t>
      </w:r>
      <w:r>
        <w:rPr>
          <w:rFonts w:hint="eastAsia" w:ascii="仿宋_GB2312" w:hAnsi="仿宋_GB2312" w:eastAsia="仿宋_GB2312" w:cs="仿宋_GB2312"/>
          <w:bCs w:val="0"/>
          <w:color w:val="auto"/>
          <w:kern w:val="0"/>
          <w:sz w:val="32"/>
          <w:szCs w:val="32"/>
          <w:highlight w:val="none"/>
          <w:lang w:val="en-US" w:eastAsia="zh-CN" w:bidi="ar-SA"/>
        </w:rPr>
        <w:t>在龙岗区实际经营的商业运营机构</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仿宋_GB2312" w:hAnsi="仿宋_GB2312" w:eastAsia="仿宋_GB2312" w:cs="仿宋_GB2312"/>
          <w:bCs w:val="0"/>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rPr>
        <w:t>（二）扶持方式和标准：</w:t>
      </w:r>
      <w:r>
        <w:rPr>
          <w:rFonts w:hint="eastAsia" w:ascii="仿宋_GB2312" w:hAnsi="仿宋_GB2312" w:eastAsia="仿宋_GB2312" w:cs="仿宋_GB2312"/>
          <w:bCs w:val="0"/>
          <w:color w:val="auto"/>
          <w:kern w:val="0"/>
          <w:sz w:val="32"/>
          <w:szCs w:val="32"/>
          <w:highlight w:val="none"/>
          <w:lang w:val="en-US" w:eastAsia="zh-CN" w:bidi="ar-SA"/>
        </w:rPr>
        <w:t>对引进国际知名品牌企业、国内自主知名品牌企业及其授权代理商在龙岗区开设中国内地首店、华南首店、深圳首店的商业运营机构每个项目分别奖励20万元、15万元、10万元，每年最高不超过100万元。</w:t>
      </w:r>
    </w:p>
    <w:p>
      <w:pPr>
        <w:pStyle w:val="8"/>
        <w:keepNext w:val="0"/>
        <w:keepLines w:val="0"/>
        <w:pageBreakBefore w:val="0"/>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审核方式：核准制。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2" w:firstLineChars="200"/>
        <w:jc w:val="both"/>
        <w:textAlignment w:val="baseline"/>
        <w:rPr>
          <w:rFonts w:hint="eastAsia" w:ascii="楷体_GB2312" w:hAnsi="楷体_GB2312" w:eastAsia="楷体_GB2312" w:cs="楷体_GB2312"/>
          <w:b/>
          <w:bCs/>
          <w:color w:val="auto"/>
          <w:kern w:val="2"/>
          <w:sz w:val="32"/>
          <w:szCs w:val="32"/>
          <w:highlight w:val="none"/>
          <w:u w:val="none"/>
        </w:rPr>
      </w:pPr>
      <w:r>
        <w:rPr>
          <w:rFonts w:hint="eastAsia" w:ascii="楷体_GB2312" w:hAnsi="楷体_GB2312" w:eastAsia="楷体_GB2312" w:cs="楷体_GB2312"/>
          <w:b/>
          <w:bCs/>
          <w:color w:val="auto"/>
          <w:kern w:val="2"/>
          <w:sz w:val="32"/>
          <w:szCs w:val="32"/>
          <w:highlight w:val="none"/>
          <w:u w:val="none"/>
        </w:rPr>
        <w:t>第</w:t>
      </w:r>
      <w:r>
        <w:rPr>
          <w:rFonts w:hint="eastAsia" w:ascii="楷体_GB2312" w:hAnsi="楷体_GB2312" w:eastAsia="楷体_GB2312" w:cs="楷体_GB2312"/>
          <w:b/>
          <w:bCs/>
          <w:color w:val="auto"/>
          <w:kern w:val="2"/>
          <w:sz w:val="32"/>
          <w:szCs w:val="32"/>
          <w:highlight w:val="none"/>
          <w:u w:val="none"/>
          <w:lang w:eastAsia="zh-CN"/>
        </w:rPr>
        <w:t>六</w:t>
      </w:r>
      <w:r>
        <w:rPr>
          <w:rFonts w:hint="eastAsia" w:ascii="楷体_GB2312" w:hAnsi="楷体_GB2312" w:eastAsia="楷体_GB2312" w:cs="楷体_GB2312"/>
          <w:b/>
          <w:bCs/>
          <w:color w:val="auto"/>
          <w:kern w:val="2"/>
          <w:sz w:val="32"/>
          <w:szCs w:val="32"/>
          <w:highlight w:val="none"/>
          <w:u w:val="none"/>
        </w:rPr>
        <w:t>条</w:t>
      </w:r>
      <w:r>
        <w:rPr>
          <w:rFonts w:hint="eastAsia" w:ascii="楷体_GB2312" w:hAnsi="楷体_GB2312" w:eastAsia="楷体_GB2312" w:cs="楷体_GB2312"/>
          <w:sz w:val="32"/>
          <w:szCs w:val="32"/>
          <w:highlight w:val="none"/>
          <w:u w:val="none"/>
        </w:rPr>
        <w:t xml:space="preserve"> </w:t>
      </w:r>
      <w:r>
        <w:rPr>
          <w:rFonts w:hint="eastAsia" w:ascii="楷体_GB2312" w:hAnsi="楷体_GB2312" w:eastAsia="楷体_GB2312" w:cs="楷体_GB2312"/>
          <w:b/>
          <w:bCs/>
          <w:color w:val="auto"/>
          <w:kern w:val="2"/>
          <w:sz w:val="32"/>
          <w:szCs w:val="32"/>
          <w:highlight w:val="none"/>
          <w:u w:val="none"/>
        </w:rPr>
        <w:t>支持促消费活动</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baseline"/>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（一）扶持范围：</w:t>
      </w:r>
      <w:r>
        <w:rPr>
          <w:rFonts w:hint="eastAsia" w:ascii="仿宋_GB2312" w:hAnsi="仿宋_GB2312" w:eastAsia="仿宋_GB2312" w:cs="仿宋_GB2312"/>
          <w:sz w:val="32"/>
          <w:szCs w:val="32"/>
          <w:highlight w:val="none"/>
          <w:u w:val="none"/>
          <w:lang w:val="zh-TW"/>
        </w:rPr>
        <w:t>对</w:t>
      </w:r>
      <w:r>
        <w:rPr>
          <w:rFonts w:hint="eastAsia" w:ascii="仿宋_GB2312" w:hAnsi="仿宋_GB2312" w:eastAsia="仿宋_GB2312" w:cs="仿宋_GB2312"/>
          <w:sz w:val="32"/>
          <w:szCs w:val="32"/>
          <w:highlight w:val="none"/>
          <w:u w:val="none"/>
          <w:lang w:val="zh-TW" w:eastAsia="zh-CN"/>
        </w:rPr>
        <w:t>参与“龙岗购物季”全区促消费活动的</w:t>
      </w:r>
      <w:r>
        <w:rPr>
          <w:rFonts w:ascii="仿宋_GB2312" w:hAnsi="仿宋_GB2312" w:eastAsia="仿宋_GB2312" w:cs="仿宋_GB2312"/>
          <w:sz w:val="32"/>
          <w:szCs w:val="32"/>
          <w:highlight w:val="none"/>
          <w:u w:val="none"/>
        </w:rPr>
        <w:t>举办单位</w:t>
      </w:r>
      <w:r>
        <w:rPr>
          <w:rFonts w:hint="eastAsia" w:ascii="仿宋_GB2312" w:hAnsi="仿宋_GB2312" w:eastAsia="仿宋_GB2312" w:cs="仿宋_GB2312"/>
          <w:sz w:val="32"/>
          <w:szCs w:val="32"/>
          <w:highlight w:val="none"/>
          <w:u w:val="none"/>
          <w:lang w:eastAsia="zh-CN"/>
        </w:rPr>
        <w:t>给予支持</w:t>
      </w:r>
      <w:r>
        <w:rPr>
          <w:rFonts w:hint="eastAsia" w:ascii="仿宋_GB2312" w:hAnsi="仿宋_GB2312" w:eastAsia="仿宋_GB2312" w:cs="仿宋_GB2312"/>
          <w:kern w:val="0"/>
          <w:sz w:val="32"/>
          <w:szCs w:val="32"/>
          <w:highlight w:val="none"/>
          <w:u w:val="none"/>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（二）扶持方式和标准：</w:t>
      </w:r>
      <w:r>
        <w:rPr>
          <w:rFonts w:hint="eastAsia" w:ascii="仿宋_GB2312" w:hAnsi="仿宋_GB2312" w:eastAsia="仿宋_GB2312" w:cs="仿宋_GB2312"/>
          <w:color w:val="auto"/>
          <w:sz w:val="32"/>
          <w:szCs w:val="32"/>
          <w:highlight w:val="none"/>
          <w:u w:val="none"/>
          <w:lang w:val="zh-TW"/>
        </w:rPr>
        <w:t>按实际</w:t>
      </w:r>
      <w:r>
        <w:rPr>
          <w:rFonts w:hint="eastAsia" w:ascii="仿宋_GB2312" w:hAnsi="仿宋_GB2312" w:eastAsia="仿宋_GB2312" w:cs="仿宋_GB2312"/>
          <w:color w:val="auto"/>
          <w:sz w:val="32"/>
          <w:szCs w:val="32"/>
          <w:highlight w:val="none"/>
          <w:u w:val="none"/>
          <w:lang w:val="zh-TW" w:eastAsia="zh-CN"/>
        </w:rPr>
        <w:t>发生费用的</w:t>
      </w:r>
      <w:r>
        <w:rPr>
          <w:rFonts w:ascii="仿宋_GB2312" w:hAnsi="仿宋_GB2312" w:eastAsia="仿宋_GB2312" w:cs="仿宋_GB2312"/>
          <w:color w:val="auto"/>
          <w:sz w:val="32"/>
          <w:szCs w:val="32"/>
          <w:highlight w:val="none"/>
          <w:u w:val="none"/>
          <w:lang w:val="zh-TW"/>
        </w:rPr>
        <w:t>50%给予</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每年最高</w:t>
      </w:r>
      <w:r>
        <w:rPr>
          <w:rFonts w:hint="eastAsia" w:ascii="仿宋_GB2312" w:hAnsi="仿宋_GB2312" w:eastAsia="仿宋_GB2312" w:cs="仿宋_GB2312"/>
          <w:color w:val="auto"/>
          <w:sz w:val="32"/>
          <w:szCs w:val="32"/>
          <w:highlight w:val="none"/>
          <w:u w:val="none"/>
        </w:rPr>
        <w:t>不超过</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万元。</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bCs/>
          <w:color w:val="auto"/>
          <w:kern w:val="2"/>
          <w:sz w:val="32"/>
          <w:szCs w:val="32"/>
          <w:highlight w:val="none"/>
          <w:u w:val="none"/>
        </w:rPr>
      </w:pPr>
      <w:r>
        <w:rPr>
          <w:rFonts w:hint="eastAsia" w:ascii="仿宋_GB2312" w:hAnsi="仿宋_GB2312" w:eastAsia="仿宋_GB2312" w:cs="仿宋_GB2312"/>
          <w:color w:val="auto"/>
          <w:sz w:val="32"/>
          <w:szCs w:val="32"/>
          <w:highlight w:val="none"/>
          <w:u w:val="none"/>
        </w:rPr>
        <w:t>（三）审核方式：核准制</w:t>
      </w:r>
      <w:r>
        <w:rPr>
          <w:rFonts w:hint="default" w:ascii="仿宋_GB2312" w:hAnsi="仿宋_GB2312" w:eastAsia="仿宋_GB2312" w:cs="仿宋_GB2312"/>
          <w:color w:val="auto"/>
          <w:sz w:val="32"/>
          <w:szCs w:val="32"/>
          <w:highlight w:val="none"/>
          <w:u w:val="none"/>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bCs/>
          <w:color w:val="auto"/>
          <w:kern w:val="2"/>
          <w:sz w:val="32"/>
          <w:szCs w:val="32"/>
          <w:highlight w:val="none"/>
          <w:u w:val="none"/>
        </w:rPr>
      </w:pPr>
      <w:r>
        <w:rPr>
          <w:rFonts w:hint="eastAsia" w:ascii="楷体_GB2312" w:hAnsi="楷体_GB2312" w:eastAsia="楷体_GB2312" w:cs="楷体_GB2312"/>
          <w:b/>
          <w:bCs/>
          <w:color w:val="auto"/>
          <w:kern w:val="2"/>
          <w:sz w:val="32"/>
          <w:szCs w:val="32"/>
          <w:highlight w:val="none"/>
          <w:u w:val="none"/>
        </w:rPr>
        <w:t>第</w:t>
      </w:r>
      <w:r>
        <w:rPr>
          <w:rFonts w:hint="eastAsia" w:ascii="楷体_GB2312" w:hAnsi="楷体_GB2312" w:eastAsia="楷体_GB2312" w:cs="楷体_GB2312"/>
          <w:b/>
          <w:bCs/>
          <w:color w:val="auto"/>
          <w:kern w:val="2"/>
          <w:sz w:val="32"/>
          <w:szCs w:val="32"/>
          <w:highlight w:val="none"/>
          <w:u w:val="none"/>
          <w:lang w:eastAsia="zh-CN"/>
        </w:rPr>
        <w:t>七</w:t>
      </w:r>
      <w:r>
        <w:rPr>
          <w:rFonts w:hint="eastAsia" w:ascii="楷体_GB2312" w:hAnsi="楷体_GB2312" w:eastAsia="楷体_GB2312" w:cs="楷体_GB2312"/>
          <w:b/>
          <w:bCs/>
          <w:color w:val="auto"/>
          <w:kern w:val="2"/>
          <w:sz w:val="32"/>
          <w:szCs w:val="32"/>
          <w:highlight w:val="none"/>
          <w:u w:val="none"/>
        </w:rPr>
        <w:t>条</w:t>
      </w:r>
      <w:r>
        <w:rPr>
          <w:rFonts w:hint="eastAsia" w:ascii="楷体_GB2312" w:hAnsi="楷体_GB2312" w:eastAsia="楷体_GB2312" w:cs="楷体_GB2312"/>
          <w:sz w:val="32"/>
          <w:szCs w:val="32"/>
          <w:highlight w:val="none"/>
          <w:u w:val="none"/>
        </w:rPr>
        <w:t xml:space="preserve"> </w:t>
      </w:r>
      <w:r>
        <w:rPr>
          <w:rFonts w:hint="eastAsia" w:ascii="楷体_GB2312" w:hAnsi="楷体_GB2312" w:eastAsia="楷体_GB2312" w:cs="楷体_GB2312"/>
          <w:b/>
          <w:bCs/>
          <w:color w:val="auto"/>
          <w:kern w:val="2"/>
          <w:sz w:val="32"/>
          <w:szCs w:val="32"/>
          <w:highlight w:val="none"/>
          <w:u w:val="none"/>
        </w:rPr>
        <w:t>支持</w:t>
      </w:r>
      <w:r>
        <w:rPr>
          <w:rFonts w:hint="eastAsia" w:ascii="楷体_GB2312" w:hAnsi="楷体_GB2312" w:eastAsia="楷体_GB2312" w:cs="楷体_GB2312"/>
          <w:b/>
          <w:bCs/>
          <w:color w:val="auto"/>
          <w:kern w:val="2"/>
          <w:sz w:val="32"/>
          <w:szCs w:val="32"/>
          <w:highlight w:val="none"/>
          <w:u w:val="none"/>
          <w:lang w:eastAsia="zh-CN"/>
        </w:rPr>
        <w:t>商业品质提升</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yellow"/>
          <w:u w:val="none"/>
        </w:rPr>
      </w:pPr>
      <w:r>
        <w:rPr>
          <w:rFonts w:hint="eastAsia" w:ascii="仿宋_GB2312" w:hAnsi="仿宋_GB2312" w:eastAsia="仿宋_GB2312" w:cs="仿宋_GB2312"/>
          <w:color w:val="auto"/>
          <w:sz w:val="32"/>
          <w:szCs w:val="32"/>
          <w:highlight w:val="none"/>
          <w:u w:val="none"/>
        </w:rPr>
        <w:t>（一）扶持范围：经市商务部门认定的</w:t>
      </w:r>
      <w:r>
        <w:rPr>
          <w:rFonts w:ascii="仿宋_GB2312" w:hAnsi="仿宋_GB2312" w:eastAsia="仿宋_GB2312" w:cs="仿宋_GB2312"/>
          <w:color w:val="auto"/>
          <w:sz w:val="32"/>
          <w:szCs w:val="32"/>
          <w:highlight w:val="none"/>
          <w:u w:val="none"/>
        </w:rPr>
        <w:t>特色商圈（步行街）或夜间经济示范街区</w:t>
      </w:r>
      <w:r>
        <w:rPr>
          <w:rFonts w:hint="eastAsia" w:ascii="仿宋_GB2312" w:hAnsi="仿宋_GB2312" w:eastAsia="仿宋_GB2312" w:cs="仿宋_GB2312"/>
          <w:color w:val="auto"/>
          <w:sz w:val="32"/>
          <w:szCs w:val="32"/>
          <w:highlight w:val="none"/>
          <w:u w:val="none"/>
          <w:lang w:val="en-US" w:eastAsia="zh-CN"/>
        </w:rPr>
        <w:t>的在龙岗区实际经营的大型商业综合体</w:t>
      </w:r>
      <w:r>
        <w:rPr>
          <w:rFonts w:hint="eastAsia" w:ascii="仿宋_GB2312" w:hAnsi="仿宋_GB2312" w:eastAsia="仿宋_GB2312" w:cs="仿宋_GB2312"/>
          <w:color w:val="auto"/>
          <w:sz w:val="32"/>
          <w:szCs w:val="32"/>
          <w:highlight w:val="none"/>
          <w:u w:val="none"/>
          <w:lang w:eastAsia="zh-CN"/>
        </w:rPr>
        <w:t>、超市百货。</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yellow"/>
          <w:u w:val="none"/>
        </w:rPr>
      </w:pPr>
      <w:r>
        <w:rPr>
          <w:rFonts w:hint="eastAsia" w:ascii="仿宋_GB2312" w:hAnsi="仿宋_GB2312" w:eastAsia="仿宋_GB2312" w:cs="仿宋_GB2312"/>
          <w:color w:val="auto"/>
          <w:sz w:val="32"/>
          <w:szCs w:val="32"/>
          <w:highlight w:val="none"/>
          <w:u w:val="none"/>
        </w:rPr>
        <w:t>（二）扶持方式和标准：</w:t>
      </w:r>
      <w:r>
        <w:rPr>
          <w:rFonts w:ascii="仿宋_GB2312" w:hAnsi="仿宋_GB2312" w:eastAsia="仿宋_GB2312" w:cs="仿宋_GB2312"/>
          <w:color w:val="auto"/>
          <w:sz w:val="32"/>
          <w:szCs w:val="32"/>
          <w:highlight w:val="none"/>
          <w:u w:val="none"/>
        </w:rPr>
        <w:t>实施事后奖励，对验收达标的</w:t>
      </w:r>
      <w:r>
        <w:rPr>
          <w:rFonts w:hint="eastAsia" w:ascii="仿宋_GB2312" w:hAnsi="仿宋_GB2312" w:eastAsia="仿宋_GB2312" w:cs="仿宋_GB2312"/>
          <w:color w:val="auto"/>
          <w:sz w:val="32"/>
          <w:szCs w:val="32"/>
          <w:highlight w:val="none"/>
          <w:u w:val="none"/>
          <w:lang w:eastAsia="zh-CN"/>
        </w:rPr>
        <w:t>每个</w:t>
      </w:r>
      <w:r>
        <w:rPr>
          <w:rFonts w:ascii="仿宋_GB2312" w:hAnsi="仿宋_GB2312" w:eastAsia="仿宋_GB2312" w:cs="仿宋_GB2312"/>
          <w:color w:val="auto"/>
          <w:sz w:val="32"/>
          <w:szCs w:val="32"/>
          <w:highlight w:val="none"/>
          <w:u w:val="none"/>
        </w:rPr>
        <w:t>项目市里按照其新建或改建实际投入的2</w:t>
      </w:r>
      <w:r>
        <w:rPr>
          <w:rFonts w:hint="eastAsia" w:ascii="仿宋_GB2312" w:hAnsi="仿宋_GB2312" w:eastAsia="仿宋_GB2312" w:cs="仿宋_GB2312"/>
          <w:color w:val="auto"/>
          <w:sz w:val="32"/>
          <w:szCs w:val="32"/>
          <w:highlight w:val="none"/>
          <w:u w:val="none"/>
          <w:lang w:val="en-US" w:eastAsia="zh-CN"/>
        </w:rPr>
        <w:t>5</w:t>
      </w:r>
      <w:r>
        <w:rPr>
          <w:rFonts w:ascii="仿宋_GB2312" w:hAnsi="仿宋_GB2312" w:eastAsia="仿宋_GB2312" w:cs="仿宋_GB2312"/>
          <w:color w:val="auto"/>
          <w:sz w:val="32"/>
          <w:szCs w:val="32"/>
          <w:highlight w:val="none"/>
          <w:u w:val="none"/>
        </w:rPr>
        <w:t>%给予</w:t>
      </w:r>
      <w:r>
        <w:rPr>
          <w:rFonts w:hint="eastAsia" w:ascii="仿宋_GB2312" w:hAnsi="仿宋_GB2312" w:eastAsia="仿宋_GB2312" w:cs="仿宋_GB2312"/>
          <w:color w:val="auto"/>
          <w:sz w:val="32"/>
          <w:szCs w:val="32"/>
          <w:highlight w:val="none"/>
          <w:u w:val="none"/>
          <w:lang w:eastAsia="zh-CN"/>
        </w:rPr>
        <w:t>不超过</w:t>
      </w:r>
      <w:r>
        <w:rPr>
          <w:rFonts w:ascii="仿宋_GB2312" w:hAnsi="仿宋_GB2312" w:eastAsia="仿宋_GB2312" w:cs="仿宋_GB2312"/>
          <w:color w:val="auto"/>
          <w:sz w:val="32"/>
          <w:szCs w:val="32"/>
          <w:highlight w:val="none"/>
          <w:u w:val="none"/>
        </w:rPr>
        <w:t>1000万元奖励，我区按照</w:t>
      </w:r>
      <w:r>
        <w:rPr>
          <w:rFonts w:hint="eastAsia" w:ascii="仿宋_GB2312" w:hAnsi="仿宋_GB2312" w:eastAsia="仿宋_GB2312" w:cs="仿宋_GB2312"/>
          <w:color w:val="auto"/>
          <w:sz w:val="32"/>
          <w:szCs w:val="32"/>
          <w:highlight w:val="none"/>
          <w:u w:val="none"/>
          <w:lang w:val="en-US" w:eastAsia="zh-CN"/>
        </w:rPr>
        <w:t>1</w:t>
      </w:r>
      <w:r>
        <w:rPr>
          <w:rFonts w:ascii="仿宋_GB2312" w:hAnsi="仿宋_GB2312" w:eastAsia="仿宋_GB2312" w:cs="仿宋_GB2312"/>
          <w:color w:val="auto"/>
          <w:sz w:val="32"/>
          <w:szCs w:val="32"/>
          <w:highlight w:val="none"/>
          <w:u w:val="none"/>
        </w:rPr>
        <w:t>:1的比例进行配套奖励</w:t>
      </w:r>
      <w:r>
        <w:rPr>
          <w:rFonts w:hint="eastAsia" w:ascii="仿宋_GB2312" w:hAnsi="仿宋_GB2312" w:eastAsia="仿宋_GB2312" w:cs="仿宋_GB2312"/>
          <w:color w:val="auto"/>
          <w:sz w:val="32"/>
          <w:szCs w:val="32"/>
          <w:highlight w:val="none"/>
          <w:u w:val="none"/>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（三）审核方式：核准制。</w:t>
      </w:r>
    </w:p>
    <w:p>
      <w:pPr>
        <w:pStyle w:val="4"/>
        <w:keepNext w:val="0"/>
        <w:keepLines w:val="0"/>
        <w:pageBreakBefore w:val="0"/>
        <w:kinsoku/>
        <w:wordWrap/>
        <w:overflowPunct/>
        <w:topLinePunct w:val="0"/>
        <w:autoSpaceDE/>
        <w:autoSpaceDN/>
        <w:bidi w:val="0"/>
        <w:adjustRightInd w:val="0"/>
        <w:snapToGrid w:val="0"/>
        <w:spacing w:line="560" w:lineRule="exact"/>
        <w:ind w:firstLine="642" w:firstLineChars="200"/>
        <w:jc w:val="both"/>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第</w:t>
      </w:r>
      <w:r>
        <w:rPr>
          <w:rFonts w:hint="eastAsia" w:ascii="楷体_GB2312" w:hAnsi="楷体_GB2312" w:eastAsia="楷体_GB2312" w:cs="楷体_GB2312"/>
          <w:b/>
          <w:bCs/>
          <w:color w:val="auto"/>
          <w:sz w:val="32"/>
          <w:szCs w:val="32"/>
          <w:highlight w:val="none"/>
          <w:u w:val="none"/>
          <w:lang w:eastAsia="zh-CN"/>
        </w:rPr>
        <w:t>八</w:t>
      </w:r>
      <w:r>
        <w:rPr>
          <w:rFonts w:hint="eastAsia" w:ascii="楷体_GB2312" w:hAnsi="楷体_GB2312" w:eastAsia="楷体_GB2312" w:cs="楷体_GB2312"/>
          <w:b/>
          <w:bCs/>
          <w:color w:val="auto"/>
          <w:sz w:val="32"/>
          <w:szCs w:val="32"/>
          <w:highlight w:val="none"/>
          <w:u w:val="none"/>
        </w:rPr>
        <w:t>条</w:t>
      </w:r>
      <w:r>
        <w:rPr>
          <w:rFonts w:hint="eastAsia" w:ascii="楷体_GB2312" w:hAnsi="楷体_GB2312" w:eastAsia="楷体_GB2312" w:cs="楷体_GB2312"/>
          <w:color w:val="auto"/>
          <w:sz w:val="32"/>
          <w:szCs w:val="32"/>
          <w:highlight w:val="none"/>
          <w:u w:val="none"/>
        </w:rPr>
        <w:t xml:space="preserve"> </w:t>
      </w:r>
      <w:r>
        <w:rPr>
          <w:rFonts w:hint="eastAsia" w:ascii="楷体_GB2312" w:hAnsi="楷体_GB2312" w:eastAsia="楷体_GB2312" w:cs="楷体_GB2312"/>
          <w:b/>
          <w:bCs/>
          <w:color w:val="auto"/>
          <w:sz w:val="32"/>
          <w:szCs w:val="32"/>
          <w:highlight w:val="none"/>
          <w:u w:val="none"/>
        </w:rPr>
        <w:t>支持</w:t>
      </w:r>
      <w:r>
        <w:rPr>
          <w:rFonts w:hint="eastAsia" w:ascii="楷体_GB2312" w:hAnsi="楷体_GB2312" w:eastAsia="楷体_GB2312" w:cs="楷体_GB2312"/>
          <w:b/>
          <w:bCs/>
          <w:color w:val="auto"/>
          <w:sz w:val="32"/>
          <w:szCs w:val="32"/>
          <w:highlight w:val="none"/>
          <w:u w:val="none"/>
          <w:lang w:eastAsia="zh-CN"/>
        </w:rPr>
        <w:t>企业赴境内外参展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u w:val="none"/>
        </w:rPr>
        <w:t>（一）扶持范围：</w:t>
      </w:r>
      <w:r>
        <w:rPr>
          <w:rFonts w:hint="eastAsia" w:ascii="仿宋_GB2312" w:hAnsi="仿宋_GB2312" w:eastAsia="仿宋_GB2312" w:cs="仿宋_GB2312"/>
          <w:color w:val="auto"/>
          <w:sz w:val="32"/>
          <w:szCs w:val="32"/>
          <w:highlight w:val="none"/>
          <w:u w:val="none"/>
          <w:lang w:eastAsia="zh-CN"/>
        </w:rPr>
        <w:t>对</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eastAsia="zh-CN"/>
        </w:rPr>
        <w:t>龙岗区重点支持的境内外展览并在龙岗区实际经营的企业。</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（二）扶持方式和标准：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参展企业实际发生展位费的50％</w:t>
      </w:r>
      <w:r>
        <w:rPr>
          <w:rFonts w:hint="eastAsia" w:ascii="仿宋_GB2312" w:hAnsi="仿宋_GB2312" w:eastAsia="仿宋_GB2312" w:cs="仿宋_GB2312"/>
          <w:color w:val="auto"/>
          <w:sz w:val="32"/>
          <w:szCs w:val="32"/>
        </w:rPr>
        <w:t>，给予最高</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奖励。单个企业每个展会扶持不超过</w:t>
      </w:r>
      <w:r>
        <w:rPr>
          <w:rFonts w:hint="eastAsia" w:ascii="仿宋_GB2312" w:hAnsi="仿宋_GB2312" w:eastAsia="仿宋_GB2312" w:cs="仿宋_GB2312"/>
          <w:color w:val="auto"/>
          <w:sz w:val="32"/>
          <w:szCs w:val="32"/>
          <w:lang w:val="en-US" w:eastAsia="zh-CN"/>
        </w:rPr>
        <w:t>3万元，单个企业每年申报项目不得超过5个、扶持总额不超过15万元。</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jc w:val="both"/>
        <w:rPr>
          <w:rFonts w:ascii="仿宋_GB2312" w:hAnsi="仿宋_GB2312" w:eastAsia="仿宋_GB2312" w:cs="仿宋_GB2312"/>
          <w:color w:val="0000FF"/>
          <w:sz w:val="32"/>
          <w:szCs w:val="32"/>
          <w:highlight w:val="none"/>
          <w:u w:val="none"/>
        </w:rPr>
      </w:pPr>
      <w:r>
        <w:rPr>
          <w:rFonts w:hint="eastAsia" w:ascii="仿宋_GB2312" w:hAnsi="仿宋_GB2312" w:eastAsia="仿宋_GB2312" w:cs="仿宋_GB2312"/>
          <w:color w:val="auto"/>
          <w:sz w:val="32"/>
          <w:szCs w:val="32"/>
          <w:highlight w:val="none"/>
          <w:u w:val="none"/>
        </w:rPr>
        <w:t>（三）审核方式：核准制。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rPr>
          <w:rFonts w:hint="eastAsia" w:ascii="黑体" w:hAnsi="黑体" w:eastAsia="黑体" w:cs="黑体"/>
          <w:color w:val="auto"/>
          <w:sz w:val="32"/>
          <w:szCs w:val="32"/>
          <w:highlight w:val="none"/>
          <w:u w:val="none"/>
        </w:rPr>
      </w:pP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第三章</w:t>
      </w:r>
      <w:r>
        <w:rPr>
          <w:rFonts w:ascii="黑体" w:hAnsi="黑体" w:eastAsia="黑体" w:cs="黑体"/>
          <w:color w:val="auto"/>
          <w:sz w:val="32"/>
          <w:szCs w:val="32"/>
          <w:highlight w:val="none"/>
          <w:u w:val="none"/>
        </w:rPr>
        <w:t xml:space="preserve"> </w:t>
      </w:r>
      <w:r>
        <w:rPr>
          <w:rFonts w:hint="eastAsia" w:ascii="黑体" w:hAnsi="黑体" w:eastAsia="黑体" w:cs="黑体"/>
          <w:color w:val="auto"/>
          <w:sz w:val="32"/>
          <w:szCs w:val="32"/>
          <w:highlight w:val="none"/>
          <w:u w:val="none"/>
        </w:rPr>
        <w:t>申报条件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1"/>
        <w:jc w:val="both"/>
        <w:rPr>
          <w:rFonts w:hint="eastAsia" w:ascii="仿宋_GB2312" w:hAnsi="Arial" w:eastAsia="仿宋_GB2312" w:cs="Arial"/>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第</w:t>
      </w:r>
      <w:r>
        <w:rPr>
          <w:rFonts w:hint="eastAsia" w:ascii="楷体_GB2312" w:hAnsi="楷体_GB2312" w:eastAsia="楷体_GB2312" w:cs="楷体_GB2312"/>
          <w:b/>
          <w:bCs/>
          <w:color w:val="auto"/>
          <w:sz w:val="32"/>
          <w:szCs w:val="32"/>
          <w:highlight w:val="none"/>
          <w:u w:val="none"/>
          <w:lang w:eastAsia="zh-CN"/>
        </w:rPr>
        <w:t>九</w:t>
      </w:r>
      <w:r>
        <w:rPr>
          <w:rFonts w:hint="eastAsia" w:ascii="楷体_GB2312" w:hAnsi="楷体_GB2312" w:eastAsia="楷体_GB2312" w:cs="楷体_GB2312"/>
          <w:b/>
          <w:bCs/>
          <w:color w:val="auto"/>
          <w:sz w:val="32"/>
          <w:szCs w:val="32"/>
          <w:highlight w:val="none"/>
          <w:u w:val="none"/>
        </w:rPr>
        <w:t>条</w:t>
      </w:r>
      <w:r>
        <w:rPr>
          <w:rFonts w:hint="eastAsia" w:ascii="楷体_GB2312" w:hAnsi="楷体_GB2312" w:eastAsia="楷体_GB2312" w:cs="楷体_GB2312"/>
          <w:color w:val="auto"/>
          <w:sz w:val="32"/>
          <w:szCs w:val="32"/>
          <w:highlight w:val="none"/>
          <w:u w:val="none"/>
        </w:rPr>
        <w:t xml:space="preserve"> </w:t>
      </w:r>
      <w:r>
        <w:rPr>
          <w:rFonts w:hint="eastAsia" w:ascii="仿宋_GB2312" w:hAnsi="Arial" w:eastAsia="仿宋_GB2312" w:cs="Arial"/>
          <w:color w:val="auto"/>
          <w:sz w:val="32"/>
          <w:szCs w:val="32"/>
          <w:highlight w:val="none"/>
          <w:u w:val="none"/>
        </w:rPr>
        <w:t>申报条件由基础申报条件和专项申报条件两部分组成。项目单位需符合下列基础条件：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1"/>
        <w:jc w:val="both"/>
        <w:rPr>
          <w:rFonts w:hint="eastAsia" w:ascii="仿宋_GB2312" w:hAnsi="Arial" w:eastAsia="仿宋_GB2312" w:cs="Arial"/>
          <w:color w:val="auto"/>
          <w:sz w:val="32"/>
          <w:szCs w:val="32"/>
          <w:highlight w:val="none"/>
          <w:u w:val="none"/>
          <w:lang w:eastAsia="zh-CN"/>
        </w:rPr>
      </w:pPr>
      <w:r>
        <w:rPr>
          <w:rFonts w:hint="eastAsia" w:ascii="仿宋_GB2312" w:hAnsi="Arial" w:eastAsia="仿宋_GB2312" w:cs="Arial"/>
          <w:color w:val="auto"/>
          <w:sz w:val="32"/>
          <w:szCs w:val="32"/>
          <w:highlight w:val="none"/>
          <w:u w:val="none"/>
          <w:lang w:eastAsia="zh-CN"/>
        </w:rPr>
        <w:t>（一）扶持</w:t>
      </w:r>
      <w:r>
        <w:rPr>
          <w:rFonts w:hint="default" w:ascii="仿宋_GB2312" w:hAnsi="Arial" w:eastAsia="仿宋_GB2312" w:cs="Arial"/>
          <w:color w:val="auto"/>
          <w:sz w:val="32"/>
          <w:szCs w:val="32"/>
          <w:highlight w:val="none"/>
          <w:u w:val="none"/>
          <w:lang w:eastAsia="zh-CN"/>
        </w:rPr>
        <w:t>方式</w:t>
      </w:r>
      <w:r>
        <w:rPr>
          <w:rFonts w:hint="eastAsia" w:ascii="仿宋_GB2312" w:hAnsi="Arial" w:eastAsia="仿宋_GB2312" w:cs="Arial"/>
          <w:color w:val="auto"/>
          <w:sz w:val="32"/>
          <w:szCs w:val="32"/>
          <w:highlight w:val="none"/>
          <w:u w:val="none"/>
          <w:lang w:eastAsia="zh-CN"/>
        </w:rPr>
        <w:t>为实施事后奖励</w:t>
      </w:r>
      <w:r>
        <w:rPr>
          <w:rFonts w:hint="default" w:ascii="仿宋_GB2312" w:hAnsi="Arial" w:eastAsia="仿宋_GB2312" w:cs="Arial"/>
          <w:color w:val="auto"/>
          <w:sz w:val="32"/>
          <w:szCs w:val="32"/>
          <w:highlight w:val="none"/>
          <w:u w:val="none"/>
          <w:lang w:val="en-US" w:eastAsia="zh-CN"/>
        </w:rPr>
        <w:t>;</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1"/>
        <w:jc w:val="both"/>
        <w:rPr>
          <w:rFonts w:ascii="仿宋_GB2312" w:hAnsi="Arial" w:eastAsia="仿宋_GB2312" w:cs="Arial"/>
          <w:color w:val="auto"/>
          <w:sz w:val="32"/>
          <w:szCs w:val="32"/>
          <w:highlight w:val="none"/>
          <w:u w:val="none"/>
        </w:rPr>
      </w:pPr>
      <w:r>
        <w:rPr>
          <w:rFonts w:hint="eastAsia" w:ascii="仿宋_GB2312" w:hAnsi="Arial" w:eastAsia="仿宋_GB2312" w:cs="Arial"/>
          <w:color w:val="auto"/>
          <w:sz w:val="32"/>
          <w:szCs w:val="32"/>
          <w:highlight w:val="none"/>
          <w:u w:val="none"/>
        </w:rPr>
        <w:t>（</w:t>
      </w:r>
      <w:r>
        <w:rPr>
          <w:rFonts w:hint="eastAsia" w:ascii="仿宋_GB2312" w:hAnsi="Arial" w:eastAsia="仿宋_GB2312" w:cs="Arial"/>
          <w:color w:val="auto"/>
          <w:sz w:val="32"/>
          <w:szCs w:val="32"/>
          <w:highlight w:val="none"/>
          <w:u w:val="none"/>
          <w:lang w:eastAsia="zh-CN"/>
        </w:rPr>
        <w:t>二</w:t>
      </w:r>
      <w:r>
        <w:rPr>
          <w:rFonts w:hint="eastAsia" w:ascii="仿宋_GB2312" w:hAnsi="Arial" w:eastAsia="仿宋_GB2312" w:cs="Arial"/>
          <w:color w:val="auto"/>
          <w:sz w:val="32"/>
          <w:szCs w:val="32"/>
          <w:highlight w:val="none"/>
          <w:u w:val="none"/>
        </w:rPr>
        <w:t>）项目单位是在</w:t>
      </w:r>
      <w:r>
        <w:rPr>
          <w:rFonts w:hint="eastAsia" w:ascii="仿宋_GB2312" w:hAnsi="仿宋_GB2312" w:eastAsia="仿宋_GB2312" w:cs="华文仿宋"/>
          <w:color w:val="auto"/>
          <w:sz w:val="32"/>
          <w:szCs w:val="32"/>
          <w:highlight w:val="none"/>
          <w:u w:val="none"/>
        </w:rPr>
        <w:t>龙岗区行政区域内</w:t>
      </w:r>
      <w:r>
        <w:rPr>
          <w:rFonts w:hint="eastAsia" w:ascii="仿宋_GB2312" w:hAnsi="仿宋_GB2312" w:eastAsia="仿宋_GB2312" w:cs="华文仿宋"/>
          <w:color w:val="auto"/>
          <w:sz w:val="32"/>
          <w:szCs w:val="32"/>
          <w:highlight w:val="none"/>
          <w:u w:val="none"/>
          <w:lang w:eastAsia="zh-CN"/>
        </w:rPr>
        <w:t>实际经营</w:t>
      </w:r>
      <w:r>
        <w:rPr>
          <w:rFonts w:hint="eastAsia" w:ascii="仿宋_GB2312" w:hAnsi="仿宋_GB2312" w:eastAsia="仿宋_GB2312" w:cs="华文仿宋"/>
          <w:color w:val="auto"/>
          <w:sz w:val="32"/>
          <w:szCs w:val="32"/>
          <w:highlight w:val="none"/>
          <w:u w:val="none"/>
        </w:rPr>
        <w:t>且符合要求的</w:t>
      </w:r>
      <w:r>
        <w:rPr>
          <w:rFonts w:hint="eastAsia" w:ascii="仿宋_GB2312" w:hAnsi="仿宋_GB2312" w:eastAsia="仿宋_GB2312"/>
          <w:color w:val="auto"/>
          <w:sz w:val="32"/>
          <w:szCs w:val="32"/>
          <w:highlight w:val="none"/>
          <w:u w:val="none"/>
        </w:rPr>
        <w:t>法人企业或民办非企业单位、社会团体</w:t>
      </w:r>
      <w:r>
        <w:rPr>
          <w:rFonts w:hint="eastAsia" w:ascii="仿宋_GB2312" w:hAnsi="Arial" w:eastAsia="仿宋_GB2312" w:cs="Arial"/>
          <w:color w:val="auto"/>
          <w:sz w:val="32"/>
          <w:szCs w:val="32"/>
          <w:highlight w:val="none"/>
          <w:u w:val="none"/>
        </w:rPr>
        <w:t>；</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1"/>
        <w:jc w:val="both"/>
        <w:rPr>
          <w:rFonts w:ascii="仿宋_GB2312" w:hAnsi="Arial" w:eastAsia="仿宋_GB2312" w:cs="Arial"/>
          <w:color w:val="auto"/>
          <w:sz w:val="32"/>
          <w:szCs w:val="32"/>
          <w:highlight w:val="none"/>
          <w:u w:val="none"/>
        </w:rPr>
      </w:pPr>
      <w:r>
        <w:rPr>
          <w:rFonts w:hint="eastAsia" w:ascii="仿宋_GB2312" w:hAnsi="Arial" w:eastAsia="仿宋_GB2312" w:cs="Arial"/>
          <w:color w:val="auto"/>
          <w:sz w:val="32"/>
          <w:szCs w:val="32"/>
          <w:highlight w:val="none"/>
          <w:u w:val="none"/>
        </w:rPr>
        <w:t>（</w:t>
      </w:r>
      <w:r>
        <w:rPr>
          <w:rFonts w:hint="eastAsia" w:ascii="仿宋_GB2312" w:hAnsi="Arial" w:eastAsia="仿宋_GB2312" w:cs="Arial"/>
          <w:color w:val="auto"/>
          <w:sz w:val="32"/>
          <w:szCs w:val="32"/>
          <w:highlight w:val="none"/>
          <w:u w:val="none"/>
          <w:lang w:eastAsia="zh-CN"/>
        </w:rPr>
        <w:t>三</w:t>
      </w:r>
      <w:r>
        <w:rPr>
          <w:rFonts w:hint="eastAsia" w:ascii="仿宋_GB2312" w:hAnsi="Arial" w:eastAsia="仿宋_GB2312" w:cs="Arial"/>
          <w:color w:val="auto"/>
          <w:sz w:val="32"/>
          <w:szCs w:val="32"/>
          <w:highlight w:val="none"/>
          <w:u w:val="none"/>
        </w:rPr>
        <w:t>）</w:t>
      </w:r>
      <w:r>
        <w:rPr>
          <w:rFonts w:hint="eastAsia" w:ascii="仿宋_GB2312" w:hAnsi="仿宋_GB2312" w:eastAsia="仿宋_GB2312" w:cs="华文仿宋"/>
          <w:color w:val="auto"/>
          <w:sz w:val="32"/>
          <w:szCs w:val="32"/>
          <w:highlight w:val="none"/>
          <w:u w:val="none"/>
        </w:rPr>
        <w:t>项目单位未被列入严重失信主体名单且在有效期内；</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1"/>
        <w:jc w:val="both"/>
        <w:rPr>
          <w:rFonts w:ascii="仿宋_GB2312" w:hAnsi="Arial" w:eastAsia="仿宋_GB2312" w:cs="Arial"/>
          <w:color w:val="FF0000"/>
          <w:sz w:val="32"/>
          <w:szCs w:val="32"/>
          <w:highlight w:val="none"/>
          <w:u w:val="none"/>
        </w:rPr>
      </w:pPr>
      <w:r>
        <w:rPr>
          <w:rFonts w:hint="eastAsia" w:ascii="仿宋_GB2312" w:hAnsi="Arial" w:eastAsia="仿宋_GB2312" w:cs="Arial"/>
          <w:color w:val="auto"/>
          <w:sz w:val="32"/>
          <w:szCs w:val="32"/>
          <w:highlight w:val="none"/>
          <w:u w:val="none"/>
        </w:rPr>
        <w:t>（</w:t>
      </w:r>
      <w:r>
        <w:rPr>
          <w:rFonts w:hint="eastAsia" w:ascii="仿宋_GB2312" w:hAnsi="Arial" w:eastAsia="仿宋_GB2312" w:cs="Arial"/>
          <w:color w:val="auto"/>
          <w:sz w:val="32"/>
          <w:szCs w:val="32"/>
          <w:highlight w:val="none"/>
          <w:u w:val="none"/>
          <w:lang w:eastAsia="zh-CN"/>
        </w:rPr>
        <w:t>四</w:t>
      </w:r>
      <w:r>
        <w:rPr>
          <w:rFonts w:hint="eastAsia" w:ascii="仿宋_GB2312" w:hAnsi="Arial" w:eastAsia="仿宋_GB2312" w:cs="Arial"/>
          <w:color w:val="auto"/>
          <w:sz w:val="32"/>
          <w:szCs w:val="32"/>
          <w:highlight w:val="none"/>
          <w:u w:val="none"/>
        </w:rPr>
        <w:t>）项目单位对申报材料的真实性、合法性和完整性负责，不得弄虚作假、套取、骗取专项资金；</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1"/>
        <w:jc w:val="both"/>
        <w:rPr>
          <w:rFonts w:ascii="仿宋_GB2312" w:hAnsi="Arial" w:eastAsia="仿宋_GB2312" w:cs="Arial"/>
          <w:color w:val="auto"/>
          <w:sz w:val="32"/>
          <w:szCs w:val="32"/>
          <w:highlight w:val="none"/>
          <w:u w:val="none"/>
        </w:rPr>
      </w:pPr>
      <w:r>
        <w:rPr>
          <w:rFonts w:hint="eastAsia" w:ascii="仿宋_GB2312" w:hAnsi="Arial" w:eastAsia="仿宋_GB2312" w:cs="Arial"/>
          <w:color w:val="auto"/>
          <w:sz w:val="32"/>
          <w:szCs w:val="32"/>
          <w:highlight w:val="none"/>
          <w:u w:val="none"/>
        </w:rPr>
        <w:t>（</w:t>
      </w:r>
      <w:r>
        <w:rPr>
          <w:rFonts w:hint="eastAsia" w:ascii="仿宋_GB2312" w:hAnsi="Arial" w:eastAsia="仿宋_GB2312" w:cs="Arial"/>
          <w:color w:val="auto"/>
          <w:sz w:val="32"/>
          <w:szCs w:val="32"/>
          <w:highlight w:val="none"/>
          <w:u w:val="none"/>
          <w:lang w:eastAsia="zh-CN"/>
        </w:rPr>
        <w:t>五</w:t>
      </w:r>
      <w:r>
        <w:rPr>
          <w:rFonts w:hint="eastAsia" w:ascii="仿宋_GB2312" w:hAnsi="Arial" w:eastAsia="仿宋_GB2312" w:cs="Arial"/>
          <w:color w:val="auto"/>
          <w:sz w:val="32"/>
          <w:szCs w:val="32"/>
          <w:highlight w:val="none"/>
          <w:u w:val="none"/>
        </w:rPr>
        <w:t>）项目单位不得以同一事项重复申报或者多头申报区级专项资金；</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jc w:val="both"/>
        <w:rPr>
          <w:rFonts w:ascii="仿宋_GB2312" w:hAnsi="Arial" w:eastAsia="仿宋_GB2312" w:cs="Arial"/>
          <w:color w:val="auto"/>
          <w:sz w:val="32"/>
          <w:szCs w:val="32"/>
          <w:highlight w:val="none"/>
          <w:u w:val="none"/>
        </w:rPr>
      </w:pPr>
      <w:r>
        <w:rPr>
          <w:rFonts w:hint="eastAsia" w:ascii="仿宋_GB2312" w:hAnsi="Arial" w:eastAsia="仿宋_GB2312" w:cs="Arial"/>
          <w:color w:val="auto"/>
          <w:sz w:val="32"/>
          <w:szCs w:val="32"/>
          <w:highlight w:val="none"/>
          <w:u w:val="none"/>
        </w:rPr>
        <w:t>（</w:t>
      </w:r>
      <w:r>
        <w:rPr>
          <w:rFonts w:hint="eastAsia" w:ascii="仿宋_GB2312" w:hAnsi="Arial" w:eastAsia="仿宋_GB2312" w:cs="Arial"/>
          <w:color w:val="auto"/>
          <w:sz w:val="32"/>
          <w:szCs w:val="32"/>
          <w:highlight w:val="none"/>
          <w:u w:val="none"/>
          <w:lang w:eastAsia="zh-CN"/>
        </w:rPr>
        <w:t>六</w:t>
      </w:r>
      <w:r>
        <w:rPr>
          <w:rFonts w:hint="eastAsia" w:ascii="仿宋_GB2312" w:hAnsi="Arial" w:eastAsia="仿宋_GB2312" w:cs="Arial"/>
          <w:color w:val="auto"/>
          <w:sz w:val="32"/>
          <w:szCs w:val="32"/>
          <w:highlight w:val="none"/>
          <w:u w:val="none"/>
        </w:rPr>
        <w:t>）法律、法规、规章和上级行政机关规范性文件规定的其他条件。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jc w:val="both"/>
        <w:rPr>
          <w:rFonts w:ascii="仿宋_GB2312" w:hAnsi="仿宋" w:eastAsia="仿宋_GB2312" w:cs="Arial"/>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第</w:t>
      </w:r>
      <w:r>
        <w:rPr>
          <w:rFonts w:hint="default" w:ascii="楷体_GB2312" w:hAnsi="楷体_GB2312" w:eastAsia="楷体_GB2312" w:cs="楷体_GB2312"/>
          <w:b/>
          <w:bCs/>
          <w:color w:val="auto"/>
          <w:sz w:val="32"/>
          <w:szCs w:val="32"/>
          <w:highlight w:val="none"/>
          <w:u w:val="none"/>
        </w:rPr>
        <w:t>十</w:t>
      </w:r>
      <w:r>
        <w:rPr>
          <w:rFonts w:hint="eastAsia" w:ascii="楷体_GB2312" w:hAnsi="楷体_GB2312" w:eastAsia="楷体_GB2312" w:cs="楷体_GB2312"/>
          <w:b/>
          <w:bCs/>
          <w:color w:val="auto"/>
          <w:sz w:val="32"/>
          <w:szCs w:val="32"/>
          <w:highlight w:val="none"/>
          <w:u w:val="none"/>
        </w:rPr>
        <w:t xml:space="preserve">条 </w:t>
      </w:r>
      <w:r>
        <w:rPr>
          <w:rFonts w:ascii="仿宋_GB2312" w:hAnsi="仿宋" w:eastAsia="仿宋_GB2312" w:cs="Arial"/>
          <w:color w:val="auto"/>
          <w:sz w:val="32"/>
          <w:szCs w:val="32"/>
          <w:highlight w:val="none"/>
          <w:u w:val="none"/>
        </w:rPr>
        <w:t>项目单位申报具体项目，还应符合以下专项申报条件和区</w:t>
      </w:r>
      <w:r>
        <w:rPr>
          <w:rFonts w:hint="eastAsia" w:ascii="仿宋_GB2312" w:hAnsi="仿宋" w:eastAsia="仿宋_GB2312" w:cs="Arial"/>
          <w:color w:val="auto"/>
          <w:sz w:val="32"/>
          <w:szCs w:val="32"/>
          <w:highlight w:val="none"/>
          <w:u w:val="none"/>
          <w:lang w:eastAsia="zh-CN"/>
        </w:rPr>
        <w:t>商务</w:t>
      </w:r>
      <w:r>
        <w:rPr>
          <w:rFonts w:ascii="仿宋_GB2312" w:hAnsi="仿宋" w:eastAsia="仿宋_GB2312" w:cs="Arial"/>
          <w:color w:val="auto"/>
          <w:sz w:val="32"/>
          <w:szCs w:val="32"/>
          <w:highlight w:val="none"/>
          <w:u w:val="none"/>
        </w:rPr>
        <w:t>局依据本实施细则制定的申请指南的相关条件：</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jc w:val="both"/>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（一）企业上规模扶持项目</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rPr>
          <w:rFonts w:hint="eastAsia" w:ascii="仿宋_GB2312" w:hAnsi="Arial" w:eastAsia="仿宋_GB2312" w:cs="Arial"/>
          <w:color w:val="auto"/>
          <w:sz w:val="32"/>
          <w:szCs w:val="32"/>
          <w:highlight w:val="none"/>
          <w:u w:val="none"/>
          <w:shd w:val="clear" w:color="auto" w:fill="FFFFFF"/>
          <w:lang w:val="en-US"/>
        </w:rPr>
      </w:pPr>
      <w:r>
        <w:rPr>
          <w:rFonts w:hint="eastAsia" w:ascii="仿宋_GB2312" w:hAnsi="Arial" w:eastAsia="仿宋_GB2312" w:cs="Arial"/>
          <w:color w:val="auto"/>
          <w:sz w:val="32"/>
          <w:szCs w:val="32"/>
          <w:highlight w:val="none"/>
          <w:u w:val="none"/>
          <w:shd w:val="clear" w:color="auto" w:fill="FFFFFF"/>
          <w:lang w:val="en-US"/>
        </w:rPr>
        <w:t>1.</w:t>
      </w:r>
      <w:r>
        <w:rPr>
          <w:rFonts w:hint="eastAsia" w:ascii="仿宋_GB2312" w:hAnsi="Arial" w:eastAsia="仿宋_GB2312" w:cs="Arial"/>
          <w:color w:val="auto"/>
          <w:sz w:val="32"/>
          <w:szCs w:val="32"/>
          <w:highlight w:val="none"/>
          <w:u w:val="none"/>
          <w:shd w:val="clear" w:color="auto" w:fill="FFFFFF"/>
          <w:lang w:eastAsia="zh-CN"/>
        </w:rPr>
        <w:t>企业已获得过龙岗区规模以上工业、限额以上商业或规模以上服务业入库扶持奖励的，不得再申请本项目扶持。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rPr>
          <w:rFonts w:hint="default"/>
          <w:color w:val="auto"/>
        </w:rPr>
      </w:pPr>
      <w:r>
        <w:rPr>
          <w:rFonts w:hint="eastAsia" w:ascii="仿宋_GB2312" w:hAnsi="Arial" w:eastAsia="仿宋_GB2312" w:cs="Arial"/>
          <w:color w:val="auto"/>
          <w:kern w:val="2"/>
          <w:sz w:val="32"/>
          <w:szCs w:val="32"/>
          <w:highlight w:val="none"/>
          <w:u w:val="none"/>
          <w:lang w:val="en-US" w:eastAsia="zh-CN" w:bidi="ar"/>
        </w:rPr>
        <w:t>2.在区外其他地区入库的企业，在入库后才迁入龙岗区的，则不能申报本扶持。</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jc w:val="both"/>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rPr>
        <w:t>（</w:t>
      </w:r>
      <w:r>
        <w:rPr>
          <w:rFonts w:hint="eastAsia" w:ascii="楷体_GB2312" w:hAnsi="楷体_GB2312" w:eastAsia="楷体_GB2312" w:cs="楷体_GB2312"/>
          <w:b/>
          <w:bCs/>
          <w:color w:val="auto"/>
          <w:sz w:val="32"/>
          <w:szCs w:val="32"/>
          <w:highlight w:val="none"/>
          <w:u w:val="none"/>
          <w:lang w:eastAsia="zh-CN"/>
        </w:rPr>
        <w:t>二</w:t>
      </w:r>
      <w:r>
        <w:rPr>
          <w:rFonts w:hint="eastAsia" w:ascii="楷体_GB2312" w:hAnsi="楷体_GB2312" w:eastAsia="楷体_GB2312" w:cs="楷体_GB2312"/>
          <w:b/>
          <w:bCs/>
          <w:color w:val="auto"/>
          <w:sz w:val="32"/>
          <w:szCs w:val="32"/>
          <w:highlight w:val="none"/>
          <w:u w:val="none"/>
        </w:rPr>
        <w:t>）支持</w:t>
      </w:r>
      <w:r>
        <w:rPr>
          <w:rFonts w:hint="eastAsia" w:ascii="楷体_GB2312" w:hAnsi="楷体_GB2312" w:eastAsia="楷体_GB2312" w:cs="楷体_GB2312"/>
          <w:b/>
          <w:bCs/>
          <w:color w:val="auto"/>
          <w:sz w:val="32"/>
          <w:szCs w:val="32"/>
          <w:highlight w:val="none"/>
          <w:u w:val="none"/>
          <w:lang w:eastAsia="zh-CN"/>
        </w:rPr>
        <w:t>首店引进</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Arial" w:eastAsia="仿宋_GB2312" w:cs="Arial"/>
          <w:color w:val="auto"/>
          <w:sz w:val="32"/>
          <w:szCs w:val="32"/>
          <w:highlight w:val="none"/>
          <w:u w:val="none"/>
        </w:rPr>
      </w:pPr>
      <w:r>
        <w:rPr>
          <w:rFonts w:hint="eastAsia" w:ascii="仿宋_GB2312" w:hAnsi="Arial" w:eastAsia="仿宋_GB2312" w:cs="Arial"/>
          <w:color w:val="auto"/>
          <w:sz w:val="32"/>
          <w:szCs w:val="32"/>
          <w:highlight w:val="none"/>
          <w:u w:val="none"/>
        </w:rPr>
        <w:t>1.申报企业的</w:t>
      </w:r>
      <w:r>
        <w:rPr>
          <w:rFonts w:hint="eastAsia" w:ascii="仿宋_GB2312" w:hAnsi="Arial" w:eastAsia="仿宋_GB2312" w:cs="Arial"/>
          <w:color w:val="auto"/>
          <w:sz w:val="32"/>
          <w:szCs w:val="32"/>
          <w:highlight w:val="none"/>
          <w:u w:val="none"/>
          <w:lang w:eastAsia="zh-CN"/>
        </w:rPr>
        <w:t>实际经营地在龙岗区</w:t>
      </w:r>
      <w:r>
        <w:rPr>
          <w:rFonts w:hint="eastAsia" w:ascii="仿宋_GB2312" w:hAnsi="Arial" w:eastAsia="仿宋_GB2312" w:cs="Arial"/>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Arial" w:eastAsia="仿宋_GB2312" w:cs="Arial"/>
          <w:color w:val="auto"/>
          <w:kern w:val="0"/>
          <w:sz w:val="32"/>
          <w:szCs w:val="32"/>
          <w:highlight w:val="none"/>
          <w:u w:val="none"/>
          <w:lang w:val="en-US" w:eastAsia="zh-CN" w:bidi="ar-SA"/>
        </w:rPr>
      </w:pPr>
      <w:r>
        <w:rPr>
          <w:rFonts w:ascii="仿宋_GB2312" w:hAnsi="Arial" w:eastAsia="仿宋_GB2312" w:cs="Arial"/>
          <w:color w:val="auto"/>
          <w:sz w:val="32"/>
          <w:szCs w:val="32"/>
          <w:highlight w:val="none"/>
          <w:u w:val="none"/>
        </w:rPr>
        <w:t>2.</w:t>
      </w:r>
      <w:r>
        <w:rPr>
          <w:rFonts w:hint="eastAsia" w:ascii="仿宋_GB2312" w:hAnsi="Arial" w:eastAsia="仿宋_GB2312" w:cs="Arial"/>
          <w:color w:val="auto"/>
          <w:kern w:val="0"/>
          <w:sz w:val="32"/>
          <w:szCs w:val="32"/>
          <w:highlight w:val="none"/>
          <w:u w:val="none"/>
          <w:lang w:val="en-US" w:eastAsia="zh-CN" w:bidi="ar-SA"/>
        </w:rPr>
        <w:t>本项目市区两级政策实行择优不重复原则，申请人可根据自身情况选择适用市级或区级政策，但不得同时享受。</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eastAsia" w:ascii="仿宋_GB2312" w:hAnsi="Arial" w:eastAsia="仿宋_GB2312" w:cs="Arial"/>
          <w:color w:val="auto"/>
          <w:sz w:val="32"/>
          <w:szCs w:val="32"/>
          <w:highlight w:val="none"/>
          <w:u w:val="none"/>
        </w:rPr>
      </w:pPr>
      <w:r>
        <w:rPr>
          <w:rFonts w:hint="default" w:ascii="仿宋_GB2312" w:hAnsi="Arial" w:eastAsia="仿宋_GB2312" w:cs="Arial"/>
          <w:color w:val="auto"/>
          <w:sz w:val="32"/>
          <w:szCs w:val="32"/>
          <w:highlight w:val="none"/>
          <w:u w:val="none"/>
          <w:lang w:val="en-US" w:eastAsia="zh-CN"/>
        </w:rPr>
        <w:t>3</w:t>
      </w:r>
      <w:r>
        <w:rPr>
          <w:rFonts w:hint="eastAsia" w:ascii="仿宋_GB2312" w:hAnsi="Arial" w:eastAsia="仿宋_GB2312" w:cs="Arial"/>
          <w:color w:val="auto"/>
          <w:sz w:val="32"/>
          <w:szCs w:val="32"/>
          <w:highlight w:val="none"/>
          <w:u w:val="none"/>
        </w:rPr>
        <w:t>.本扶持为核准制，</w:t>
      </w:r>
      <w:r>
        <w:rPr>
          <w:rFonts w:hint="eastAsia" w:ascii="仿宋_GB2312" w:hAnsi="仿宋_GB2312" w:eastAsia="仿宋_GB2312" w:cs="仿宋_GB2312"/>
          <w:color w:val="auto"/>
          <w:sz w:val="32"/>
          <w:szCs w:val="32"/>
          <w:highlight w:val="none"/>
          <w:u w:val="none"/>
        </w:rPr>
        <w:t>申请资料需经第三方专业机构审计</w:t>
      </w:r>
      <w:r>
        <w:rPr>
          <w:rFonts w:hint="eastAsia" w:ascii="仿宋_GB2312" w:hAnsi="Arial" w:eastAsia="仿宋_GB2312" w:cs="Arial"/>
          <w:color w:val="auto"/>
          <w:sz w:val="32"/>
          <w:szCs w:val="32"/>
          <w:highlight w:val="none"/>
          <w:u w:val="none"/>
        </w:rPr>
        <w:t>。</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default" w:ascii="仿宋_GB2312" w:hAnsi="仿宋_GB2312" w:eastAsia="仿宋_GB2312" w:cs="仿宋_GB2312"/>
          <w:b w:val="0"/>
          <w:bCs w:val="0"/>
          <w:color w:val="auto"/>
          <w:kern w:val="0"/>
          <w:sz w:val="32"/>
          <w:szCs w:val="32"/>
          <w:highlight w:val="none"/>
          <w:lang w:val="en-US" w:eastAsia="zh-CN" w:bidi="ar-SA"/>
        </w:rPr>
        <w:t>4</w:t>
      </w:r>
      <w:r>
        <w:rPr>
          <w:rFonts w:hint="eastAsia" w:ascii="仿宋_GB2312" w:hAnsi="仿宋_GB2312" w:eastAsia="仿宋_GB2312" w:cs="仿宋_GB2312"/>
          <w:b w:val="0"/>
          <w:bCs w:val="0"/>
          <w:color w:val="auto"/>
          <w:kern w:val="0"/>
          <w:sz w:val="32"/>
          <w:szCs w:val="32"/>
          <w:highlight w:val="none"/>
          <w:lang w:val="en-US" w:eastAsia="zh-CN" w:bidi="ar-SA"/>
        </w:rPr>
        <w:t>.国际知名品牌（含港澳台）：在中国行政区域（含香港、澳门、台湾）范围内进行登记注册的外资企业旗下品牌，在全球知名消费城市（纽约、洛杉矶、伦敦、巴黎、米兰、迪拜、日内瓦、苏黎世、都柏林、哥本哈根、悉尼、东京、中国</w:t>
      </w:r>
      <w:bookmarkStart w:id="0" w:name="_GoBack"/>
      <w:bookmarkEnd w:id="0"/>
      <w:r>
        <w:rPr>
          <w:rFonts w:hint="eastAsia" w:ascii="仿宋_GB2312" w:hAnsi="仿宋_GB2312" w:eastAsia="仿宋_GB2312" w:cs="仿宋_GB2312"/>
          <w:b w:val="0"/>
          <w:bCs w:val="0"/>
          <w:color w:val="auto"/>
          <w:kern w:val="0"/>
          <w:sz w:val="32"/>
          <w:szCs w:val="32"/>
          <w:highlight w:val="none"/>
          <w:lang w:val="en-US" w:eastAsia="zh-CN" w:bidi="ar-SA"/>
        </w:rPr>
        <w:t>香港、新加坡、首尔）开设3家（含）以上门店，并获得国家级媒体平台或《VOGUE》《ELLE》《时尚芭莎》《时尚COSMO》《GQ》《T Magazine》等知名时尚媒体对该品牌正面宣传报道3次（含）以上。</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仿宋_GB2312" w:hAnsi="仿宋_GB2312" w:eastAsia="仿宋_GB2312" w:cs="仿宋_GB2312"/>
          <w:b/>
          <w:bCs/>
          <w:color w:val="FF0000"/>
          <w:kern w:val="0"/>
          <w:sz w:val="32"/>
          <w:szCs w:val="32"/>
          <w:highlight w:val="none"/>
          <w:lang w:val="en-US" w:eastAsia="zh-CN" w:bidi="ar-SA"/>
        </w:rPr>
      </w:pPr>
      <w:r>
        <w:rPr>
          <w:rFonts w:hint="default" w:ascii="仿宋_GB2312" w:hAnsi="仿宋_GB2312" w:eastAsia="仿宋_GB2312" w:cs="仿宋_GB2312"/>
          <w:b w:val="0"/>
          <w:bCs w:val="0"/>
          <w:color w:val="auto"/>
          <w:kern w:val="0"/>
          <w:sz w:val="32"/>
          <w:szCs w:val="32"/>
          <w:highlight w:val="none"/>
          <w:lang w:val="en-US" w:eastAsia="zh-CN" w:bidi="ar-SA"/>
        </w:rPr>
        <w:t>5</w:t>
      </w:r>
      <w:r>
        <w:rPr>
          <w:rFonts w:hint="eastAsia" w:ascii="仿宋_GB2312" w:hAnsi="仿宋_GB2312" w:eastAsia="仿宋_GB2312" w:cs="仿宋_GB2312"/>
          <w:b w:val="0"/>
          <w:bCs w:val="0"/>
          <w:color w:val="auto"/>
          <w:kern w:val="0"/>
          <w:sz w:val="32"/>
          <w:szCs w:val="32"/>
          <w:highlight w:val="none"/>
          <w:lang w:val="en-US" w:eastAsia="zh-CN" w:bidi="ar-SA"/>
        </w:rPr>
        <w:t>.国内知名品牌（不含港澳台）：在中国行政区域（不含香港、澳门、台湾）范围内进行登记注册的内资零售企业旗下品牌，在国内副省级及以上城市开设5家（含）以上门店。</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jc w:val="both"/>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w:t>
      </w:r>
      <w:r>
        <w:rPr>
          <w:rFonts w:hint="eastAsia" w:ascii="楷体_GB2312" w:hAnsi="楷体_GB2312" w:eastAsia="楷体_GB2312" w:cs="楷体_GB2312"/>
          <w:b/>
          <w:bCs/>
          <w:color w:val="auto"/>
          <w:sz w:val="32"/>
          <w:szCs w:val="32"/>
          <w:highlight w:val="none"/>
          <w:u w:val="none"/>
          <w:lang w:eastAsia="zh-CN"/>
        </w:rPr>
        <w:t>三</w:t>
      </w:r>
      <w:r>
        <w:rPr>
          <w:rFonts w:hint="eastAsia" w:ascii="楷体_GB2312" w:hAnsi="楷体_GB2312" w:eastAsia="楷体_GB2312" w:cs="楷体_GB2312"/>
          <w:b/>
          <w:bCs/>
          <w:color w:val="auto"/>
          <w:sz w:val="32"/>
          <w:szCs w:val="32"/>
          <w:highlight w:val="none"/>
          <w:u w:val="none"/>
        </w:rPr>
        <w:t>）支持促消费活动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Arial" w:eastAsia="仿宋_GB2312" w:cs="Arial"/>
          <w:sz w:val="32"/>
          <w:szCs w:val="32"/>
          <w:highlight w:val="none"/>
          <w:u w:val="none"/>
        </w:rPr>
      </w:pPr>
      <w:r>
        <w:rPr>
          <w:rFonts w:hint="eastAsia" w:ascii="仿宋_GB2312" w:hAnsi="Arial" w:eastAsia="仿宋_GB2312" w:cs="Arial"/>
          <w:sz w:val="32"/>
          <w:szCs w:val="32"/>
          <w:highlight w:val="none"/>
          <w:u w:val="none"/>
        </w:rPr>
        <w:t>1.申报企业的</w:t>
      </w:r>
      <w:r>
        <w:rPr>
          <w:rFonts w:hint="eastAsia" w:ascii="仿宋_GB2312" w:hAnsi="Arial" w:eastAsia="仿宋_GB2312" w:cs="Arial"/>
          <w:sz w:val="32"/>
          <w:szCs w:val="32"/>
          <w:highlight w:val="none"/>
          <w:u w:val="none"/>
          <w:lang w:eastAsia="zh-CN"/>
        </w:rPr>
        <w:t>实际经营地在龙岗区</w:t>
      </w:r>
      <w:r>
        <w:rPr>
          <w:rFonts w:hint="eastAsia" w:ascii="仿宋_GB2312" w:hAnsi="Arial" w:eastAsia="仿宋_GB2312" w:cs="Arial"/>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Arial" w:eastAsia="仿宋_GB2312" w:cs="Arial"/>
          <w:sz w:val="32"/>
          <w:szCs w:val="32"/>
          <w:highlight w:val="none"/>
          <w:u w:val="none"/>
        </w:rPr>
      </w:pPr>
      <w:r>
        <w:rPr>
          <w:rFonts w:ascii="仿宋_GB2312" w:hAnsi="Arial" w:eastAsia="仿宋_GB2312" w:cs="Arial"/>
          <w:sz w:val="32"/>
          <w:szCs w:val="32"/>
          <w:highlight w:val="none"/>
          <w:u w:val="none"/>
        </w:rPr>
        <w:t>2.</w:t>
      </w:r>
      <w:r>
        <w:rPr>
          <w:rFonts w:hint="eastAsia" w:ascii="仿宋_GB2312" w:hAnsi="Arial" w:eastAsia="仿宋_GB2312" w:cs="Arial"/>
          <w:sz w:val="32"/>
          <w:szCs w:val="32"/>
          <w:highlight w:val="none"/>
          <w:u w:val="none"/>
        </w:rPr>
        <w:t>企业</w:t>
      </w:r>
      <w:r>
        <w:rPr>
          <w:rFonts w:hint="eastAsia" w:ascii="仿宋_GB2312" w:hAnsi="Arial" w:eastAsia="仿宋_GB2312" w:cs="Arial"/>
          <w:sz w:val="32"/>
          <w:szCs w:val="32"/>
          <w:highlight w:val="none"/>
          <w:u w:val="none"/>
          <w:lang w:val="zh-TW"/>
        </w:rPr>
        <w:t>实际投入</w:t>
      </w:r>
      <w:r>
        <w:rPr>
          <w:rFonts w:hint="eastAsia" w:ascii="仿宋_GB2312" w:hAnsi="Arial" w:eastAsia="仿宋_GB2312" w:cs="Arial"/>
          <w:sz w:val="32"/>
          <w:szCs w:val="32"/>
          <w:highlight w:val="none"/>
          <w:u w:val="none"/>
        </w:rPr>
        <w:t>包括活动的场地、物料、</w:t>
      </w:r>
      <w:r>
        <w:rPr>
          <w:rFonts w:hint="eastAsia" w:ascii="仿宋_GB2312" w:hAnsi="Arial" w:eastAsia="仿宋_GB2312" w:cs="Arial"/>
          <w:sz w:val="32"/>
          <w:szCs w:val="32"/>
          <w:highlight w:val="none"/>
          <w:u w:val="none"/>
          <w:lang w:eastAsia="zh-CN"/>
        </w:rPr>
        <w:t>优惠券、</w:t>
      </w:r>
      <w:r>
        <w:rPr>
          <w:rFonts w:hint="eastAsia" w:ascii="仿宋_GB2312" w:hAnsi="Arial" w:eastAsia="仿宋_GB2312" w:cs="Arial"/>
          <w:sz w:val="32"/>
          <w:szCs w:val="32"/>
          <w:highlight w:val="none"/>
          <w:u w:val="none"/>
        </w:rPr>
        <w:t>整体策划及宣传推广费用等。</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highlight w:val="none"/>
          <w:u w:val="none"/>
        </w:rPr>
      </w:pPr>
      <w:r>
        <w:rPr>
          <w:rFonts w:ascii="仿宋_GB2312" w:hAnsi="Arial" w:eastAsia="仿宋_GB2312" w:cs="Arial"/>
          <w:color w:val="auto"/>
          <w:sz w:val="32"/>
          <w:szCs w:val="32"/>
          <w:highlight w:val="none"/>
          <w:u w:val="none"/>
        </w:rPr>
        <w:t>3</w:t>
      </w:r>
      <w:r>
        <w:rPr>
          <w:rFonts w:hint="eastAsia" w:ascii="仿宋_GB2312" w:hAnsi="Arial" w:eastAsia="仿宋_GB2312" w:cs="Arial"/>
          <w:color w:val="auto"/>
          <w:sz w:val="32"/>
          <w:szCs w:val="32"/>
          <w:highlight w:val="none"/>
          <w:u w:val="none"/>
        </w:rPr>
        <w:t>.本扶持为核准制，</w:t>
      </w:r>
      <w:r>
        <w:rPr>
          <w:rFonts w:hint="eastAsia" w:ascii="仿宋_GB2312" w:hAnsi="仿宋_GB2312" w:eastAsia="仿宋_GB2312" w:cs="仿宋_GB2312"/>
          <w:color w:val="auto"/>
          <w:sz w:val="32"/>
          <w:szCs w:val="32"/>
          <w:highlight w:val="none"/>
          <w:u w:val="none"/>
        </w:rPr>
        <w:t>企业实际投入</w:t>
      </w:r>
      <w:r>
        <w:rPr>
          <w:rFonts w:hint="eastAsia" w:ascii="仿宋_GB2312" w:hAnsi="仿宋_GB2312" w:eastAsia="仿宋_GB2312" w:cs="仿宋_GB2312"/>
          <w:color w:val="auto"/>
          <w:sz w:val="32"/>
          <w:szCs w:val="32"/>
          <w:highlight w:val="none"/>
          <w:u w:val="none"/>
          <w:lang w:eastAsia="zh-CN"/>
        </w:rPr>
        <w:t>需</w:t>
      </w:r>
      <w:r>
        <w:rPr>
          <w:rFonts w:hint="eastAsia" w:ascii="仿宋_GB2312" w:hAnsi="仿宋_GB2312" w:eastAsia="仿宋_GB2312" w:cs="仿宋_GB2312"/>
          <w:color w:val="auto"/>
          <w:sz w:val="32"/>
          <w:szCs w:val="32"/>
          <w:highlight w:val="none"/>
          <w:u w:val="none"/>
        </w:rPr>
        <w:t>经第三方专业机构审计</w:t>
      </w:r>
      <w:r>
        <w:rPr>
          <w:rFonts w:hint="eastAsia" w:ascii="仿宋_GB2312" w:hAnsi="Arial" w:eastAsia="仿宋_GB2312" w:cs="Arial"/>
          <w:sz w:val="32"/>
          <w:szCs w:val="32"/>
          <w:highlight w:val="none"/>
          <w:u w:val="none"/>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jc w:val="both"/>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w:t>
      </w:r>
      <w:r>
        <w:rPr>
          <w:rFonts w:hint="eastAsia" w:ascii="楷体_GB2312" w:hAnsi="楷体_GB2312" w:eastAsia="楷体_GB2312" w:cs="楷体_GB2312"/>
          <w:b/>
          <w:bCs/>
          <w:color w:val="auto"/>
          <w:sz w:val="32"/>
          <w:szCs w:val="32"/>
          <w:highlight w:val="none"/>
          <w:u w:val="none"/>
          <w:lang w:eastAsia="zh-CN"/>
        </w:rPr>
        <w:t>四</w:t>
      </w:r>
      <w:r>
        <w:rPr>
          <w:rFonts w:hint="eastAsia" w:ascii="楷体_GB2312" w:hAnsi="楷体_GB2312" w:eastAsia="楷体_GB2312" w:cs="楷体_GB2312"/>
          <w:b/>
          <w:bCs/>
          <w:color w:val="auto"/>
          <w:sz w:val="32"/>
          <w:szCs w:val="32"/>
          <w:highlight w:val="none"/>
          <w:u w:val="none"/>
        </w:rPr>
        <w:t>）支持</w:t>
      </w:r>
      <w:r>
        <w:rPr>
          <w:rFonts w:hint="eastAsia" w:ascii="楷体_GB2312" w:hAnsi="楷体_GB2312" w:eastAsia="楷体_GB2312" w:cs="楷体_GB2312"/>
          <w:b/>
          <w:bCs/>
          <w:color w:val="auto"/>
          <w:sz w:val="32"/>
          <w:szCs w:val="32"/>
          <w:highlight w:val="none"/>
          <w:u w:val="none"/>
          <w:lang w:eastAsia="zh-CN"/>
        </w:rPr>
        <w:t>商业品质提升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Arial" w:eastAsia="仿宋_GB2312" w:cs="Arial"/>
          <w:sz w:val="32"/>
          <w:szCs w:val="32"/>
          <w:highlight w:val="none"/>
          <w:u w:val="none"/>
        </w:rPr>
      </w:pPr>
      <w:r>
        <w:rPr>
          <w:rFonts w:hint="eastAsia" w:ascii="仿宋_GB2312" w:hAnsi="Arial" w:eastAsia="仿宋_GB2312" w:cs="Arial"/>
          <w:sz w:val="32"/>
          <w:szCs w:val="32"/>
          <w:highlight w:val="none"/>
          <w:u w:val="none"/>
        </w:rPr>
        <w:t>1.特色商圈（步行街）或夜间经济示范街区须有统一运营单位，且运营单位</w:t>
      </w:r>
      <w:r>
        <w:rPr>
          <w:rFonts w:hint="eastAsia" w:ascii="仿宋_GB2312" w:hAnsi="Arial" w:eastAsia="仿宋_GB2312" w:cs="Arial"/>
          <w:sz w:val="32"/>
          <w:szCs w:val="32"/>
          <w:highlight w:val="none"/>
          <w:u w:val="none"/>
          <w:lang w:val="en-US" w:eastAsia="zh-CN"/>
        </w:rPr>
        <w:t>实际经营地</w:t>
      </w:r>
      <w:r>
        <w:rPr>
          <w:rFonts w:hint="eastAsia" w:ascii="仿宋_GB2312" w:hAnsi="Arial" w:eastAsia="仿宋_GB2312" w:cs="Arial"/>
          <w:sz w:val="32"/>
          <w:szCs w:val="32"/>
          <w:highlight w:val="none"/>
          <w:u w:val="none"/>
        </w:rPr>
        <w:t>在龙岗区。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Arial" w:eastAsia="仿宋_GB2312" w:cs="Arial"/>
          <w:sz w:val="32"/>
          <w:szCs w:val="32"/>
          <w:highlight w:val="none"/>
          <w:u w:val="none"/>
        </w:rPr>
      </w:pPr>
      <w:r>
        <w:rPr>
          <w:rFonts w:hint="eastAsia" w:ascii="仿宋_GB2312" w:hAnsi="Arial" w:eastAsia="仿宋_GB2312" w:cs="Arial"/>
          <w:sz w:val="32"/>
          <w:szCs w:val="32"/>
          <w:highlight w:val="none"/>
          <w:u w:val="none"/>
        </w:rPr>
        <w:t>2.企业应在获得相关扶持资金的当年或第二个会计年度内提出申请。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FF"/>
          <w:sz w:val="32"/>
          <w:szCs w:val="32"/>
          <w:highlight w:val="none"/>
          <w:u w:val="none"/>
        </w:rPr>
      </w:pPr>
      <w:r>
        <w:rPr>
          <w:rFonts w:hint="eastAsia" w:ascii="仿宋_GB2312" w:hAnsi="Arial" w:eastAsia="仿宋_GB2312" w:cs="Arial"/>
          <w:sz w:val="32"/>
          <w:szCs w:val="32"/>
          <w:highlight w:val="none"/>
          <w:u w:val="none"/>
        </w:rPr>
        <w:t>3.本扶持为核准制，以企业获得深圳市商务部门认定的特色商圈（步行街）或夜间经济示范街区文件为准。</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jc w:val="both"/>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（五）</w:t>
      </w:r>
      <w:r>
        <w:rPr>
          <w:rFonts w:hint="eastAsia" w:ascii="楷体_GB2312" w:hAnsi="楷体_GB2312" w:eastAsia="楷体_GB2312" w:cs="楷体_GB2312"/>
          <w:b/>
          <w:bCs/>
          <w:color w:val="auto"/>
          <w:sz w:val="32"/>
          <w:szCs w:val="32"/>
          <w:highlight w:val="none"/>
          <w:u w:val="none"/>
        </w:rPr>
        <w:t>支持</w:t>
      </w:r>
      <w:r>
        <w:rPr>
          <w:rFonts w:hint="eastAsia" w:ascii="楷体_GB2312" w:hAnsi="楷体_GB2312" w:eastAsia="楷体_GB2312" w:cs="楷体_GB2312"/>
          <w:b/>
          <w:bCs/>
          <w:color w:val="auto"/>
          <w:sz w:val="32"/>
          <w:szCs w:val="32"/>
          <w:highlight w:val="none"/>
          <w:u w:val="none"/>
          <w:lang w:eastAsia="zh-CN"/>
        </w:rPr>
        <w:t>企业赴境内外参展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1.申报企业的</w:t>
      </w:r>
      <w:r>
        <w:rPr>
          <w:rFonts w:hint="eastAsia" w:ascii="仿宋_GB2312" w:hAnsi="仿宋_GB2312" w:eastAsia="仿宋_GB2312" w:cs="仿宋_GB2312"/>
          <w:color w:val="auto"/>
          <w:sz w:val="32"/>
          <w:szCs w:val="32"/>
          <w:highlight w:val="none"/>
          <w:u w:val="none"/>
          <w:lang w:eastAsia="zh-CN"/>
        </w:rPr>
        <w:t>实际经营</w:t>
      </w:r>
      <w:r>
        <w:rPr>
          <w:rFonts w:hint="eastAsia" w:ascii="仿宋_GB2312" w:hAnsi="仿宋_GB2312" w:eastAsia="仿宋_GB2312" w:cs="仿宋_GB2312"/>
          <w:color w:val="auto"/>
          <w:sz w:val="32"/>
          <w:szCs w:val="32"/>
          <w:highlight w:val="none"/>
          <w:u w:val="none"/>
        </w:rPr>
        <w:t>地在龙岗区。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申报企业实际</w:t>
      </w:r>
      <w:r>
        <w:rPr>
          <w:rFonts w:hint="eastAsia" w:ascii="仿宋_GB2312" w:hAnsi="仿宋_GB2312" w:eastAsia="仿宋_GB2312" w:cs="仿宋_GB2312"/>
          <w:color w:val="auto"/>
          <w:sz w:val="32"/>
          <w:szCs w:val="32"/>
          <w:highlight w:val="none"/>
          <w:u w:val="none"/>
        </w:rPr>
        <w:t>展位费金额达到2万元及以上</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.本项目市区两级政策实行择优不重复原则，申请人可根据自身情况选择适用市级或区级政策，但不得同时享受。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rPr>
        <w:t>4</w:t>
      </w:r>
      <w:r>
        <w:rPr>
          <w:rFonts w:hint="eastAsia" w:ascii="仿宋_GB2312" w:hAnsi="仿宋_GB2312" w:eastAsia="仿宋_GB2312" w:cs="仿宋_GB2312"/>
          <w:color w:val="auto"/>
          <w:kern w:val="2"/>
          <w:sz w:val="32"/>
          <w:szCs w:val="32"/>
          <w:highlight w:val="none"/>
          <w:u w:val="none"/>
        </w:rPr>
        <w:t>.本扶持为核准制。</w:t>
      </w:r>
    </w:p>
    <w:p>
      <w:pPr>
        <w:pStyle w:val="4"/>
        <w:keepNext w:val="0"/>
        <w:keepLines w:val="0"/>
        <w:pageBreakBefore w:val="0"/>
        <w:kinsoku/>
        <w:wordWrap/>
        <w:overflowPunct/>
        <w:topLinePunct w:val="0"/>
        <w:autoSpaceDE/>
        <w:autoSpaceDN/>
        <w:bidi w:val="0"/>
        <w:spacing w:line="560" w:lineRule="exact"/>
        <w:jc w:val="both"/>
        <w:rPr>
          <w:rFonts w:hint="eastAsia"/>
        </w:rPr>
      </w:pP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第四章</w:t>
      </w:r>
      <w:r>
        <w:rPr>
          <w:rFonts w:ascii="黑体" w:hAnsi="黑体" w:eastAsia="黑体" w:cs="黑体"/>
          <w:color w:val="auto"/>
          <w:sz w:val="32"/>
          <w:szCs w:val="32"/>
          <w:highlight w:val="none"/>
          <w:u w:val="none"/>
        </w:rPr>
        <w:t xml:space="preserve"> </w:t>
      </w:r>
      <w:r>
        <w:rPr>
          <w:rFonts w:hint="eastAsia" w:ascii="黑体" w:hAnsi="黑体" w:eastAsia="黑体" w:cs="黑体"/>
          <w:color w:val="auto"/>
          <w:sz w:val="32"/>
          <w:szCs w:val="32"/>
          <w:highlight w:val="none"/>
          <w:u w:val="none"/>
        </w:rPr>
        <w:t>项目申报和审核</w:t>
      </w:r>
    </w:p>
    <w:p>
      <w:pPr>
        <w:pStyle w:val="4"/>
        <w:keepNext w:val="0"/>
        <w:keepLines w:val="0"/>
        <w:pageBreakBefore w:val="0"/>
        <w:kinsoku/>
        <w:wordWrap/>
        <w:overflowPunct/>
        <w:topLinePunct w:val="0"/>
        <w:autoSpaceDE/>
        <w:autoSpaceDN/>
        <w:bidi w:val="0"/>
        <w:adjustRightInd w:val="0"/>
        <w:snapToGrid w:val="0"/>
        <w:spacing w:line="560" w:lineRule="exact"/>
        <w:ind w:firstLine="660"/>
        <w:jc w:val="both"/>
        <w:rPr>
          <w:rFonts w:ascii="仿宋_GB2312" w:hAnsi="仿宋_GB2312" w:eastAsia="仿宋_GB2312" w:cs="仿宋_GB2312"/>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第十一条 </w:t>
      </w:r>
      <w:r>
        <w:rPr>
          <w:rFonts w:hint="eastAsia" w:ascii="仿宋_GB2312" w:hAnsi="仿宋_GB2312" w:eastAsia="仿宋_GB2312" w:cs="仿宋_GB2312"/>
          <w:sz w:val="32"/>
          <w:szCs w:val="32"/>
          <w:highlight w:val="none"/>
          <w:u w:val="none"/>
        </w:rPr>
        <w:t>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局根据本实施细则制定年度扶持计划项目申请指南（通知），在龙岗政府在线、区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局网站发布</w:t>
      </w:r>
      <w:r>
        <w:rPr>
          <w:rFonts w:ascii="仿宋_GB2312" w:hAnsi="仿宋_GB2312" w:eastAsia="仿宋_GB2312" w:cs="仿宋_GB2312"/>
          <w:sz w:val="32"/>
          <w:szCs w:val="32"/>
          <w:highlight w:val="none"/>
          <w:u w:val="none"/>
        </w:rPr>
        <w:t>,明确受理时间、申报材料要求等内容。</w:t>
      </w:r>
    </w:p>
    <w:p>
      <w:pPr>
        <w:pStyle w:val="4"/>
        <w:keepNext w:val="0"/>
        <w:keepLines w:val="0"/>
        <w:pageBreakBefore w:val="0"/>
        <w:kinsoku/>
        <w:wordWrap/>
        <w:overflowPunct/>
        <w:topLinePunct w:val="0"/>
        <w:autoSpaceDE/>
        <w:autoSpaceDN/>
        <w:bidi w:val="0"/>
        <w:adjustRightInd w:val="0"/>
        <w:snapToGrid w:val="0"/>
        <w:spacing w:line="560" w:lineRule="exact"/>
        <w:ind w:firstLine="660"/>
        <w:jc w:val="both"/>
        <w:rPr>
          <w:rFonts w:ascii="仿宋_GB2312" w:hAnsi="仿宋_GB2312" w:eastAsia="仿宋_GB2312" w:cs="仿宋_GB2312"/>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第十二条 </w:t>
      </w:r>
      <w:r>
        <w:rPr>
          <w:rFonts w:hint="eastAsia" w:ascii="仿宋_GB2312" w:hAnsi="仿宋_GB2312" w:eastAsia="仿宋_GB2312" w:cs="仿宋_GB2312"/>
          <w:sz w:val="32"/>
          <w:szCs w:val="32"/>
          <w:highlight w:val="none"/>
          <w:u w:val="none"/>
        </w:rPr>
        <w:t>项目单位根据申请指南要求，在规定时间内如实填报项目信息，提交相关材料。</w:t>
      </w:r>
    </w:p>
    <w:p>
      <w:pPr>
        <w:pStyle w:val="4"/>
        <w:keepNext w:val="0"/>
        <w:keepLines w:val="0"/>
        <w:pageBreakBefore w:val="0"/>
        <w:kinsoku/>
        <w:wordWrap/>
        <w:overflowPunct/>
        <w:topLinePunct w:val="0"/>
        <w:autoSpaceDE/>
        <w:autoSpaceDN/>
        <w:bidi w:val="0"/>
        <w:adjustRightInd w:val="0"/>
        <w:snapToGrid w:val="0"/>
        <w:spacing w:line="560" w:lineRule="exact"/>
        <w:ind w:firstLine="660"/>
        <w:jc w:val="both"/>
        <w:rPr>
          <w:rFonts w:ascii="仿宋" w:hAnsi="仿宋" w:eastAsia="仿宋" w:cs="Arial"/>
          <w:color w:val="auto"/>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第十三条 </w:t>
      </w:r>
      <w:r>
        <w:rPr>
          <w:rFonts w:hint="eastAsia" w:ascii="仿宋_GB2312" w:hAnsi="仿宋_GB2312" w:eastAsia="仿宋_GB2312" w:cs="仿宋_GB2312"/>
          <w:sz w:val="32"/>
          <w:szCs w:val="32"/>
          <w:highlight w:val="none"/>
          <w:u w:val="none"/>
        </w:rPr>
        <w:t>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局组织开展对申报项目进行审核，并征求各有关单位意见，进行项目重复性核查以及申报单位</w:t>
      </w:r>
      <w:r>
        <w:rPr>
          <w:rFonts w:hint="eastAsia" w:ascii="仿宋_GB2312" w:hAnsi="仿宋_GB2312" w:eastAsia="仿宋_GB2312" w:cs="仿宋_GB2312"/>
          <w:color w:val="auto"/>
          <w:sz w:val="32"/>
          <w:szCs w:val="32"/>
          <w:highlight w:val="none"/>
          <w:u w:val="none"/>
          <w:lang w:eastAsia="zh-CN"/>
        </w:rPr>
        <w:t>实际经营地</w:t>
      </w:r>
      <w:r>
        <w:rPr>
          <w:rFonts w:hint="eastAsia" w:ascii="仿宋_GB2312" w:hAnsi="仿宋_GB2312" w:eastAsia="仿宋_GB2312" w:cs="仿宋_GB2312"/>
          <w:color w:val="auto"/>
          <w:sz w:val="32"/>
          <w:szCs w:val="32"/>
          <w:highlight w:val="none"/>
          <w:u w:val="none"/>
        </w:rPr>
        <w:t>、是否列入严重失信主体名单且在有效期内等情况</w:t>
      </w:r>
      <w:r>
        <w:rPr>
          <w:rFonts w:hint="eastAsia" w:ascii="仿宋_GB2312" w:hAnsi="仿宋_GB2312" w:eastAsia="仿宋_GB2312" w:cs="仿宋_GB2312"/>
          <w:color w:val="auto"/>
          <w:sz w:val="32"/>
          <w:szCs w:val="32"/>
          <w:highlight w:val="none"/>
          <w:u w:val="none"/>
          <w:lang w:eastAsia="zh-CN"/>
        </w:rPr>
        <w:t>核查</w:t>
      </w:r>
      <w:r>
        <w:rPr>
          <w:rFonts w:hint="eastAsia" w:ascii="仿宋_GB2312" w:hAnsi="仿宋_GB2312" w:eastAsia="仿宋_GB2312" w:cs="仿宋_GB2312"/>
          <w:color w:val="auto"/>
          <w:sz w:val="32"/>
          <w:szCs w:val="32"/>
          <w:highlight w:val="none"/>
          <w:u w:val="none"/>
        </w:rPr>
        <w:t>。</w:t>
      </w:r>
    </w:p>
    <w:p>
      <w:pPr>
        <w:pStyle w:val="4"/>
        <w:keepNext w:val="0"/>
        <w:keepLines w:val="0"/>
        <w:pageBreakBefore w:val="0"/>
        <w:kinsoku/>
        <w:wordWrap/>
        <w:overflowPunct/>
        <w:topLinePunct w:val="0"/>
        <w:autoSpaceDE/>
        <w:autoSpaceDN/>
        <w:bidi w:val="0"/>
        <w:adjustRightInd w:val="0"/>
        <w:snapToGrid w:val="0"/>
        <w:spacing w:line="560" w:lineRule="exact"/>
        <w:ind w:firstLine="660"/>
        <w:jc w:val="both"/>
        <w:rPr>
          <w:rFonts w:ascii="仿宋" w:hAnsi="仿宋" w:eastAsia="仿宋" w:cs="Arial"/>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第十四条 </w:t>
      </w:r>
      <w:r>
        <w:rPr>
          <w:rFonts w:hint="eastAsia" w:ascii="仿宋_GB2312" w:hAnsi="仿宋_GB2312" w:eastAsia="仿宋_GB2312" w:cs="仿宋_GB2312"/>
          <w:sz w:val="32"/>
          <w:szCs w:val="32"/>
          <w:highlight w:val="none"/>
          <w:u w:val="none"/>
        </w:rPr>
        <w:t>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局对项目进行材料审核，可委托第三方专业服务机构组织开展专家评审和专项审计等相关工作</w:t>
      </w:r>
      <w:r>
        <w:rPr>
          <w:rFonts w:ascii="仿宋_GB2312" w:hAnsi="仿宋_GB2312" w:eastAsia="仿宋_GB2312" w:cs="仿宋_GB2312"/>
          <w:sz w:val="32"/>
          <w:szCs w:val="32"/>
          <w:highlight w:val="none"/>
          <w:u w:val="none"/>
        </w:rPr>
        <w:t>,第三方专业服务机构向区</w:t>
      </w:r>
      <w:r>
        <w:rPr>
          <w:rFonts w:hint="eastAsia" w:ascii="仿宋_GB2312" w:hAnsi="仿宋_GB2312" w:eastAsia="仿宋_GB2312" w:cs="仿宋_GB2312"/>
          <w:sz w:val="32"/>
          <w:szCs w:val="32"/>
          <w:highlight w:val="none"/>
          <w:u w:val="none"/>
          <w:lang w:eastAsia="zh-CN"/>
        </w:rPr>
        <w:t>商务</w:t>
      </w:r>
      <w:r>
        <w:rPr>
          <w:rFonts w:ascii="仿宋_GB2312" w:hAnsi="仿宋_GB2312" w:eastAsia="仿宋_GB2312" w:cs="仿宋_GB2312"/>
          <w:sz w:val="32"/>
          <w:szCs w:val="32"/>
          <w:highlight w:val="none"/>
          <w:u w:val="none"/>
        </w:rPr>
        <w:t>局提交专家评审、专项审计报告。</w:t>
      </w:r>
    </w:p>
    <w:p>
      <w:pPr>
        <w:pStyle w:val="4"/>
        <w:keepNext w:val="0"/>
        <w:keepLines w:val="0"/>
        <w:pageBreakBefore w:val="0"/>
        <w:kinsoku/>
        <w:wordWrap/>
        <w:overflowPunct/>
        <w:topLinePunct w:val="0"/>
        <w:autoSpaceDE/>
        <w:autoSpaceDN/>
        <w:bidi w:val="0"/>
        <w:adjustRightInd w:val="0"/>
        <w:snapToGrid w:val="0"/>
        <w:spacing w:line="560" w:lineRule="exact"/>
        <w:ind w:firstLine="660"/>
        <w:jc w:val="both"/>
        <w:rPr>
          <w:rFonts w:ascii="仿宋" w:hAnsi="仿宋" w:eastAsia="仿宋" w:cs="Arial"/>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第十五条 </w:t>
      </w:r>
      <w:r>
        <w:rPr>
          <w:rFonts w:hint="eastAsia" w:ascii="仿宋_GB2312" w:hAnsi="仿宋_GB2312" w:eastAsia="仿宋_GB2312" w:cs="仿宋_GB2312"/>
          <w:sz w:val="32"/>
          <w:szCs w:val="32"/>
          <w:highlight w:val="none"/>
          <w:u w:val="none"/>
        </w:rPr>
        <w:t>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局根据年度资金安排，结合项目专家评审、专项审计结果等情况，编制资金扶持计划，确定拟扶持项目名单和扶持金额。</w:t>
      </w:r>
    </w:p>
    <w:p>
      <w:pPr>
        <w:keepNext w:val="0"/>
        <w:keepLines w:val="0"/>
        <w:pageBreakBefore w:val="0"/>
        <w:kinsoku/>
        <w:wordWrap/>
        <w:overflowPunct/>
        <w:topLinePunct w:val="0"/>
        <w:autoSpaceDE/>
        <w:autoSpaceDN/>
        <w:bidi w:val="0"/>
        <w:spacing w:line="560" w:lineRule="exact"/>
        <w:ind w:firstLine="645"/>
        <w:jc w:val="both"/>
        <w:rPr>
          <w:rFonts w:ascii="仿宋_GB2312" w:hAnsi="仿宋_GB2312" w:eastAsia="仿宋_GB2312" w:cs="仿宋_GB2312"/>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第十六条 </w:t>
      </w:r>
      <w:r>
        <w:rPr>
          <w:rFonts w:hint="eastAsia" w:ascii="仿宋_GB2312" w:hAnsi="仿宋_GB2312" w:eastAsia="仿宋_GB2312" w:cs="仿宋_GB2312"/>
          <w:sz w:val="32"/>
          <w:szCs w:val="32"/>
          <w:highlight w:val="none"/>
          <w:u w:val="none"/>
        </w:rPr>
        <w:t>审核通过的拟扶持项目按规定在龙岗政府在线和区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局网站进行公示，公示时间为</w:t>
      </w:r>
      <w:r>
        <w:rPr>
          <w:rFonts w:ascii="仿宋_GB2312" w:hAnsi="仿宋_GB2312" w:eastAsia="仿宋_GB2312" w:cs="仿宋_GB2312"/>
          <w:sz w:val="32"/>
          <w:szCs w:val="32"/>
          <w:highlight w:val="none"/>
          <w:u w:val="none"/>
        </w:rPr>
        <w:t>5个工作日。对公示内容有异议的，可在公示期内向区</w:t>
      </w:r>
      <w:r>
        <w:rPr>
          <w:rFonts w:hint="eastAsia" w:ascii="仿宋_GB2312" w:hAnsi="仿宋_GB2312" w:eastAsia="仿宋_GB2312" w:cs="仿宋_GB2312"/>
          <w:sz w:val="32"/>
          <w:szCs w:val="32"/>
          <w:highlight w:val="none"/>
          <w:u w:val="none"/>
          <w:lang w:eastAsia="zh-CN"/>
        </w:rPr>
        <w:t>商务</w:t>
      </w:r>
      <w:r>
        <w:rPr>
          <w:rFonts w:ascii="仿宋_GB2312" w:hAnsi="仿宋_GB2312" w:eastAsia="仿宋_GB2312" w:cs="仿宋_GB2312"/>
          <w:sz w:val="32"/>
          <w:szCs w:val="32"/>
          <w:highlight w:val="none"/>
          <w:u w:val="none"/>
        </w:rPr>
        <w:t>局书面提出。对于公示有异议的，由区</w:t>
      </w:r>
      <w:r>
        <w:rPr>
          <w:rFonts w:hint="eastAsia" w:ascii="仿宋_GB2312" w:hAnsi="仿宋_GB2312" w:eastAsia="仿宋_GB2312" w:cs="仿宋_GB2312"/>
          <w:sz w:val="32"/>
          <w:szCs w:val="32"/>
          <w:highlight w:val="none"/>
          <w:u w:val="none"/>
          <w:lang w:eastAsia="zh-CN"/>
        </w:rPr>
        <w:t>商务</w:t>
      </w:r>
      <w:r>
        <w:rPr>
          <w:rFonts w:ascii="仿宋_GB2312" w:hAnsi="仿宋_GB2312" w:eastAsia="仿宋_GB2312" w:cs="仿宋_GB2312"/>
          <w:sz w:val="32"/>
          <w:szCs w:val="32"/>
          <w:highlight w:val="none"/>
          <w:u w:val="none"/>
        </w:rPr>
        <w:t>局进行调查或组织重审，不予扶持的向申报单位反馈理由。</w:t>
      </w:r>
    </w:p>
    <w:p>
      <w:pPr>
        <w:pStyle w:val="4"/>
        <w:keepNext w:val="0"/>
        <w:keepLines w:val="0"/>
        <w:pageBreakBefore w:val="0"/>
        <w:kinsoku/>
        <w:wordWrap/>
        <w:overflowPunct/>
        <w:topLinePunct w:val="0"/>
        <w:autoSpaceDE/>
        <w:autoSpaceDN/>
        <w:bidi w:val="0"/>
        <w:spacing w:line="560" w:lineRule="exact"/>
        <w:jc w:val="both"/>
      </w:pPr>
    </w:p>
    <w:p>
      <w:pPr>
        <w:pStyle w:val="4"/>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第五章</w:t>
      </w:r>
      <w:r>
        <w:rPr>
          <w:rFonts w:ascii="黑体" w:hAnsi="黑体" w:eastAsia="黑体" w:cs="黑体"/>
          <w:sz w:val="32"/>
          <w:szCs w:val="32"/>
          <w:highlight w:val="none"/>
          <w:u w:val="none"/>
        </w:rPr>
        <w:t xml:space="preserve"> </w:t>
      </w:r>
      <w:r>
        <w:rPr>
          <w:rFonts w:hint="eastAsia" w:ascii="黑体" w:hAnsi="黑体" w:eastAsia="黑体" w:cs="黑体"/>
          <w:sz w:val="32"/>
          <w:szCs w:val="32"/>
          <w:highlight w:val="none"/>
          <w:u w:val="none"/>
        </w:rPr>
        <w:t>附则</w:t>
      </w:r>
    </w:p>
    <w:p>
      <w:pPr>
        <w:pStyle w:val="4"/>
        <w:keepNext w:val="0"/>
        <w:keepLines w:val="0"/>
        <w:pageBreakBefore w:val="0"/>
        <w:kinsoku/>
        <w:wordWrap/>
        <w:overflowPunct/>
        <w:topLinePunct w:val="0"/>
        <w:autoSpaceDE/>
        <w:autoSpaceDN/>
        <w:bidi w:val="0"/>
        <w:adjustRightInd w:val="0"/>
        <w:snapToGrid w:val="0"/>
        <w:spacing w:line="560" w:lineRule="exact"/>
        <w:ind w:firstLine="642" w:firstLineChars="200"/>
        <w:jc w:val="both"/>
        <w:rPr>
          <w:rFonts w:ascii="仿宋_GB2312" w:hAnsi="仿宋_GB2312" w:eastAsia="仿宋_GB2312" w:cs="仿宋_GB2312"/>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第十七条 </w:t>
      </w:r>
      <w:r>
        <w:rPr>
          <w:rFonts w:hint="eastAsia" w:ascii="仿宋_GB2312" w:hAnsi="仿宋_GB2312" w:eastAsia="仿宋_GB2312" w:cs="仿宋_GB2312"/>
          <w:sz w:val="32"/>
          <w:szCs w:val="32"/>
          <w:highlight w:val="none"/>
          <w:u w:val="none"/>
        </w:rPr>
        <w:t>本实施细则由区</w:t>
      </w:r>
      <w:r>
        <w:rPr>
          <w:rFonts w:hint="eastAsia" w:ascii="仿宋_GB2312" w:hAnsi="仿宋_GB2312" w:eastAsia="仿宋_GB2312" w:cs="仿宋_GB2312"/>
          <w:sz w:val="32"/>
          <w:szCs w:val="32"/>
          <w:highlight w:val="none"/>
          <w:u w:val="none"/>
          <w:lang w:eastAsia="zh-CN"/>
        </w:rPr>
        <w:t>商务</w:t>
      </w:r>
      <w:r>
        <w:rPr>
          <w:rFonts w:hint="eastAsia" w:ascii="仿宋_GB2312" w:hAnsi="仿宋_GB2312" w:eastAsia="仿宋_GB2312" w:cs="仿宋_GB2312"/>
          <w:sz w:val="32"/>
          <w:szCs w:val="32"/>
          <w:highlight w:val="none"/>
          <w:u w:val="none"/>
        </w:rPr>
        <w:t>局负责解释。</w:t>
      </w:r>
    </w:p>
    <w:p>
      <w:pPr>
        <w:keepNext w:val="0"/>
        <w:keepLines w:val="0"/>
        <w:pageBreakBefore w:val="0"/>
        <w:kinsoku/>
        <w:wordWrap/>
        <w:overflowPunct/>
        <w:topLinePunct w:val="0"/>
        <w:autoSpaceDE/>
        <w:autoSpaceDN/>
        <w:bidi w:val="0"/>
        <w:adjustRightInd w:val="0"/>
        <w:snapToGrid w:val="0"/>
        <w:spacing w:line="560" w:lineRule="exact"/>
        <w:ind w:firstLine="640"/>
        <w:jc w:val="both"/>
        <w:rPr>
          <w:rFonts w:ascii="仿宋" w:hAnsi="仿宋" w:eastAsia="仿宋" w:cs="Arial"/>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第十八条 </w:t>
      </w:r>
      <w:r>
        <w:rPr>
          <w:rFonts w:hint="eastAsia" w:ascii="仿宋_GB2312" w:hAnsi="仿宋_GB2312" w:eastAsia="仿宋_GB2312" w:cs="仿宋_GB2312"/>
          <w:sz w:val="32"/>
          <w:szCs w:val="32"/>
          <w:highlight w:val="none"/>
          <w:u w:val="none"/>
        </w:rPr>
        <w:t>本实施细则的资助额，一律向下取整到元</w:t>
      </w:r>
      <w:r>
        <w:rPr>
          <w:rFonts w:hint="eastAsia" w:ascii="仿宋" w:hAnsi="仿宋" w:eastAsia="仿宋" w:cs="Arial"/>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jc w:val="both"/>
        <w:rPr>
          <w:rFonts w:ascii="仿宋_GB2312" w:hAnsi="Arial" w:eastAsia="仿宋_GB2312" w:cs="Arial"/>
          <w:sz w:val="32"/>
          <w:szCs w:val="32"/>
          <w:highlight w:val="none"/>
          <w:u w:val="none"/>
        </w:rPr>
      </w:pPr>
      <w:r>
        <w:rPr>
          <w:rFonts w:hint="eastAsia" w:ascii="楷体_GB2312" w:hAnsi="楷体_GB2312" w:eastAsia="楷体_GB2312" w:cs="楷体_GB2312"/>
          <w:b/>
          <w:bCs/>
          <w:color w:val="auto"/>
          <w:kern w:val="0"/>
          <w:sz w:val="32"/>
          <w:szCs w:val="32"/>
          <w:highlight w:val="none"/>
          <w:u w:val="none"/>
          <w:lang w:val="en-US" w:eastAsia="zh-CN" w:bidi="ar-SA"/>
        </w:rPr>
        <w:t xml:space="preserve">第十九条 </w:t>
      </w:r>
      <w:r>
        <w:rPr>
          <w:rFonts w:hint="eastAsia" w:ascii="仿宋_GB2312" w:hAnsi="仿宋_GB2312" w:eastAsia="仿宋_GB2312" w:cs="仿宋_GB2312"/>
          <w:sz w:val="32"/>
          <w:szCs w:val="32"/>
          <w:highlight w:val="none"/>
          <w:u w:val="none"/>
        </w:rPr>
        <w:t>本细则中的日期、比例及金额等，除特别注明外均包括本数</w:t>
      </w:r>
      <w:r>
        <w:rPr>
          <w:rFonts w:ascii="仿宋_GB2312" w:hAnsi="仿宋_GB2312" w:eastAsia="仿宋_GB2312" w:cs="仿宋_GB2312"/>
          <w:sz w:val="32"/>
          <w:szCs w:val="32"/>
          <w:highlight w:val="none"/>
          <w:u w:val="none"/>
        </w:rPr>
        <w:t>。本细则中的年度均指自然年度。</w:t>
      </w:r>
    </w:p>
    <w:p>
      <w:pPr>
        <w:keepNext w:val="0"/>
        <w:keepLines w:val="0"/>
        <w:pageBreakBefore w:val="0"/>
        <w:kinsoku/>
        <w:wordWrap/>
        <w:overflowPunct/>
        <w:topLinePunct w:val="0"/>
        <w:autoSpaceDE/>
        <w:autoSpaceDN/>
        <w:bidi w:val="0"/>
        <w:adjustRightInd w:val="0"/>
        <w:snapToGrid w:val="0"/>
        <w:spacing w:line="560" w:lineRule="exact"/>
        <w:ind w:firstLine="642" w:firstLineChars="200"/>
        <w:jc w:val="both"/>
        <w:rPr>
          <w:rFonts w:hint="eastAsia" w:asciiTheme="minorEastAsia" w:hAnsiTheme="minorEastAsia" w:eastAsiaTheme="minorEastAsia" w:cstheme="minorEastAsia"/>
          <w:sz w:val="21"/>
          <w:szCs w:val="21"/>
          <w:lang w:val="en-US" w:eastAsia="zh-CN"/>
        </w:rPr>
      </w:pPr>
      <w:r>
        <w:rPr>
          <w:rFonts w:hint="eastAsia" w:ascii="楷体_GB2312" w:hAnsi="楷体_GB2312" w:eastAsia="楷体_GB2312" w:cs="楷体_GB2312"/>
          <w:b/>
          <w:bCs/>
          <w:color w:val="auto"/>
          <w:kern w:val="0"/>
          <w:sz w:val="32"/>
          <w:szCs w:val="32"/>
          <w:highlight w:val="none"/>
          <w:u w:val="none"/>
          <w:lang w:val="en-US" w:eastAsia="zh-CN" w:bidi="ar-SA"/>
        </w:rPr>
        <w:t>第二</w:t>
      </w:r>
      <w:r>
        <w:rPr>
          <w:rFonts w:hint="default" w:ascii="楷体_GB2312" w:hAnsi="楷体_GB2312" w:eastAsia="楷体_GB2312" w:cs="楷体_GB2312"/>
          <w:b/>
          <w:bCs/>
          <w:color w:val="auto"/>
          <w:kern w:val="0"/>
          <w:sz w:val="32"/>
          <w:szCs w:val="32"/>
          <w:highlight w:val="none"/>
          <w:u w:val="none"/>
          <w:lang w:val="en-US" w:eastAsia="zh-CN" w:bidi="ar-SA"/>
        </w:rPr>
        <w:t>十</w:t>
      </w:r>
      <w:r>
        <w:rPr>
          <w:rFonts w:hint="eastAsia" w:ascii="楷体_GB2312" w:hAnsi="楷体_GB2312" w:eastAsia="楷体_GB2312" w:cs="楷体_GB2312"/>
          <w:b/>
          <w:bCs/>
          <w:color w:val="auto"/>
          <w:kern w:val="0"/>
          <w:sz w:val="32"/>
          <w:szCs w:val="32"/>
          <w:highlight w:val="none"/>
          <w:u w:val="none"/>
          <w:lang w:val="en-US" w:eastAsia="zh-CN" w:bidi="ar-SA"/>
        </w:rPr>
        <w:t xml:space="preserve">条 </w:t>
      </w:r>
      <w:r>
        <w:rPr>
          <w:rFonts w:hint="eastAsia" w:ascii="仿宋_GB2312" w:hAnsi="仿宋_GB2312" w:eastAsia="仿宋_GB2312"/>
          <w:kern w:val="0"/>
          <w:sz w:val="32"/>
          <w:szCs w:val="32"/>
          <w:highlight w:val="none"/>
          <w:u w:val="none"/>
        </w:rPr>
        <w:t>本办法自</w:t>
      </w:r>
      <w:r>
        <w:rPr>
          <w:rFonts w:ascii="仿宋_GB2312" w:hAnsi="仿宋_GB2312" w:eastAsia="仿宋_GB2312"/>
          <w:kern w:val="0"/>
          <w:sz w:val="32"/>
          <w:szCs w:val="32"/>
          <w:highlight w:val="none"/>
          <w:u w:val="none"/>
        </w:rPr>
        <w:t>202</w:t>
      </w:r>
      <w:r>
        <w:rPr>
          <w:rFonts w:hint="eastAsia" w:ascii="仿宋_GB2312" w:hAnsi="仿宋_GB2312" w:eastAsia="仿宋_GB2312"/>
          <w:kern w:val="0"/>
          <w:sz w:val="32"/>
          <w:szCs w:val="32"/>
          <w:highlight w:val="none"/>
          <w:u w:val="none"/>
          <w:lang w:val="en-US" w:eastAsia="zh-CN"/>
        </w:rPr>
        <w:t>5</w:t>
      </w:r>
      <w:r>
        <w:rPr>
          <w:rFonts w:hint="eastAsia" w:ascii="仿宋_GB2312" w:hAnsi="仿宋_GB2312" w:eastAsia="仿宋_GB2312"/>
          <w:kern w:val="0"/>
          <w:sz w:val="32"/>
          <w:szCs w:val="32"/>
          <w:highlight w:val="none"/>
          <w:u w:val="none"/>
        </w:rPr>
        <w:t>年</w:t>
      </w:r>
      <w:r>
        <w:rPr>
          <w:rFonts w:hint="eastAsia" w:ascii="仿宋_GB2312" w:hAnsi="仿宋_GB2312" w:eastAsia="仿宋_GB2312"/>
          <w:kern w:val="0"/>
          <w:sz w:val="32"/>
          <w:szCs w:val="32"/>
          <w:highlight w:val="none"/>
          <w:u w:val="none"/>
          <w:lang w:val="en-US" w:eastAsia="zh-CN"/>
        </w:rPr>
        <w:t>X</w:t>
      </w:r>
      <w:r>
        <w:rPr>
          <w:rFonts w:ascii="仿宋_GB2312" w:hAnsi="仿宋_GB2312" w:eastAsia="仿宋_GB2312"/>
          <w:kern w:val="0"/>
          <w:sz w:val="32"/>
          <w:szCs w:val="32"/>
          <w:highlight w:val="none"/>
          <w:u w:val="none"/>
        </w:rPr>
        <w:t>月</w:t>
      </w:r>
      <w:r>
        <w:rPr>
          <w:rFonts w:hint="eastAsia" w:ascii="仿宋_GB2312" w:hAnsi="仿宋_GB2312" w:eastAsia="仿宋_GB2312"/>
          <w:kern w:val="0"/>
          <w:sz w:val="32"/>
          <w:szCs w:val="32"/>
          <w:highlight w:val="none"/>
          <w:u w:val="none"/>
          <w:lang w:val="en-US" w:eastAsia="zh-CN"/>
        </w:rPr>
        <w:t>X</w:t>
      </w:r>
      <w:r>
        <w:rPr>
          <w:rFonts w:ascii="仿宋_GB2312" w:hAnsi="仿宋_GB2312" w:eastAsia="仿宋_GB2312"/>
          <w:kern w:val="0"/>
          <w:sz w:val="32"/>
          <w:szCs w:val="32"/>
          <w:highlight w:val="none"/>
          <w:u w:val="none"/>
        </w:rPr>
        <w:t>日起施行，有效期</w:t>
      </w:r>
      <w:r>
        <w:rPr>
          <w:rFonts w:hint="eastAsia" w:ascii="仿宋_GB2312" w:hAnsi="仿宋_GB2312" w:eastAsia="仿宋_GB2312"/>
          <w:kern w:val="0"/>
          <w:sz w:val="32"/>
          <w:szCs w:val="32"/>
          <w:highlight w:val="none"/>
          <w:u w:val="none"/>
          <w:lang w:val="en-US" w:eastAsia="zh-CN"/>
        </w:rPr>
        <w:t>3</w:t>
      </w:r>
      <w:r>
        <w:rPr>
          <w:rFonts w:ascii="仿宋_GB2312" w:hAnsi="仿宋_GB2312" w:eastAsia="仿宋_GB2312"/>
          <w:kern w:val="0"/>
          <w:sz w:val="32"/>
          <w:szCs w:val="32"/>
          <w:highlight w:val="none"/>
          <w:u w:val="none"/>
        </w:rPr>
        <w:t>年。</w:t>
      </w:r>
      <w:r>
        <w:rPr>
          <w:rFonts w:hint="eastAsia" w:ascii="仿宋_GB2312" w:hAnsi="仿宋_GB2312" w:eastAsia="仿宋_GB2312" w:cs="仿宋_GB2312"/>
          <w:sz w:val="32"/>
          <w:szCs w:val="32"/>
          <w:highlight w:val="none"/>
          <w:u w:val="none"/>
        </w:rPr>
        <w:t>在有效期内，区商务局可根据实际情况，对本细则进行整体性的修订、调整、发布和实施。</w:t>
      </w:r>
    </w:p>
    <w:sectPr>
      <w:footerReference r:id="rId3" w:type="default"/>
      <w:pgSz w:w="11906" w:h="16838"/>
      <w:pgMar w:top="2041" w:right="1474" w:bottom="1984" w:left="1587" w:header="851" w:footer="1474"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FE35E"/>
    <w:multiLevelType w:val="singleLevel"/>
    <w:tmpl w:val="5EDFE35E"/>
    <w:lvl w:ilvl="0" w:tentative="0">
      <w:start w:val="3"/>
      <w:numFmt w:val="chineseCounting"/>
      <w:suff w:val="nothing"/>
      <w:lvlText w:val="（%1）"/>
      <w:lvlJc w:val="left"/>
      <w:rPr>
        <w:rFonts w:hint="eastAsia"/>
      </w:rPr>
    </w:lvl>
  </w:abstractNum>
  <w:abstractNum w:abstractNumId="1">
    <w:nsid w:val="600FE3B5"/>
    <w:multiLevelType w:val="singleLevel"/>
    <w:tmpl w:val="600FE3B5"/>
    <w:lvl w:ilvl="0" w:tentative="0">
      <w:start w:val="1"/>
      <w:numFmt w:val="chineseCounting"/>
      <w:suff w:val="space"/>
      <w:lvlText w:val="第%1章"/>
      <w:lvlJc w:val="left"/>
    </w:lvl>
  </w:abstractNum>
  <w:abstractNum w:abstractNumId="2">
    <w:nsid w:val="600FE858"/>
    <w:multiLevelType w:val="singleLevel"/>
    <w:tmpl w:val="600FE858"/>
    <w:lvl w:ilvl="0" w:tentative="0">
      <w:start w:val="1"/>
      <w:numFmt w:val="chineseCounting"/>
      <w:suff w:val="nothing"/>
      <w:lvlText w:val="第%1条"/>
      <w:lvlJc w:val="left"/>
      <w:pPr>
        <w:ind w:left="-10"/>
      </w:pPr>
      <w:rPr>
        <w:rFonts w:hint="eastAsia" w:ascii="楷体_GB2312" w:hAnsi="楷体_GB2312" w:eastAsia="楷体_GB2312" w:cs="楷体_GB2312"/>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797A6"/>
    <w:rsid w:val="038B458E"/>
    <w:rsid w:val="06EFC243"/>
    <w:rsid w:val="07D2D625"/>
    <w:rsid w:val="07FFA240"/>
    <w:rsid w:val="08F84524"/>
    <w:rsid w:val="0A02768D"/>
    <w:rsid w:val="0BF4406D"/>
    <w:rsid w:val="0BFD59C4"/>
    <w:rsid w:val="0CCB3386"/>
    <w:rsid w:val="0D922380"/>
    <w:rsid w:val="0E960C44"/>
    <w:rsid w:val="0F7DD516"/>
    <w:rsid w:val="104337E4"/>
    <w:rsid w:val="105E57AB"/>
    <w:rsid w:val="10851626"/>
    <w:rsid w:val="11CF5B5F"/>
    <w:rsid w:val="138C6AA7"/>
    <w:rsid w:val="13E27B47"/>
    <w:rsid w:val="15871A0F"/>
    <w:rsid w:val="19F29A9B"/>
    <w:rsid w:val="1BBF5770"/>
    <w:rsid w:val="1BF788AC"/>
    <w:rsid w:val="1BFD8889"/>
    <w:rsid w:val="1DCD1D38"/>
    <w:rsid w:val="1DF7BBDE"/>
    <w:rsid w:val="1EB01D4E"/>
    <w:rsid w:val="1EBC1801"/>
    <w:rsid w:val="1F7B40F8"/>
    <w:rsid w:val="1FB71504"/>
    <w:rsid w:val="1FCF41EA"/>
    <w:rsid w:val="1FEEEEF1"/>
    <w:rsid w:val="1FF32FF3"/>
    <w:rsid w:val="1FFD6DFF"/>
    <w:rsid w:val="215FD55C"/>
    <w:rsid w:val="24CD0868"/>
    <w:rsid w:val="25994CA7"/>
    <w:rsid w:val="25F05960"/>
    <w:rsid w:val="268C35A0"/>
    <w:rsid w:val="2727CB19"/>
    <w:rsid w:val="272B0578"/>
    <w:rsid w:val="273A2ECB"/>
    <w:rsid w:val="27BEB820"/>
    <w:rsid w:val="2AED7B32"/>
    <w:rsid w:val="2B5F92C7"/>
    <w:rsid w:val="2B6D50A3"/>
    <w:rsid w:val="2BAFDFDA"/>
    <w:rsid w:val="2CFB28FD"/>
    <w:rsid w:val="2EAD1124"/>
    <w:rsid w:val="2EBF9B65"/>
    <w:rsid w:val="2F1746AF"/>
    <w:rsid w:val="2FDF3BF1"/>
    <w:rsid w:val="2FF723E1"/>
    <w:rsid w:val="301536F0"/>
    <w:rsid w:val="30F6291E"/>
    <w:rsid w:val="32791B2B"/>
    <w:rsid w:val="337FC6F9"/>
    <w:rsid w:val="35797BC2"/>
    <w:rsid w:val="35F6CC86"/>
    <w:rsid w:val="376EDE79"/>
    <w:rsid w:val="377F369A"/>
    <w:rsid w:val="397781D6"/>
    <w:rsid w:val="39985FD0"/>
    <w:rsid w:val="3A322A60"/>
    <w:rsid w:val="3ADA2738"/>
    <w:rsid w:val="3BBCD907"/>
    <w:rsid w:val="3BBF1C97"/>
    <w:rsid w:val="3BE9DC84"/>
    <w:rsid w:val="3BF8A99E"/>
    <w:rsid w:val="3BFE1AF2"/>
    <w:rsid w:val="3BFF7347"/>
    <w:rsid w:val="3BFFBC0C"/>
    <w:rsid w:val="3CA31BF9"/>
    <w:rsid w:val="3DBF60A9"/>
    <w:rsid w:val="3DDCAB84"/>
    <w:rsid w:val="3DE9875B"/>
    <w:rsid w:val="3DF1285C"/>
    <w:rsid w:val="3DFBE6E2"/>
    <w:rsid w:val="3DFEDA71"/>
    <w:rsid w:val="3E7C3C65"/>
    <w:rsid w:val="3EA7FE75"/>
    <w:rsid w:val="3ECD1431"/>
    <w:rsid w:val="3EEF67E5"/>
    <w:rsid w:val="3EEFE674"/>
    <w:rsid w:val="3EF135F1"/>
    <w:rsid w:val="3EFDFE7E"/>
    <w:rsid w:val="3F7DE1DB"/>
    <w:rsid w:val="3FBB4263"/>
    <w:rsid w:val="3FD79D5C"/>
    <w:rsid w:val="3FEFC500"/>
    <w:rsid w:val="3FFA4FD0"/>
    <w:rsid w:val="3FFE8A08"/>
    <w:rsid w:val="3FFF23B6"/>
    <w:rsid w:val="3FFF8482"/>
    <w:rsid w:val="41C10F9D"/>
    <w:rsid w:val="426021E7"/>
    <w:rsid w:val="42FFDA98"/>
    <w:rsid w:val="435F2914"/>
    <w:rsid w:val="45C11FC8"/>
    <w:rsid w:val="474101BE"/>
    <w:rsid w:val="4A7827BE"/>
    <w:rsid w:val="4B1F766A"/>
    <w:rsid w:val="4D7B215A"/>
    <w:rsid w:val="4DF5D897"/>
    <w:rsid w:val="4F6EA2AD"/>
    <w:rsid w:val="4FEFCCC9"/>
    <w:rsid w:val="4FF8DCA4"/>
    <w:rsid w:val="50307D44"/>
    <w:rsid w:val="55D348BD"/>
    <w:rsid w:val="577DBB75"/>
    <w:rsid w:val="57A92968"/>
    <w:rsid w:val="57AB4895"/>
    <w:rsid w:val="58AF2576"/>
    <w:rsid w:val="58F7BB69"/>
    <w:rsid w:val="59DE2E6D"/>
    <w:rsid w:val="5ACF9854"/>
    <w:rsid w:val="5AFFCCFE"/>
    <w:rsid w:val="5B4D2BF3"/>
    <w:rsid w:val="5B7ED040"/>
    <w:rsid w:val="5BDFCB5E"/>
    <w:rsid w:val="5C7F4173"/>
    <w:rsid w:val="5E99DFD5"/>
    <w:rsid w:val="5EBADCCF"/>
    <w:rsid w:val="5EBD890F"/>
    <w:rsid w:val="5EFA22FC"/>
    <w:rsid w:val="5F2E7B10"/>
    <w:rsid w:val="5F78FBE3"/>
    <w:rsid w:val="5F7E4270"/>
    <w:rsid w:val="5FC93921"/>
    <w:rsid w:val="5FEB721F"/>
    <w:rsid w:val="5FF5B274"/>
    <w:rsid w:val="5FFBDF47"/>
    <w:rsid w:val="61DE1007"/>
    <w:rsid w:val="64B32A28"/>
    <w:rsid w:val="64DF12F4"/>
    <w:rsid w:val="65A758C3"/>
    <w:rsid w:val="65EF413B"/>
    <w:rsid w:val="65FE7266"/>
    <w:rsid w:val="67ED5C55"/>
    <w:rsid w:val="67F72907"/>
    <w:rsid w:val="68BF8614"/>
    <w:rsid w:val="69867525"/>
    <w:rsid w:val="69BE692A"/>
    <w:rsid w:val="69C47E44"/>
    <w:rsid w:val="69F78253"/>
    <w:rsid w:val="6AFF5908"/>
    <w:rsid w:val="6B6B7F5D"/>
    <w:rsid w:val="6C192D86"/>
    <w:rsid w:val="6D7B37CF"/>
    <w:rsid w:val="6DFFE03D"/>
    <w:rsid w:val="6E4F4335"/>
    <w:rsid w:val="6E6F8B03"/>
    <w:rsid w:val="6EBB235E"/>
    <w:rsid w:val="6EFFF3C0"/>
    <w:rsid w:val="6F78F625"/>
    <w:rsid w:val="6F7D0640"/>
    <w:rsid w:val="6FAC5919"/>
    <w:rsid w:val="6FBFB651"/>
    <w:rsid w:val="6FFB8B5E"/>
    <w:rsid w:val="6FFD9D91"/>
    <w:rsid w:val="6FFF28D7"/>
    <w:rsid w:val="6FFF4E58"/>
    <w:rsid w:val="71643ACA"/>
    <w:rsid w:val="71CB1FC9"/>
    <w:rsid w:val="7285A06B"/>
    <w:rsid w:val="72BE0CD8"/>
    <w:rsid w:val="737FB177"/>
    <w:rsid w:val="73DDA147"/>
    <w:rsid w:val="73FF27FC"/>
    <w:rsid w:val="74C943FA"/>
    <w:rsid w:val="753C2362"/>
    <w:rsid w:val="75657A36"/>
    <w:rsid w:val="757C6DE3"/>
    <w:rsid w:val="759B22B4"/>
    <w:rsid w:val="75F7E6AD"/>
    <w:rsid w:val="75FFA2F9"/>
    <w:rsid w:val="762F8507"/>
    <w:rsid w:val="767DBDA7"/>
    <w:rsid w:val="76AE005F"/>
    <w:rsid w:val="76BB837F"/>
    <w:rsid w:val="7725B21F"/>
    <w:rsid w:val="775FA7C4"/>
    <w:rsid w:val="777C4CF7"/>
    <w:rsid w:val="77A998B6"/>
    <w:rsid w:val="77BBAE34"/>
    <w:rsid w:val="77D1537F"/>
    <w:rsid w:val="77EB4ABF"/>
    <w:rsid w:val="77F3C55D"/>
    <w:rsid w:val="77FDF58C"/>
    <w:rsid w:val="77FF750E"/>
    <w:rsid w:val="797FB8F1"/>
    <w:rsid w:val="79F59011"/>
    <w:rsid w:val="79FE2A03"/>
    <w:rsid w:val="79FF8C33"/>
    <w:rsid w:val="7AB940EF"/>
    <w:rsid w:val="7B6FC1AB"/>
    <w:rsid w:val="7BBF5FB1"/>
    <w:rsid w:val="7BDDDC77"/>
    <w:rsid w:val="7BDFF671"/>
    <w:rsid w:val="7BE73910"/>
    <w:rsid w:val="7BEBAD2D"/>
    <w:rsid w:val="7BF79235"/>
    <w:rsid w:val="7BFD5306"/>
    <w:rsid w:val="7C7FDCB7"/>
    <w:rsid w:val="7C9B9605"/>
    <w:rsid w:val="7CD04F94"/>
    <w:rsid w:val="7CFFF7DA"/>
    <w:rsid w:val="7D33987B"/>
    <w:rsid w:val="7D73617B"/>
    <w:rsid w:val="7D77E31B"/>
    <w:rsid w:val="7D7DBC7F"/>
    <w:rsid w:val="7DB10A67"/>
    <w:rsid w:val="7DBFE02F"/>
    <w:rsid w:val="7DCF2413"/>
    <w:rsid w:val="7DEB9A3D"/>
    <w:rsid w:val="7DF7C848"/>
    <w:rsid w:val="7DFF226A"/>
    <w:rsid w:val="7DFF7728"/>
    <w:rsid w:val="7DFFF2C1"/>
    <w:rsid w:val="7E63B7CA"/>
    <w:rsid w:val="7E6BCB63"/>
    <w:rsid w:val="7E7EA12B"/>
    <w:rsid w:val="7E7EDF2B"/>
    <w:rsid w:val="7EB78743"/>
    <w:rsid w:val="7EC9E117"/>
    <w:rsid w:val="7EDBC1DC"/>
    <w:rsid w:val="7EF4F51D"/>
    <w:rsid w:val="7EFF35C4"/>
    <w:rsid w:val="7EFFCDCE"/>
    <w:rsid w:val="7F2929FD"/>
    <w:rsid w:val="7F3BE4F8"/>
    <w:rsid w:val="7F3FC788"/>
    <w:rsid w:val="7F47F7B9"/>
    <w:rsid w:val="7F4F136C"/>
    <w:rsid w:val="7F6DCCB8"/>
    <w:rsid w:val="7F6FA9CA"/>
    <w:rsid w:val="7F8D1B97"/>
    <w:rsid w:val="7FABC12E"/>
    <w:rsid w:val="7FADE3A8"/>
    <w:rsid w:val="7FB3FCE6"/>
    <w:rsid w:val="7FBF6010"/>
    <w:rsid w:val="7FC797A6"/>
    <w:rsid w:val="7FD398FB"/>
    <w:rsid w:val="7FD5F647"/>
    <w:rsid w:val="7FD623B8"/>
    <w:rsid w:val="7FDF3206"/>
    <w:rsid w:val="7FDF3466"/>
    <w:rsid w:val="7FEBB6CB"/>
    <w:rsid w:val="7FED9356"/>
    <w:rsid w:val="7FEE3E99"/>
    <w:rsid w:val="7FEFA16C"/>
    <w:rsid w:val="7FF74664"/>
    <w:rsid w:val="7FFA1E08"/>
    <w:rsid w:val="7FFB0AEC"/>
    <w:rsid w:val="7FFBB32B"/>
    <w:rsid w:val="7FFE8E2C"/>
    <w:rsid w:val="7FFEB0E3"/>
    <w:rsid w:val="83EED120"/>
    <w:rsid w:val="83FB3095"/>
    <w:rsid w:val="87EA991A"/>
    <w:rsid w:val="8EFFF821"/>
    <w:rsid w:val="97FBA84F"/>
    <w:rsid w:val="99ECF034"/>
    <w:rsid w:val="9DF7A1F8"/>
    <w:rsid w:val="9FBD79B4"/>
    <w:rsid w:val="A7AF71DA"/>
    <w:rsid w:val="AABFFE39"/>
    <w:rsid w:val="ABDF7515"/>
    <w:rsid w:val="ADB23515"/>
    <w:rsid w:val="ADCE4C68"/>
    <w:rsid w:val="AE69DB79"/>
    <w:rsid w:val="AEBB636C"/>
    <w:rsid w:val="AEDBAD6C"/>
    <w:rsid w:val="AEEE0FE2"/>
    <w:rsid w:val="AFE4CB81"/>
    <w:rsid w:val="B3BF76B7"/>
    <w:rsid w:val="B6FED9DE"/>
    <w:rsid w:val="B6FF89B7"/>
    <w:rsid w:val="B7B4ED6E"/>
    <w:rsid w:val="B7BF5365"/>
    <w:rsid w:val="B7E52606"/>
    <w:rsid w:val="B7FFFB8E"/>
    <w:rsid w:val="BB56A00D"/>
    <w:rsid w:val="BB6B8A10"/>
    <w:rsid w:val="BB8E3271"/>
    <w:rsid w:val="BBD912B1"/>
    <w:rsid w:val="BBFF8312"/>
    <w:rsid w:val="BCFB30BF"/>
    <w:rsid w:val="BDEF9180"/>
    <w:rsid w:val="BE7FFB80"/>
    <w:rsid w:val="BEB9BFD7"/>
    <w:rsid w:val="BF57CEE2"/>
    <w:rsid w:val="BF8DB8F8"/>
    <w:rsid w:val="BF97BFEE"/>
    <w:rsid w:val="BFF74289"/>
    <w:rsid w:val="BFF7FCE2"/>
    <w:rsid w:val="BFFB677C"/>
    <w:rsid w:val="BFFDD02C"/>
    <w:rsid w:val="BFFEBB29"/>
    <w:rsid w:val="C2810849"/>
    <w:rsid w:val="C5C73DC0"/>
    <w:rsid w:val="CAFB1D61"/>
    <w:rsid w:val="CBD74435"/>
    <w:rsid w:val="CF653089"/>
    <w:rsid w:val="CFADFF8B"/>
    <w:rsid w:val="CFFF7174"/>
    <w:rsid w:val="D15F2460"/>
    <w:rsid w:val="D2FF16FF"/>
    <w:rsid w:val="D5DF8923"/>
    <w:rsid w:val="D5E8B147"/>
    <w:rsid w:val="D5F693DE"/>
    <w:rsid w:val="D7AD5AEF"/>
    <w:rsid w:val="D7D1C890"/>
    <w:rsid w:val="D9BD90E2"/>
    <w:rsid w:val="DB7D5347"/>
    <w:rsid w:val="DBE9AFED"/>
    <w:rsid w:val="DBEBE07B"/>
    <w:rsid w:val="DBEBE381"/>
    <w:rsid w:val="DBFF01F3"/>
    <w:rsid w:val="DDDD374A"/>
    <w:rsid w:val="DDFBB610"/>
    <w:rsid w:val="DDFFF928"/>
    <w:rsid w:val="DF6EA7AC"/>
    <w:rsid w:val="DF7CB7A2"/>
    <w:rsid w:val="DFDF3EF9"/>
    <w:rsid w:val="DFF3868F"/>
    <w:rsid w:val="DFF63F4D"/>
    <w:rsid w:val="DFFB4006"/>
    <w:rsid w:val="DFFED131"/>
    <w:rsid w:val="DFFF50E4"/>
    <w:rsid w:val="E2BFDAC8"/>
    <w:rsid w:val="E3BF2503"/>
    <w:rsid w:val="E3F3F07D"/>
    <w:rsid w:val="E57B281A"/>
    <w:rsid w:val="E6777F3C"/>
    <w:rsid w:val="E77F957D"/>
    <w:rsid w:val="E7DBC465"/>
    <w:rsid w:val="E7ED226F"/>
    <w:rsid w:val="EA72EEA1"/>
    <w:rsid w:val="EAFDB25F"/>
    <w:rsid w:val="EB2B336E"/>
    <w:rsid w:val="EB7A5E91"/>
    <w:rsid w:val="EBEE37B7"/>
    <w:rsid w:val="EBFD2CE1"/>
    <w:rsid w:val="ED97B601"/>
    <w:rsid w:val="EEFF69BF"/>
    <w:rsid w:val="EF8FA10C"/>
    <w:rsid w:val="EFBFD754"/>
    <w:rsid w:val="EFDCCFAB"/>
    <w:rsid w:val="EFDFD667"/>
    <w:rsid w:val="EFFC6496"/>
    <w:rsid w:val="EFFF31DF"/>
    <w:rsid w:val="F2ABCA2A"/>
    <w:rsid w:val="F363FCD6"/>
    <w:rsid w:val="F37FED2E"/>
    <w:rsid w:val="F37FF4CD"/>
    <w:rsid w:val="F5932B1E"/>
    <w:rsid w:val="F5D95CEC"/>
    <w:rsid w:val="F5FF9B3C"/>
    <w:rsid w:val="F6A583B8"/>
    <w:rsid w:val="F70F2586"/>
    <w:rsid w:val="F77FA4C1"/>
    <w:rsid w:val="F79B1D87"/>
    <w:rsid w:val="F7AB9206"/>
    <w:rsid w:val="F7AF811D"/>
    <w:rsid w:val="F7B71003"/>
    <w:rsid w:val="F7BF00C1"/>
    <w:rsid w:val="F7BF94E4"/>
    <w:rsid w:val="F7BFA9FD"/>
    <w:rsid w:val="F7E0266E"/>
    <w:rsid w:val="F7ED3299"/>
    <w:rsid w:val="F7F72585"/>
    <w:rsid w:val="F7F77516"/>
    <w:rsid w:val="F7F7B36B"/>
    <w:rsid w:val="F7FF67D5"/>
    <w:rsid w:val="F7FFCBBD"/>
    <w:rsid w:val="F95F6BD3"/>
    <w:rsid w:val="F9F7F2D1"/>
    <w:rsid w:val="FA9E8717"/>
    <w:rsid w:val="FB7D3C39"/>
    <w:rsid w:val="FB7EE4C6"/>
    <w:rsid w:val="FB7FB7B6"/>
    <w:rsid w:val="FB7FF2A7"/>
    <w:rsid w:val="FBAD2C55"/>
    <w:rsid w:val="FBAF6030"/>
    <w:rsid w:val="FBBF36F5"/>
    <w:rsid w:val="FBBFCECC"/>
    <w:rsid w:val="FBDCD6F7"/>
    <w:rsid w:val="FBDF9F94"/>
    <w:rsid w:val="FBEEBF54"/>
    <w:rsid w:val="FCDF7729"/>
    <w:rsid w:val="FD7F49FD"/>
    <w:rsid w:val="FD923C9B"/>
    <w:rsid w:val="FDB79943"/>
    <w:rsid w:val="FDE5CD2F"/>
    <w:rsid w:val="FDE6F030"/>
    <w:rsid w:val="FDF71C37"/>
    <w:rsid w:val="FDFBB1DF"/>
    <w:rsid w:val="FDFBE1E8"/>
    <w:rsid w:val="FDFCA0DF"/>
    <w:rsid w:val="FDFE11D1"/>
    <w:rsid w:val="FDFE52B7"/>
    <w:rsid w:val="FDFEE067"/>
    <w:rsid w:val="FDFF332D"/>
    <w:rsid w:val="FDFF696A"/>
    <w:rsid w:val="FDFF99B3"/>
    <w:rsid w:val="FE78B6DB"/>
    <w:rsid w:val="FE7B0555"/>
    <w:rsid w:val="FEA90743"/>
    <w:rsid w:val="FEAF1DD8"/>
    <w:rsid w:val="FED62A19"/>
    <w:rsid w:val="FEED9326"/>
    <w:rsid w:val="FEEF200A"/>
    <w:rsid w:val="FEF20CC6"/>
    <w:rsid w:val="FF0EC6B4"/>
    <w:rsid w:val="FF1E8BDA"/>
    <w:rsid w:val="FF3D5F7B"/>
    <w:rsid w:val="FF71A3DC"/>
    <w:rsid w:val="FF73BCF7"/>
    <w:rsid w:val="FF771AFC"/>
    <w:rsid w:val="FF7756E4"/>
    <w:rsid w:val="FF7FE00A"/>
    <w:rsid w:val="FFAA152C"/>
    <w:rsid w:val="FFABE7F9"/>
    <w:rsid w:val="FFB3D2A6"/>
    <w:rsid w:val="FFB79CD1"/>
    <w:rsid w:val="FFB858E7"/>
    <w:rsid w:val="FFBD01B8"/>
    <w:rsid w:val="FFBF5F5E"/>
    <w:rsid w:val="FFBF60A8"/>
    <w:rsid w:val="FFCF2B1B"/>
    <w:rsid w:val="FFECFC53"/>
    <w:rsid w:val="FFEE0758"/>
    <w:rsid w:val="FFEE20AB"/>
    <w:rsid w:val="FFEFD96C"/>
    <w:rsid w:val="FFEFE48F"/>
    <w:rsid w:val="FFF8D130"/>
    <w:rsid w:val="FFFAD4A5"/>
    <w:rsid w:val="FFFBA0DA"/>
    <w:rsid w:val="FFFC4F61"/>
    <w:rsid w:val="FFFE3E1D"/>
    <w:rsid w:val="FFFF1C94"/>
    <w:rsid w:val="FFFF9275"/>
    <w:rsid w:val="FFFFB9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qFormat/>
    <w:uiPriority w:val="0"/>
    <w:pPr>
      <w:jc w:val="left"/>
    </w:pPr>
  </w:style>
  <w:style w:type="paragraph" w:styleId="4">
    <w:name w:val="Body Text"/>
    <w:basedOn w:val="1"/>
    <w:next w:val="1"/>
    <w:link w:val="13"/>
    <w:qFormat/>
    <w:uiPriority w:val="0"/>
    <w:rPr>
      <w:rFonts w:ascii="Calibri" w:hAnsi="Calibri"/>
    </w:rPr>
  </w:style>
  <w:style w:type="paragraph" w:styleId="5">
    <w:name w:val="footer"/>
    <w:basedOn w:val="1"/>
    <w:next w:val="6"/>
    <w:qFormat/>
    <w:uiPriority w:val="99"/>
    <w:pPr>
      <w:tabs>
        <w:tab w:val="center" w:pos="4153"/>
        <w:tab w:val="right" w:pos="8306"/>
      </w:tabs>
      <w:snapToGrid w:val="0"/>
      <w:jc w:val="left"/>
    </w:pPr>
    <w:rPr>
      <w:sz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1"/>
    <w:basedOn w:val="1"/>
    <w:next w:val="1"/>
    <w:qFormat/>
    <w:uiPriority w:val="0"/>
    <w:pPr>
      <w:spacing w:before="0" w:beforeAutospacing="0" w:after="0"/>
      <w:ind w:firstLine="200" w:firstLineChars="200"/>
    </w:pPr>
    <w:rPr>
      <w:rFonts w:ascii="宋体" w:hAnsi="宋体" w:eastAsia="FangSong_GB2312" w:cs="Times New Roman"/>
      <w:sz w:val="32"/>
      <w:szCs w:val="32"/>
    </w:rPr>
  </w:style>
  <w:style w:type="character" w:customStyle="1" w:styleId="13">
    <w:name w:val="正文文本 字符"/>
    <w:basedOn w:val="11"/>
    <w:link w:val="4"/>
    <w:qFormat/>
    <w:uiPriority w:val="0"/>
    <w:rPr>
      <w:kern w:val="2"/>
      <w:sz w:val="21"/>
      <w:szCs w:val="22"/>
    </w:rPr>
  </w:style>
  <w:style w:type="paragraph" w:styleId="14">
    <w:name w:val="List Paragraph"/>
    <w:basedOn w:val="1"/>
    <w:qFormat/>
    <w:uiPriority w:val="99"/>
    <w:pPr>
      <w:ind w:firstLine="420" w:firstLineChars="200"/>
    </w:pPr>
  </w:style>
  <w:style w:type="paragraph" w:customStyle="1" w:styleId="15">
    <w:name w:val="文件正文"/>
    <w:basedOn w:val="5"/>
    <w:qFormat/>
    <w:uiPriority w:val="0"/>
    <w:pPr>
      <w:snapToGrid/>
      <w:spacing w:line="560" w:lineRule="exact"/>
      <w:ind w:firstLine="622" w:firstLineChars="200"/>
      <w:jc w:val="both"/>
    </w:pPr>
    <w:rPr>
      <w:rFonts w:ascii="仿宋_GB2312" w:hAnsi="仿宋_GB2312" w:eastAsia="仿宋_GB2312"/>
      <w:sz w:val="32"/>
      <w:szCs w:val="32"/>
    </w:rPr>
  </w:style>
  <w:style w:type="paragraph" w:customStyle="1" w:styleId="16">
    <w:name w:val="页脚1"/>
    <w:basedOn w:val="1"/>
    <w:qFormat/>
    <w:uiPriority w:val="0"/>
    <w:pPr>
      <w:tabs>
        <w:tab w:val="center" w:pos="4153"/>
        <w:tab w:val="right" w:pos="8306"/>
      </w:tabs>
      <w:snapToGrid w:val="0"/>
      <w:jc w:val="left"/>
    </w:pPr>
    <w:rPr>
      <w:sz w:val="18"/>
    </w:rPr>
  </w:style>
  <w:style w:type="character" w:customStyle="1" w:styleId="17">
    <w:name w:val="font81"/>
    <w:basedOn w:val="11"/>
    <w:qFormat/>
    <w:uiPriority w:val="0"/>
    <w:rPr>
      <w:rFonts w:hint="default" w:ascii="微软雅黑" w:hAnsi="微软雅黑" w:eastAsia="微软雅黑" w:cs="微软雅黑"/>
      <w:b/>
      <w:bCs/>
      <w:color w:val="000000"/>
      <w:sz w:val="22"/>
      <w:szCs w:val="22"/>
      <w:u w:val="none"/>
    </w:rPr>
  </w:style>
  <w:style w:type="character" w:customStyle="1" w:styleId="18">
    <w:name w:val="font131"/>
    <w:basedOn w:val="11"/>
    <w:qFormat/>
    <w:uiPriority w:val="0"/>
    <w:rPr>
      <w:rFonts w:hint="default" w:ascii="微软雅黑" w:hAnsi="微软雅黑" w:eastAsia="微软雅黑" w:cs="微软雅黑"/>
      <w:color w:val="000000"/>
      <w:sz w:val="22"/>
      <w:szCs w:val="22"/>
      <w:u w:val="none"/>
    </w:rPr>
  </w:style>
  <w:style w:type="character" w:customStyle="1" w:styleId="19">
    <w:name w:val="font01"/>
    <w:basedOn w:val="11"/>
    <w:qFormat/>
    <w:uiPriority w:val="0"/>
    <w:rPr>
      <w:rFonts w:hint="default" w:ascii="微软雅黑" w:hAnsi="微软雅黑" w:eastAsia="微软雅黑" w:cs="微软雅黑"/>
      <w:color w:val="FF0000"/>
      <w:sz w:val="22"/>
      <w:szCs w:val="22"/>
      <w:u w:val="none"/>
    </w:rPr>
  </w:style>
  <w:style w:type="character" w:customStyle="1" w:styleId="20">
    <w:name w:val="font61"/>
    <w:basedOn w:val="11"/>
    <w:qFormat/>
    <w:uiPriority w:val="0"/>
    <w:rPr>
      <w:rFonts w:hint="default" w:ascii="微软雅黑" w:hAnsi="微软雅黑" w:eastAsia="微软雅黑" w:cs="微软雅黑"/>
      <w:b/>
      <w:bCs/>
      <w:color w:val="FF0000"/>
      <w:sz w:val="22"/>
      <w:szCs w:val="22"/>
      <w:u w:val="none"/>
    </w:rPr>
  </w:style>
  <w:style w:type="character" w:customStyle="1" w:styleId="21">
    <w:name w:val="font91"/>
    <w:basedOn w:val="11"/>
    <w:qFormat/>
    <w:uiPriority w:val="0"/>
    <w:rPr>
      <w:rFonts w:hint="default" w:ascii="微软雅黑" w:hAnsi="微软雅黑" w:eastAsia="微软雅黑" w:cs="微软雅黑"/>
      <w:b/>
      <w:bCs/>
      <w:color w:val="000000"/>
      <w:sz w:val="20"/>
      <w:szCs w:val="20"/>
      <w:u w:val="none"/>
    </w:rPr>
  </w:style>
  <w:style w:type="character" w:customStyle="1" w:styleId="22">
    <w:name w:val="font141"/>
    <w:basedOn w:val="11"/>
    <w:qFormat/>
    <w:uiPriority w:val="0"/>
    <w:rPr>
      <w:rFonts w:hint="default" w:ascii="微软雅黑" w:hAnsi="微软雅黑" w:eastAsia="微软雅黑" w:cs="微软雅黑"/>
      <w:color w:val="000000"/>
      <w:sz w:val="20"/>
      <w:szCs w:val="20"/>
      <w:u w:val="none"/>
    </w:rPr>
  </w:style>
  <w:style w:type="character" w:customStyle="1" w:styleId="23">
    <w:name w:val="font15"/>
    <w:basedOn w:val="11"/>
    <w:qFormat/>
    <w:uiPriority w:val="0"/>
    <w:rPr>
      <w:rFonts w:hint="default"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19502</Words>
  <Characters>20548</Characters>
  <Lines>0</Lines>
  <Paragraphs>0</Paragraphs>
  <TotalTime>226</TotalTime>
  <ScaleCrop>false</ScaleCrop>
  <LinksUpToDate>false</LinksUpToDate>
  <CharactersWithSpaces>20654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2022-06-22T10:22:00Z</dcterms:created>
  <dc:creator>陈昕</dc:creator>
  <cp:lastModifiedBy>施成鸣铎</cp:lastModifiedBy>
  <cp:lastPrinted>2025-03-07T20:14:00Z</cp:lastPrinted>
  <dcterms:modified xsi:type="dcterms:W3CDTF">2025-05-29T21:24:54Z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77563EA2796BCCCEC35438681FA00FB9</vt:lpwstr>
  </property>
  <property fmtid="{D5CDD505-2E9C-101B-9397-08002B2CF9AE}" pid="4" name="KSOTemplateDocerSaveRecord">
    <vt:lpwstr>eyJoZGlkIjoiNjMxOWE1NDk5OWU1MWE1Mjc0YWI2YWU2ZDgwMmYxZDIiLCJ1c2VySWQiOiIyNDUyMTAyNTEifQ==</vt:lpwstr>
  </property>
</Properties>
</file>