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Chars="0"/>
        <w:jc w:val="left"/>
        <w:textAlignment w:val="auto"/>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val="0"/>
        <w:spacing w:line="560" w:lineRule="exact"/>
        <w:ind w:leftChars="0" w:firstLine="872" w:firstLineChars="200"/>
        <w:jc w:val="both"/>
        <w:textAlignment w:val="auto"/>
        <w:rPr>
          <w:rFonts w:hint="eastAsia" w:ascii="方正小标宋简体" w:hAnsi="方正小标宋简体" w:eastAsia="方正小标宋简体" w:cs="方正小标宋简体"/>
          <w:spacing w:val="-2"/>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方正小标宋简体" w:hAnsi="方正小标宋简体" w:eastAsia="方正小标宋简体" w:cs="方正小标宋简体"/>
          <w:spacing w:val="-2"/>
          <w:sz w:val="44"/>
          <w:szCs w:val="44"/>
          <w:lang w:val="en-US" w:eastAsia="zh-CN"/>
        </w:rPr>
      </w:pPr>
      <w:r>
        <w:rPr>
          <w:rFonts w:hint="eastAsia" w:ascii="方正小标宋简体" w:hAnsi="方正小标宋简体" w:eastAsia="方正小标宋简体" w:cs="方正小标宋简体"/>
          <w:spacing w:val="-2"/>
          <w:sz w:val="44"/>
          <w:szCs w:val="44"/>
          <w:lang w:val="en-US" w:eastAsia="zh-CN"/>
        </w:rPr>
        <w:t>《深圳市龙岗区商务发展专项资金支持商贸业</w:t>
      </w:r>
    </w:p>
    <w:p>
      <w:pPr>
        <w:keepNext w:val="0"/>
        <w:keepLines w:val="0"/>
        <w:pageBreakBefore w:val="0"/>
        <w:widowControl w:val="0"/>
        <w:kinsoku/>
        <w:wordWrap/>
        <w:overflowPunct/>
        <w:topLinePunct w:val="0"/>
        <w:autoSpaceDE/>
        <w:autoSpaceDN/>
        <w:bidi w:val="0"/>
        <w:adjustRightInd/>
        <w:snapToGrid w:val="0"/>
        <w:spacing w:line="560" w:lineRule="exact"/>
        <w:ind w:leftChars="0" w:firstLine="0" w:firstLineChars="0"/>
        <w:jc w:val="center"/>
        <w:textAlignment w:val="auto"/>
        <w:rPr>
          <w:rFonts w:hint="eastAsia" w:asciiTheme="majorEastAsia" w:hAnsiTheme="majorEastAsia" w:eastAsiaTheme="majorEastAsia" w:cstheme="majorEastAsia"/>
          <w:b w:val="0"/>
          <w:bCs w:val="0"/>
          <w:sz w:val="44"/>
          <w:szCs w:val="44"/>
          <w:u w:val="none"/>
          <w:lang w:val="en-US" w:eastAsia="zh-CN"/>
        </w:rPr>
      </w:pPr>
      <w:r>
        <w:rPr>
          <w:rFonts w:hint="eastAsia" w:ascii="方正小标宋简体" w:hAnsi="方正小标宋简体" w:eastAsia="方正小标宋简体" w:cs="方正小标宋简体"/>
          <w:spacing w:val="-2"/>
          <w:sz w:val="44"/>
          <w:szCs w:val="44"/>
          <w:lang w:val="en-US" w:eastAsia="zh-CN"/>
        </w:rPr>
        <w:t>发展实施细则（征求意见稿）》起草说明</w:t>
      </w:r>
    </w:p>
    <w:p>
      <w:pPr>
        <w:keepNext w:val="0"/>
        <w:keepLines w:val="0"/>
        <w:pageBreakBefore w:val="0"/>
        <w:widowControl w:val="0"/>
        <w:kinsoku/>
        <w:wordWrap/>
        <w:overflowPunct/>
        <w:topLinePunct w:val="0"/>
        <w:autoSpaceDE/>
        <w:autoSpaceDN/>
        <w:bidi w:val="0"/>
        <w:adjustRightInd/>
        <w:spacing w:line="560" w:lineRule="exact"/>
        <w:ind w:leftChars="0" w:firstLine="481" w:firstLineChars="200"/>
        <w:jc w:val="both"/>
        <w:textAlignment w:val="auto"/>
        <w:rPr>
          <w:rFonts w:ascii="宋体" w:hAnsi="宋体" w:eastAsia="宋体"/>
          <w:b/>
          <w:bCs/>
          <w:color w:val="00000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olor w:val="000000"/>
          <w:sz w:val="32"/>
          <w:szCs w:val="32"/>
          <w:lang w:eastAsia="zh-CN"/>
        </w:rPr>
        <w:t>为全面贯彻落实中央经济工作会议精神，打造“龙岗东部商业新高地”，推动商贸业高质量发展，</w:t>
      </w:r>
      <w:r>
        <w:rPr>
          <w:rFonts w:hint="eastAsia" w:ascii="仿宋_GB2312" w:hAnsi="Arial" w:eastAsia="仿宋_GB2312" w:cs="Arial"/>
          <w:sz w:val="32"/>
          <w:szCs w:val="32"/>
          <w:highlight w:val="none"/>
          <w:u w:val="none"/>
        </w:rPr>
        <w:t>根据《深圳市龙岗区区级财政专项资金管理办法</w:t>
      </w:r>
      <w:r>
        <w:rPr>
          <w:rFonts w:hint="eastAsia" w:ascii="仿宋_GB2312" w:hAnsi="Arial" w:eastAsia="仿宋_GB2312" w:cs="Arial"/>
          <w:sz w:val="32"/>
          <w:szCs w:val="32"/>
          <w:highlight w:val="none"/>
          <w:u w:val="none"/>
          <w:lang w:eastAsia="zh-CN"/>
        </w:rPr>
        <w:t>（修订）</w:t>
      </w:r>
      <w:r>
        <w:rPr>
          <w:rFonts w:hint="eastAsia" w:ascii="仿宋_GB2312" w:hAnsi="Arial" w:eastAsia="仿宋_GB2312" w:cs="Arial"/>
          <w:sz w:val="32"/>
          <w:szCs w:val="32"/>
          <w:highlight w:val="none"/>
          <w:u w:val="none"/>
        </w:rPr>
        <w:t>》（深龙府规</w:t>
      </w:r>
      <w:r>
        <w:rPr>
          <w:rFonts w:hint="eastAsia" w:ascii="仿宋_GB2312" w:hAnsi="仿宋_GB2312" w:eastAsia="仿宋_GB2312" w:cs="仿宋_GB2312"/>
          <w:sz w:val="32"/>
          <w:szCs w:val="32"/>
          <w:highlight w:val="none"/>
          <w:u w:val="none"/>
        </w:rPr>
        <w:t>〔</w:t>
      </w:r>
      <w:r>
        <w:rPr>
          <w:rFonts w:ascii="仿宋_GB2312" w:hAnsi="仿宋_GB2312" w:eastAsia="仿宋_GB2312" w:cs="仿宋_GB2312"/>
          <w:sz w:val="32"/>
          <w:szCs w:val="32"/>
          <w:highlight w:val="none"/>
          <w:u w:val="none"/>
        </w:rPr>
        <w:t>202</w:t>
      </w:r>
      <w:r>
        <w:rPr>
          <w:rFonts w:hint="eastAsia" w:ascii="仿宋_GB2312" w:hAnsi="仿宋_GB2312" w:eastAsia="仿宋_GB2312" w:cs="仿宋_GB2312"/>
          <w:sz w:val="32"/>
          <w:szCs w:val="32"/>
          <w:highlight w:val="none"/>
          <w:u w:val="none"/>
          <w:lang w:val="en-US" w:eastAsia="zh-CN"/>
        </w:rPr>
        <w:t>4</w:t>
      </w:r>
      <w:r>
        <w:rPr>
          <w:rFonts w:hint="eastAsia" w:ascii="仿宋_GB2312" w:hAnsi="Arial" w:eastAsia="仿宋_GB2312" w:cs="Arial"/>
          <w:sz w:val="32"/>
          <w:szCs w:val="32"/>
          <w:highlight w:val="none"/>
          <w:u w:val="none"/>
        </w:rPr>
        <w:t>〕</w:t>
      </w:r>
      <w:r>
        <w:rPr>
          <w:rFonts w:hint="eastAsia" w:ascii="仿宋_GB2312" w:hAnsi="Arial" w:eastAsia="仿宋_GB2312" w:cs="Arial"/>
          <w:sz w:val="32"/>
          <w:szCs w:val="32"/>
          <w:highlight w:val="none"/>
          <w:u w:val="none"/>
          <w:lang w:val="en-US" w:eastAsia="zh-CN"/>
        </w:rPr>
        <w:t>4</w:t>
      </w:r>
      <w:r>
        <w:rPr>
          <w:rFonts w:hint="eastAsia" w:ascii="仿宋_GB2312" w:hAnsi="Arial" w:eastAsia="仿宋_GB2312" w:cs="Arial"/>
          <w:sz w:val="32"/>
          <w:szCs w:val="32"/>
          <w:highlight w:val="none"/>
          <w:u w:val="none"/>
        </w:rPr>
        <w:t>号）</w:t>
      </w:r>
      <w:r>
        <w:rPr>
          <w:rStyle w:val="11"/>
          <w:rFonts w:hint="eastAsia" w:ascii="仿宋_GB2312" w:hAnsi="仿宋_GB2312" w:eastAsia="仿宋_GB2312" w:cs="仿宋_GB2312"/>
          <w:i w:val="0"/>
          <w:caps w:val="0"/>
          <w:color w:val="auto"/>
          <w:spacing w:val="0"/>
          <w:sz w:val="32"/>
          <w:szCs w:val="32"/>
          <w:highlight w:val="none"/>
          <w:shd w:val="clear" w:color="auto" w:fill="FFFFFF"/>
        </w:rPr>
        <w:t>，</w:t>
      </w:r>
      <w:r>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t>龙岗区商务局研究起草了</w:t>
      </w:r>
      <w:bookmarkStart w:id="0" w:name="OLE_LINK2"/>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olor w:val="000000"/>
          <w:sz w:val="32"/>
          <w:szCs w:val="32"/>
          <w:lang w:val="en-US" w:eastAsia="zh-CN"/>
        </w:rPr>
        <w:t>深圳市龙岗区商务发展专项资金支持商贸业发展实施细则（征求意见稿）》</w:t>
      </w:r>
      <w:bookmarkEnd w:id="0"/>
      <w:r>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t>（以下称《实施细则》）。</w:t>
      </w:r>
      <w:r>
        <w:rPr>
          <w:rFonts w:hint="eastAsia" w:ascii="仿宋_GB2312" w:hAnsi="仿宋_GB2312" w:eastAsia="仿宋_GB2312" w:cs="仿宋_GB2312"/>
          <w:sz w:val="32"/>
          <w:szCs w:val="32"/>
          <w:lang w:val="en-US" w:eastAsia="zh-CN"/>
        </w:rPr>
        <w:t>现做如下说明：</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仿宋_GB2312" w:hAnsi="仿宋_GB2312" w:eastAsia="仿宋_GB2312"/>
          <w:color w:val="000000"/>
          <w:sz w:val="32"/>
          <w:szCs w:val="32"/>
          <w:lang w:eastAsia="zh-CN"/>
        </w:rPr>
      </w:pPr>
      <w:r>
        <w:rPr>
          <w:rFonts w:hint="eastAsia" w:ascii="黑体" w:hAnsi="黑体" w:eastAsia="黑体"/>
          <w:b w:val="0"/>
          <w:bCs w:val="0"/>
          <w:color w:val="000000"/>
          <w:sz w:val="32"/>
          <w:szCs w:val="32"/>
          <w:lang w:val="en-US" w:eastAsia="zh-CN" w:bidi="ar"/>
        </w:rPr>
        <w:t>一、起草背景</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olor w:val="000000"/>
          <w:sz w:val="32"/>
          <w:szCs w:val="32"/>
          <w:lang w:eastAsia="zh-CN"/>
        </w:rPr>
        <w:t>中央经济工作会议提出2025年要大力提振消费、提高投资效益,全方位扩大国内需求，积极发展首发经济。龙岗区作为深圳东部中心，需通过商业升级推动产城融合；通过培育特色商圈、首店经济等新业态，弥补传统产业转型中的消费短板，增强商业活力；通过搭建展会平台，助力企业开拓市场，寻找商机。为贯彻落实《深圳市关于加快建设国际消费中心城市的若干措施》（深商务规</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olor w:val="000000"/>
          <w:sz w:val="32"/>
          <w:szCs w:val="32"/>
          <w:lang w:val="en-US" w:eastAsia="zh-CN"/>
        </w:rPr>
        <w:t>2022</w:t>
      </w:r>
      <w:r>
        <w:rPr>
          <w:rFonts w:hint="eastAsia" w:ascii="仿宋_GB2312" w:hAnsi="Arial" w:eastAsia="仿宋_GB2312" w:cs="Arial"/>
          <w:sz w:val="32"/>
          <w:szCs w:val="32"/>
          <w:highlight w:val="none"/>
          <w:u w:val="none"/>
        </w:rPr>
        <w:t>〕</w:t>
      </w:r>
      <w:r>
        <w:rPr>
          <w:rFonts w:hint="eastAsia" w:ascii="仿宋_GB2312" w:hAnsi="仿宋_GB2312" w:eastAsia="仿宋_GB2312"/>
          <w:color w:val="000000"/>
          <w:sz w:val="32"/>
          <w:szCs w:val="32"/>
          <w:lang w:val="en-US" w:eastAsia="zh-CN"/>
        </w:rPr>
        <w:t>2号</w:t>
      </w:r>
      <w:r>
        <w:rPr>
          <w:rFonts w:hint="eastAsia" w:ascii="仿宋_GB2312" w:hAnsi="仿宋_GB2312" w:eastAsia="仿宋_GB2312"/>
          <w:color w:val="000000"/>
          <w:sz w:val="32"/>
          <w:szCs w:val="32"/>
          <w:lang w:eastAsia="zh-CN"/>
        </w:rPr>
        <w:t>）和《深圳市关于推动会展业高质量发展加快打造国际会展之都工作方案（2025-2027年）》</w:t>
      </w:r>
      <w:r>
        <w:rPr>
          <w:rFonts w:hint="eastAsia" w:ascii="仿宋_GB2312" w:hAnsi="仿宋_GB2312" w:eastAsia="仿宋_GB2312" w:cs="仿宋_GB2312"/>
          <w:sz w:val="32"/>
          <w:szCs w:val="32"/>
          <w:lang w:val="en-US" w:eastAsia="zh-CN"/>
        </w:rPr>
        <w:t>（深商务会展字</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lang w:val="en-US" w:eastAsia="zh-CN"/>
        </w:rPr>
        <w:t>2025</w:t>
      </w:r>
      <w:r>
        <w:rPr>
          <w:rFonts w:hint="eastAsia" w:ascii="仿宋_GB2312" w:hAnsi="Arial" w:eastAsia="仿宋_GB2312" w:cs="Arial"/>
          <w:sz w:val="32"/>
          <w:szCs w:val="32"/>
          <w:highlight w:val="none"/>
          <w:u w:val="none"/>
        </w:rPr>
        <w:t>〕</w:t>
      </w:r>
      <w:r>
        <w:rPr>
          <w:rFonts w:hint="eastAsia" w:ascii="仿宋_GB2312" w:hAnsi="仿宋_GB2312" w:eastAsia="仿宋_GB2312" w:cs="仿宋_GB2312"/>
          <w:sz w:val="32"/>
          <w:szCs w:val="32"/>
          <w:lang w:val="en-US" w:eastAsia="zh-CN"/>
        </w:rPr>
        <w:t>1号）</w:t>
      </w:r>
      <w:r>
        <w:rPr>
          <w:rFonts w:hint="eastAsia" w:ascii="仿宋_GB2312" w:hAnsi="仿宋_GB2312" w:eastAsia="仿宋_GB2312"/>
          <w:color w:val="000000"/>
          <w:sz w:val="32"/>
          <w:szCs w:val="32"/>
          <w:lang w:eastAsia="zh-CN"/>
        </w:rPr>
        <w:t>要求，根据</w:t>
      </w:r>
      <w:r>
        <w:rPr>
          <w:rFonts w:hint="eastAsia" w:ascii="仿宋_GB2312" w:hAnsi="仿宋_GB2312" w:eastAsia="仿宋_GB2312" w:cs="仿宋_GB2312"/>
          <w:sz w:val="32"/>
          <w:szCs w:val="32"/>
          <w:lang w:val="en-US" w:eastAsia="zh-CN"/>
        </w:rPr>
        <w:t>《深圳市批发零售和住宿餐饮业扩容提质行动计划（2024-2026年）》（深商务消费字</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lang w:val="en-US" w:eastAsia="zh-CN"/>
        </w:rPr>
        <w:t>2024</w:t>
      </w:r>
      <w:r>
        <w:rPr>
          <w:rFonts w:hint="eastAsia" w:ascii="仿宋_GB2312" w:hAnsi="Arial" w:eastAsia="仿宋_GB2312" w:cs="Arial"/>
          <w:sz w:val="32"/>
          <w:szCs w:val="32"/>
          <w:highlight w:val="none"/>
          <w:u w:val="none"/>
        </w:rPr>
        <w:t>〕</w:t>
      </w:r>
      <w:r>
        <w:rPr>
          <w:rFonts w:hint="eastAsia" w:ascii="仿宋_GB2312" w:hAnsi="仿宋_GB2312" w:eastAsia="仿宋_GB2312" w:cs="仿宋_GB2312"/>
          <w:sz w:val="32"/>
          <w:szCs w:val="32"/>
          <w:lang w:val="en-US" w:eastAsia="zh-CN"/>
        </w:rPr>
        <w:t>32号）和《龙岗区“培土倍增”五年行动方案（2024-2028年）》（深龙府函</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lang w:val="en-US" w:eastAsia="zh-CN"/>
        </w:rPr>
        <w:t>2024</w:t>
      </w:r>
      <w:r>
        <w:rPr>
          <w:rFonts w:hint="eastAsia" w:ascii="仿宋_GB2312" w:hAnsi="Arial" w:eastAsia="仿宋_GB2312" w:cs="Arial"/>
          <w:sz w:val="32"/>
          <w:szCs w:val="32"/>
          <w:highlight w:val="none"/>
          <w:u w:val="none"/>
        </w:rPr>
        <w:t>〕</w:t>
      </w:r>
      <w:r>
        <w:rPr>
          <w:rFonts w:hint="eastAsia" w:ascii="仿宋_GB2312" w:hAnsi="仿宋_GB2312" w:eastAsia="仿宋_GB2312" w:cs="仿宋_GB2312"/>
          <w:sz w:val="32"/>
          <w:szCs w:val="32"/>
          <w:lang w:val="en-US" w:eastAsia="zh-CN"/>
        </w:rPr>
        <w:t>42号）等文件精神，龙岗区商务</w:t>
      </w:r>
      <w:r>
        <w:rPr>
          <w:rFonts w:hint="eastAsia" w:ascii="仿宋_GB2312" w:hAnsi="仿宋_GB2312" w:eastAsia="仿宋_GB2312" w:cs="仿宋_GB2312"/>
          <w:color w:val="000000"/>
          <w:kern w:val="0"/>
          <w:sz w:val="32"/>
          <w:szCs w:val="32"/>
          <w:lang w:val="zh-TW" w:eastAsia="zh-CN"/>
        </w:rPr>
        <w:t>局</w:t>
      </w:r>
      <w:r>
        <w:rPr>
          <w:rFonts w:hint="eastAsia" w:ascii="仿宋_GB2312" w:hAnsi="仿宋_GB2312" w:eastAsia="仿宋_GB2312" w:cs="仿宋_GB2312"/>
          <w:color w:val="000000"/>
          <w:sz w:val="32"/>
          <w:szCs w:val="32"/>
        </w:rPr>
        <w:t>启动</w:t>
      </w:r>
      <w:r>
        <w:rPr>
          <w:rFonts w:hint="eastAsia" w:ascii="仿宋_GB2312" w:hAnsi="仿宋_GB2312" w:eastAsia="仿宋_GB2312" w:cs="仿宋_GB2312"/>
          <w:color w:val="000000"/>
          <w:sz w:val="32"/>
          <w:szCs w:val="32"/>
          <w:lang w:eastAsia="zh-CN"/>
        </w:rPr>
        <w:t>了</w:t>
      </w:r>
      <w:r>
        <w:rPr>
          <w:rFonts w:hint="eastAsia" w:ascii="仿宋_GB2312" w:hAnsi="仿宋_GB2312" w:eastAsia="仿宋_GB2312" w:cs="仿宋_GB2312"/>
          <w:b w:val="0"/>
          <w:bCs w:val="0"/>
          <w:sz w:val="32"/>
          <w:szCs w:val="32"/>
          <w:lang w:val="en-US" w:eastAsia="zh-CN" w:bidi="ar-SA"/>
        </w:rPr>
        <w:t>《实施细则》编制工作。</w:t>
      </w:r>
    </w:p>
    <w:p>
      <w:pPr>
        <w:keepNext w:val="0"/>
        <w:keepLines w:val="0"/>
        <w:pageBreakBefore w:val="0"/>
        <w:widowControl w:val="0"/>
        <w:numPr>
          <w:ilvl w:val="0"/>
          <w:numId w:val="1"/>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b w:val="0"/>
          <w:bCs w:val="0"/>
          <w:color w:val="000000"/>
          <w:sz w:val="32"/>
          <w:szCs w:val="32"/>
          <w:lang w:val="en-US" w:eastAsia="zh-CN" w:bidi="ar"/>
        </w:rPr>
      </w:pPr>
      <w:r>
        <w:rPr>
          <w:rFonts w:hint="eastAsia" w:ascii="黑体" w:hAnsi="黑体" w:eastAsia="黑体"/>
          <w:b w:val="0"/>
          <w:bCs w:val="0"/>
          <w:color w:val="000000"/>
          <w:sz w:val="32"/>
          <w:szCs w:val="32"/>
          <w:lang w:val="en-US" w:eastAsia="zh-CN" w:bidi="ar"/>
        </w:rPr>
        <w:t>起草过程</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olor w:val="000000"/>
          <w:sz w:val="32"/>
          <w:szCs w:val="32"/>
          <w:lang w:val="en-US" w:eastAsia="zh-CN"/>
        </w:rPr>
        <w:t>2024年底以来，</w:t>
      </w:r>
      <w:r>
        <w:rPr>
          <w:rFonts w:ascii="仿宋_GB2312" w:hAnsi="仿宋_GB2312" w:eastAsia="仿宋_GB2312"/>
          <w:color w:val="000000"/>
          <w:sz w:val="32"/>
          <w:szCs w:val="32"/>
          <w:lang w:eastAsia="zh-CN"/>
        </w:rPr>
        <w:t>区</w:t>
      </w:r>
      <w:r>
        <w:rPr>
          <w:rFonts w:hint="eastAsia" w:ascii="仿宋_GB2312" w:hAnsi="仿宋_GB2312" w:eastAsia="仿宋_GB2312"/>
          <w:color w:val="000000"/>
          <w:sz w:val="32"/>
          <w:szCs w:val="32"/>
          <w:lang w:eastAsia="zh-CN"/>
        </w:rPr>
        <w:t>商务</w:t>
      </w:r>
      <w:r>
        <w:rPr>
          <w:rFonts w:hint="eastAsia" w:ascii="仿宋_GB2312" w:hAnsi="仿宋_GB2312" w:eastAsia="仿宋_GB2312"/>
          <w:color w:val="000000"/>
          <w:sz w:val="32"/>
          <w:szCs w:val="32"/>
          <w:lang w:val="en-US" w:eastAsia="zh-CN"/>
        </w:rPr>
        <w:t>局对以往出台的《深圳市龙岗区工业和信息化产业发展专项资金关于支持商贸和服务业发展实施细则》（2022年9月29日正式印发实施）产业扶持政策进行详细梳理，认真分析原有产业政策中存在的不足和问题，并根据最新产业政策导向，围绕我区商贸业发展，针对如何提升批发业、零售业、餐饮业、会展业等方面对现有产业扶持政策进行修订，</w:t>
      </w:r>
      <w:r>
        <w:rPr>
          <w:rFonts w:hint="eastAsia" w:ascii="仿宋_GB2312" w:hAnsi="仿宋_GB2312" w:eastAsia="仿宋_GB2312"/>
          <w:color w:val="000000"/>
          <w:sz w:val="32"/>
          <w:szCs w:val="32"/>
          <w:lang w:val="en-US" w:eastAsia="zh-CN" w:bidi="ar"/>
        </w:rPr>
        <w:t>使产业扶持政策更加精准，促进产业结构更加优化。</w:t>
      </w:r>
      <w:r>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t>具体起草过程如下：</w:t>
      </w:r>
    </w:p>
    <w:p>
      <w:pPr>
        <w:keepNext w:val="0"/>
        <w:keepLines w:val="0"/>
        <w:pageBreakBefore w:val="0"/>
        <w:widowControl w:val="0"/>
        <w:numPr>
          <w:ilvl w:val="0"/>
          <w:numId w:val="2"/>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Style w:val="11"/>
          <w:rFonts w:hint="eastAsia" w:ascii="楷体_GB2312" w:hAnsi="楷体_GB2312" w:eastAsia="楷体_GB2312" w:cs="楷体_GB2312"/>
          <w:i w:val="0"/>
          <w:caps w:val="0"/>
          <w:color w:val="auto"/>
          <w:spacing w:val="0"/>
          <w:sz w:val="32"/>
          <w:szCs w:val="32"/>
          <w:highlight w:val="none"/>
          <w:shd w:val="clear" w:color="auto" w:fill="FFFFFF"/>
          <w:lang w:eastAsia="zh-CN"/>
        </w:rPr>
      </w:pPr>
      <w:r>
        <w:rPr>
          <w:rStyle w:val="11"/>
          <w:rFonts w:hint="eastAsia" w:ascii="楷体_GB2312" w:hAnsi="楷体_GB2312" w:eastAsia="楷体_GB2312" w:cs="楷体_GB2312"/>
          <w:i w:val="0"/>
          <w:caps w:val="0"/>
          <w:color w:val="auto"/>
          <w:spacing w:val="0"/>
          <w:sz w:val="32"/>
          <w:szCs w:val="32"/>
          <w:highlight w:val="none"/>
          <w:shd w:val="clear" w:color="auto" w:fill="FFFFFF"/>
          <w:lang w:eastAsia="zh-CN"/>
        </w:rPr>
        <w:t>合法依规制定政策</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Style w:val="11"/>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t>严格落实法治政府要求，依法依规开展起草工作。</w:t>
      </w:r>
      <w:r>
        <w:rPr>
          <w:rStyle w:val="11"/>
          <w:rFonts w:hint="eastAsia" w:ascii="仿宋_GB2312" w:hAnsi="仿宋_GB2312" w:eastAsia="仿宋_GB2312" w:cs="仿宋_GB2312"/>
          <w:b/>
          <w:bCs/>
          <w:i w:val="0"/>
          <w:caps w:val="0"/>
          <w:color w:val="auto"/>
          <w:spacing w:val="0"/>
          <w:sz w:val="32"/>
          <w:szCs w:val="32"/>
          <w:highlight w:val="none"/>
          <w:shd w:val="clear" w:color="auto" w:fill="FFFFFF"/>
          <w:lang w:eastAsia="zh-CN"/>
        </w:rPr>
        <w:t>一是</w:t>
      </w:r>
      <w:r>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t>严格按照规范性文件的概念、要求、内涵组织编写。起草过程中，按照规范性文件管理办法进行深入学习，并针对《实施细则》的合法性和合规性进行逐条深入探讨，将规范性文件的编制要求落实到位。</w:t>
      </w:r>
      <w:r>
        <w:rPr>
          <w:rStyle w:val="11"/>
          <w:rFonts w:hint="eastAsia" w:ascii="仿宋_GB2312" w:hAnsi="仿宋_GB2312" w:eastAsia="仿宋_GB2312" w:cs="仿宋_GB2312"/>
          <w:b/>
          <w:bCs/>
          <w:i w:val="0"/>
          <w:caps w:val="0"/>
          <w:color w:val="auto"/>
          <w:spacing w:val="0"/>
          <w:sz w:val="32"/>
          <w:szCs w:val="32"/>
          <w:highlight w:val="none"/>
          <w:shd w:val="clear" w:color="auto" w:fill="FFFFFF"/>
          <w:lang w:eastAsia="zh-CN"/>
        </w:rPr>
        <w:t>二是</w:t>
      </w:r>
      <w:r>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t>严格遵循专项资金管理文件的规范要求。依据</w:t>
      </w:r>
      <w:r>
        <w:rPr>
          <w:rFonts w:hint="eastAsia" w:ascii="仿宋_GB2312" w:hAnsi="Arial" w:eastAsia="仿宋_GB2312" w:cs="Arial"/>
          <w:sz w:val="32"/>
          <w:szCs w:val="32"/>
          <w:highlight w:val="none"/>
          <w:u w:val="none"/>
        </w:rPr>
        <w:t>《深圳市龙岗区区级财政专项资金管理办法</w:t>
      </w:r>
      <w:r>
        <w:rPr>
          <w:rFonts w:hint="eastAsia" w:ascii="仿宋_GB2312" w:hAnsi="Arial" w:eastAsia="仿宋_GB2312" w:cs="Arial"/>
          <w:sz w:val="32"/>
          <w:szCs w:val="32"/>
          <w:highlight w:val="none"/>
          <w:u w:val="none"/>
          <w:lang w:eastAsia="zh-CN"/>
        </w:rPr>
        <w:t>（修订）</w:t>
      </w:r>
      <w:r>
        <w:rPr>
          <w:rFonts w:hint="eastAsia" w:ascii="仿宋_GB2312" w:hAnsi="Arial" w:eastAsia="仿宋_GB2312" w:cs="Arial"/>
          <w:sz w:val="32"/>
          <w:szCs w:val="32"/>
          <w:highlight w:val="none"/>
          <w:u w:val="none"/>
        </w:rPr>
        <w:t>》（深龙府规</w:t>
      </w:r>
      <w:r>
        <w:rPr>
          <w:rFonts w:hint="eastAsia" w:ascii="仿宋_GB2312" w:hAnsi="仿宋_GB2312" w:eastAsia="仿宋_GB2312" w:cs="仿宋_GB2312"/>
          <w:sz w:val="32"/>
          <w:szCs w:val="32"/>
          <w:highlight w:val="none"/>
          <w:u w:val="none"/>
        </w:rPr>
        <w:t>〔</w:t>
      </w:r>
      <w:r>
        <w:rPr>
          <w:rFonts w:ascii="仿宋_GB2312" w:hAnsi="仿宋_GB2312" w:eastAsia="仿宋_GB2312" w:cs="仿宋_GB2312"/>
          <w:sz w:val="32"/>
          <w:szCs w:val="32"/>
          <w:highlight w:val="none"/>
          <w:u w:val="none"/>
        </w:rPr>
        <w:t>202</w:t>
      </w:r>
      <w:r>
        <w:rPr>
          <w:rFonts w:hint="eastAsia" w:ascii="仿宋_GB2312" w:hAnsi="仿宋_GB2312" w:eastAsia="仿宋_GB2312" w:cs="仿宋_GB2312"/>
          <w:sz w:val="32"/>
          <w:szCs w:val="32"/>
          <w:highlight w:val="none"/>
          <w:u w:val="none"/>
          <w:lang w:val="en-US" w:eastAsia="zh-CN"/>
        </w:rPr>
        <w:t>4</w:t>
      </w:r>
      <w:r>
        <w:rPr>
          <w:rFonts w:hint="eastAsia" w:ascii="仿宋_GB2312" w:hAnsi="Arial" w:eastAsia="仿宋_GB2312" w:cs="Arial"/>
          <w:sz w:val="32"/>
          <w:szCs w:val="32"/>
          <w:highlight w:val="none"/>
          <w:u w:val="none"/>
        </w:rPr>
        <w:t>〕</w:t>
      </w:r>
      <w:r>
        <w:rPr>
          <w:rFonts w:hint="eastAsia" w:ascii="仿宋_GB2312" w:hAnsi="Arial" w:eastAsia="仿宋_GB2312" w:cs="Arial"/>
          <w:sz w:val="32"/>
          <w:szCs w:val="32"/>
          <w:highlight w:val="none"/>
          <w:u w:val="none"/>
          <w:lang w:val="en-US" w:eastAsia="zh-CN"/>
        </w:rPr>
        <w:t>4</w:t>
      </w:r>
      <w:r>
        <w:rPr>
          <w:rFonts w:hint="eastAsia" w:ascii="仿宋_GB2312" w:hAnsi="Arial" w:eastAsia="仿宋_GB2312" w:cs="Arial"/>
          <w:sz w:val="32"/>
          <w:szCs w:val="32"/>
          <w:highlight w:val="none"/>
          <w:u w:val="none"/>
        </w:rPr>
        <w:t>号）</w:t>
      </w:r>
      <w:r>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t>关于财政专项资金管理政策的规定规范表述。</w:t>
      </w:r>
      <w:r>
        <w:rPr>
          <w:rStyle w:val="11"/>
          <w:rFonts w:hint="eastAsia" w:ascii="仿宋_GB2312" w:hAnsi="仿宋_GB2312" w:eastAsia="仿宋_GB2312" w:cs="仿宋_GB2312"/>
          <w:b/>
          <w:bCs/>
          <w:i w:val="0"/>
          <w:caps w:val="0"/>
          <w:color w:val="auto"/>
          <w:spacing w:val="0"/>
          <w:sz w:val="32"/>
          <w:szCs w:val="32"/>
          <w:highlight w:val="none"/>
          <w:shd w:val="clear" w:color="auto" w:fill="FFFFFF"/>
          <w:lang w:eastAsia="zh-CN"/>
        </w:rPr>
        <w:t>三是</w:t>
      </w:r>
      <w:r>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t>严格按照公平竞争审查条例相关要求。按照</w:t>
      </w:r>
      <w:r>
        <w:rPr>
          <w:rStyle w:val="11"/>
          <w:rFonts w:hint="eastAsia" w:ascii="仿宋_GB2312" w:hAnsi="仿宋_GB2312" w:eastAsia="仿宋_GB2312" w:cs="仿宋_GB2312"/>
          <w:i w:val="0"/>
          <w:caps w:val="0"/>
          <w:color w:val="auto"/>
          <w:spacing w:val="0"/>
          <w:sz w:val="32"/>
          <w:szCs w:val="32"/>
          <w:highlight w:val="none"/>
          <w:shd w:val="clear" w:color="auto" w:fill="FFFFFF"/>
          <w:lang w:val="en-US" w:eastAsia="zh-CN"/>
        </w:rPr>
        <w:t>2024年8月1日起施行的</w:t>
      </w:r>
      <w:r>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t>《公平竞争审查条例》中的“审查标准”进行起草，规范表述。</w:t>
      </w:r>
      <w:r>
        <w:rPr>
          <w:rStyle w:val="11"/>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四是</w:t>
      </w:r>
      <w:r>
        <w:rPr>
          <w:rStyle w:val="11"/>
          <w:rFonts w:hint="eastAsia" w:ascii="仿宋_GB2312" w:hAnsi="仿宋_GB2312" w:eastAsia="仿宋_GB2312" w:cs="仿宋_GB2312"/>
          <w:i w:val="0"/>
          <w:caps w:val="0"/>
          <w:color w:val="auto"/>
          <w:spacing w:val="0"/>
          <w:sz w:val="32"/>
          <w:szCs w:val="32"/>
          <w:highlight w:val="none"/>
          <w:shd w:val="clear" w:color="auto" w:fill="FFFFFF"/>
          <w:lang w:val="en-US" w:eastAsia="zh-CN"/>
        </w:rPr>
        <w:t>按区财政局要求对政策进行整合。</w:t>
      </w:r>
      <w:r>
        <w:rPr>
          <w:rFonts w:hint="eastAsia" w:ascii="仿宋_GB2312" w:hAnsi="仿宋_GB2312" w:eastAsia="仿宋_GB2312"/>
          <w:color w:val="000000"/>
          <w:sz w:val="32"/>
          <w:szCs w:val="32"/>
          <w:lang w:val="en-US" w:eastAsia="zh-CN"/>
        </w:rPr>
        <w:t>2022年9月29日实施的《深圳市龙岗区工业和信息化产业发展专项资金关于支持商贸和服务业发展实施细则》，涉及商贸业政策条款共八条，区商务局按要求对政策进行详细梳理，合并修订商贸业政策至五条，</w:t>
      </w:r>
      <w:r>
        <w:rPr>
          <w:rFonts w:hint="eastAsia" w:ascii="仿宋_GB2312" w:hAnsi="仿宋_GB2312" w:eastAsia="仿宋_GB2312"/>
          <w:color w:val="000000"/>
          <w:sz w:val="32"/>
          <w:szCs w:val="32"/>
          <w:lang w:val="en-US" w:eastAsia="zh-CN" w:bidi="ar"/>
        </w:rPr>
        <w:t>使产业扶持政策更加精准，促进产业结构更加优化。</w:t>
      </w:r>
    </w:p>
    <w:p>
      <w:pPr>
        <w:keepNext w:val="0"/>
        <w:keepLines w:val="0"/>
        <w:pageBreakBefore w:val="0"/>
        <w:widowControl w:val="0"/>
        <w:numPr>
          <w:ilvl w:val="0"/>
          <w:numId w:val="2"/>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0" w:leftChars="0" w:firstLine="640" w:firstLineChars="200"/>
        <w:jc w:val="both"/>
        <w:textAlignment w:val="auto"/>
        <w:rPr>
          <w:rStyle w:val="11"/>
          <w:rFonts w:hint="eastAsia" w:ascii="楷体_GB2312" w:hAnsi="楷体_GB2312" w:eastAsia="楷体_GB2312" w:cs="楷体_GB2312"/>
          <w:i w:val="0"/>
          <w:caps w:val="0"/>
          <w:color w:val="auto"/>
          <w:spacing w:val="0"/>
          <w:sz w:val="32"/>
          <w:szCs w:val="32"/>
          <w:highlight w:val="none"/>
          <w:shd w:val="clear" w:color="auto" w:fill="FFFFFF"/>
          <w:lang w:eastAsia="zh-CN"/>
        </w:rPr>
      </w:pPr>
      <w:r>
        <w:rPr>
          <w:rStyle w:val="11"/>
          <w:rFonts w:hint="eastAsia" w:ascii="楷体_GB2312" w:hAnsi="楷体_GB2312" w:eastAsia="楷体_GB2312" w:cs="楷体_GB2312"/>
          <w:i w:val="0"/>
          <w:caps w:val="0"/>
          <w:color w:val="auto"/>
          <w:spacing w:val="0"/>
          <w:sz w:val="32"/>
          <w:szCs w:val="32"/>
          <w:highlight w:val="none"/>
          <w:shd w:val="clear" w:color="auto" w:fill="FFFFFF"/>
          <w:lang w:eastAsia="zh-CN"/>
        </w:rPr>
        <w:t>广泛开展行业调研</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pPr>
      <w:r>
        <w:rPr>
          <w:rStyle w:val="11"/>
          <w:rFonts w:hint="eastAsia" w:ascii="仿宋_GB2312" w:hAnsi="仿宋_GB2312" w:eastAsia="仿宋_GB2312" w:cs="仿宋_GB2312"/>
          <w:i w:val="0"/>
          <w:caps w:val="0"/>
          <w:color w:val="auto"/>
          <w:spacing w:val="0"/>
          <w:sz w:val="32"/>
          <w:szCs w:val="32"/>
          <w:highlight w:val="none"/>
          <w:shd w:val="clear" w:color="auto" w:fill="FFFFFF"/>
          <w:lang w:eastAsia="zh-CN"/>
        </w:rPr>
        <w:t>为保证《实施细则》符合我区商贸业及企业发展实际，增强企业政策获得感，真正有效地推动我区商贸业发展，我局与重点商圈、行业组织多次开展座谈研究或一对一征求意见，认真听取行业意见和商贸业发展的共性问题。</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Style w:val="11"/>
          <w:rFonts w:hint="eastAsia" w:ascii="黑体" w:hAnsi="黑体" w:eastAsia="黑体" w:cs="黑体"/>
          <w:i w:val="0"/>
          <w:caps w:val="0"/>
          <w:color w:val="auto"/>
          <w:spacing w:val="0"/>
          <w:sz w:val="32"/>
          <w:szCs w:val="32"/>
          <w:highlight w:val="none"/>
          <w:shd w:val="clear" w:color="auto" w:fill="FFFFFF"/>
          <w:lang w:eastAsia="zh-CN"/>
        </w:rPr>
      </w:pPr>
      <w:r>
        <w:rPr>
          <w:rStyle w:val="11"/>
          <w:rFonts w:hint="eastAsia" w:ascii="黑体" w:hAnsi="黑体" w:eastAsia="黑体" w:cs="黑体"/>
          <w:i w:val="0"/>
          <w:caps w:val="0"/>
          <w:color w:val="auto"/>
          <w:spacing w:val="0"/>
          <w:sz w:val="32"/>
          <w:szCs w:val="32"/>
          <w:highlight w:val="none"/>
          <w:shd w:val="clear" w:color="auto" w:fill="FFFFFF"/>
          <w:lang w:eastAsia="zh-CN"/>
        </w:rPr>
        <w:t>三、主要内容</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实施细则</w:t>
      </w:r>
      <w:r>
        <w:rPr>
          <w:rFonts w:hint="default" w:ascii="仿宋_GB2312" w:hAnsi="仿宋_GB2312" w:eastAsia="仿宋_GB2312" w:cs="仿宋_GB2312"/>
          <w:kern w:val="2"/>
          <w:sz w:val="32"/>
          <w:szCs w:val="32"/>
          <w:lang w:val="en-US" w:eastAsia="zh-CN" w:bidi="ar-SA"/>
        </w:rPr>
        <w:t>》共</w:t>
      </w:r>
      <w:r>
        <w:rPr>
          <w:rFonts w:hint="eastAsia" w:ascii="仿宋_GB2312" w:hAnsi="仿宋_GB2312" w:eastAsia="仿宋_GB2312" w:cs="仿宋_GB2312"/>
          <w:kern w:val="2"/>
          <w:sz w:val="32"/>
          <w:szCs w:val="32"/>
          <w:lang w:val="en-US" w:eastAsia="zh-CN" w:bidi="ar-SA"/>
        </w:rPr>
        <w:t>五</w:t>
      </w:r>
      <w:r>
        <w:rPr>
          <w:rFonts w:hint="default" w:ascii="仿宋_GB2312" w:hAnsi="仿宋_GB2312" w:eastAsia="仿宋_GB2312" w:cs="仿宋_GB2312"/>
          <w:kern w:val="2"/>
          <w:sz w:val="32"/>
          <w:szCs w:val="32"/>
          <w:lang w:val="en-US" w:eastAsia="zh-CN" w:bidi="ar-SA"/>
        </w:rPr>
        <w:t>章</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十条</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val="0"/>
          <w:bCs w:val="0"/>
          <w:color w:val="auto"/>
          <w:kern w:val="2"/>
          <w:sz w:val="32"/>
          <w:szCs w:val="32"/>
          <w:highlight w:val="none"/>
          <w:vertAlign w:val="baseline"/>
          <w:rtl w:val="0"/>
          <w:lang w:val="en-US" w:eastAsia="zh-CN" w:bidi="ar-SA"/>
        </w:rPr>
        <w:t>主要是从</w:t>
      </w:r>
      <w:r>
        <w:rPr>
          <w:rFonts w:hint="eastAsia" w:ascii="仿宋_GB2312" w:hAnsi="仿宋_GB2312" w:eastAsia="仿宋_GB2312" w:cs="仿宋_GB2312"/>
          <w:b/>
          <w:bCs/>
          <w:color w:val="auto"/>
          <w:kern w:val="2"/>
          <w:sz w:val="32"/>
          <w:szCs w:val="32"/>
          <w:highlight w:val="none"/>
          <w:vertAlign w:val="baseline"/>
          <w:rtl w:val="0"/>
          <w:lang w:val="en-US" w:eastAsia="zh-CN" w:bidi="ar-SA"/>
        </w:rPr>
        <w:t>推动企业上规模、支持首店引进、支持促消费活动</w:t>
      </w:r>
      <w:r>
        <w:rPr>
          <w:rFonts w:hint="eastAsia" w:ascii="仿宋_GB2312" w:hAnsi="仿宋_GB2312" w:eastAsia="仿宋_GB2312" w:cs="仿宋_GB2312"/>
          <w:b/>
          <w:bCs/>
          <w:kern w:val="2"/>
          <w:sz w:val="32"/>
          <w:szCs w:val="32"/>
          <w:lang w:val="en-US" w:eastAsia="zh-CN" w:bidi="ar-SA"/>
        </w:rPr>
        <w:t>、支持商业品质提升、支持企业赴境内外参展</w:t>
      </w:r>
      <w:r>
        <w:rPr>
          <w:rFonts w:hint="eastAsia" w:ascii="仿宋_GB2312" w:hAnsi="仿宋_GB2312" w:eastAsia="仿宋_GB2312" w:cs="仿宋_GB2312"/>
          <w:sz w:val="32"/>
          <w:szCs w:val="32"/>
          <w:lang w:val="en-US" w:eastAsia="zh-CN"/>
        </w:rPr>
        <w:t>等方面，提出五</w:t>
      </w:r>
      <w:r>
        <w:rPr>
          <w:rFonts w:hint="eastAsia" w:ascii="仿宋_GB2312" w:hAnsi="仿宋_GB2312" w:eastAsia="仿宋_GB2312" w:cs="仿宋_GB2312"/>
          <w:b w:val="0"/>
          <w:bCs w:val="0"/>
          <w:sz w:val="32"/>
          <w:szCs w:val="32"/>
          <w:lang w:val="en-US" w:eastAsia="zh-CN"/>
        </w:rPr>
        <w:t>条具体</w:t>
      </w:r>
      <w:r>
        <w:rPr>
          <w:rFonts w:hint="eastAsia" w:ascii="仿宋_GB2312" w:hAnsi="仿宋_GB2312" w:eastAsia="仿宋_GB2312" w:cs="仿宋_GB2312"/>
          <w:sz w:val="32"/>
          <w:szCs w:val="32"/>
          <w:lang w:val="en-US" w:eastAsia="zh-CN"/>
        </w:rPr>
        <w:t>实施细则。</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b w:val="0"/>
          <w:bCs w:val="0"/>
          <w:color w:val="000000"/>
          <w:sz w:val="32"/>
          <w:szCs w:val="32"/>
          <w:lang w:val="en-US" w:eastAsia="zh-CN" w:bidi="ar"/>
        </w:rPr>
      </w:pPr>
      <w:r>
        <w:rPr>
          <w:rFonts w:hint="eastAsia" w:ascii="楷体_GB2312" w:hAnsi="楷体_GB2312" w:eastAsia="楷体_GB2312" w:cs="楷体_GB2312"/>
          <w:b w:val="0"/>
          <w:bCs w:val="0"/>
          <w:color w:val="000000"/>
          <w:sz w:val="32"/>
          <w:szCs w:val="32"/>
          <w:lang w:val="en-US" w:eastAsia="zh-CN" w:bidi="ar"/>
        </w:rPr>
        <w:t>（一）</w:t>
      </w:r>
      <w:r>
        <w:rPr>
          <w:rFonts w:hint="eastAsia" w:ascii="楷体_GB2312" w:hAnsi="楷体_GB2312" w:eastAsia="楷体_GB2312" w:cs="楷体_GB2312"/>
          <w:b w:val="0"/>
          <w:bCs w:val="0"/>
          <w:color w:val="000000"/>
          <w:sz w:val="32"/>
          <w:szCs w:val="32"/>
          <w:lang w:eastAsia="zh-CN" w:bidi="ar"/>
        </w:rPr>
        <w:t>推动企业上规模。</w:t>
      </w:r>
      <w:r>
        <w:rPr>
          <w:rFonts w:hint="eastAsia" w:ascii="仿宋_GB2312" w:hAnsi="仿宋_GB2312" w:eastAsia="仿宋_GB2312"/>
          <w:b w:val="0"/>
          <w:bCs w:val="0"/>
          <w:color w:val="000000"/>
          <w:sz w:val="32"/>
          <w:szCs w:val="32"/>
          <w:lang w:val="en-US" w:eastAsia="zh-CN" w:bidi="ar"/>
        </w:rPr>
        <w:t>根据深圳市《关于加快培育壮大市场主体的实施意见（2022-2025年）》要求，对首次纳入“四上”企业库的批零餐企业给予最高10万元奖励。大部分兄弟区都有相应的入库扶持且入库扶持政策对于推动“小升规”工作有比较大的作用，因此在修订政策时予以保留，每家入库企业给予最高10万元的一次性扶持。</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color w:val="000000"/>
          <w:sz w:val="32"/>
          <w:szCs w:val="32"/>
          <w:lang w:eastAsia="zh-CN" w:bidi="ar"/>
        </w:rPr>
      </w:pPr>
      <w:r>
        <w:rPr>
          <w:rFonts w:hint="eastAsia" w:ascii="楷体_GB2312" w:hAnsi="楷体_GB2312" w:eastAsia="楷体_GB2312" w:cs="楷体_GB2312"/>
          <w:b w:val="0"/>
          <w:bCs w:val="0"/>
          <w:color w:val="000000"/>
          <w:sz w:val="32"/>
          <w:szCs w:val="32"/>
          <w:lang w:val="en-US" w:eastAsia="zh-CN" w:bidi="ar"/>
        </w:rPr>
        <w:t>（二）支持首店引进。</w:t>
      </w:r>
      <w:r>
        <w:rPr>
          <w:rFonts w:hint="eastAsia" w:ascii="仿宋_GB2312" w:hAnsi="仿宋_GB2312" w:eastAsia="仿宋_GB2312" w:cs="仿宋_GB2312"/>
          <w:bCs/>
          <w:kern w:val="2"/>
          <w:sz w:val="32"/>
          <w:szCs w:val="32"/>
          <w:lang w:val="en-US" w:eastAsia="zh-CN" w:bidi="ar-SA"/>
        </w:rPr>
        <w:t>为引进国内外知名品牌，提高消费品质，通过政策引导，推动商业运营机构积极引进国内外知名品牌企业及其授权代理商在龙岗开设</w:t>
      </w:r>
      <w:r>
        <w:rPr>
          <w:rFonts w:hint="eastAsia" w:ascii="仿宋_GB2312" w:hAnsi="仿宋_GB2312" w:eastAsia="仿宋_GB2312" w:cs="仿宋_GB2312"/>
          <w:bCs/>
          <w:kern w:val="2"/>
          <w:sz w:val="32"/>
          <w:szCs w:val="32"/>
          <w:highlight w:val="none"/>
          <w:lang w:val="en-US" w:eastAsia="zh-CN" w:bidi="ar-SA"/>
        </w:rPr>
        <w:t>中国内地首店</w:t>
      </w:r>
      <w:r>
        <w:rPr>
          <w:rFonts w:hint="eastAsia" w:ascii="仿宋_GB2312" w:hAnsi="仿宋_GB2312" w:eastAsia="仿宋_GB2312" w:cs="仿宋_GB2312"/>
          <w:bCs/>
          <w:kern w:val="2"/>
          <w:sz w:val="32"/>
          <w:szCs w:val="32"/>
          <w:lang w:val="en-US" w:eastAsia="zh-CN" w:bidi="ar-SA"/>
        </w:rPr>
        <w:t>、华南首店和深圳首店，助力我区零售业和餐饮业招商引资。</w:t>
      </w:r>
      <w:r>
        <w:rPr>
          <w:rFonts w:hint="eastAsia" w:ascii="仿宋_GB2312" w:hAnsi="仿宋_GB2312" w:eastAsia="仿宋_GB2312" w:cs="仿宋_GB2312"/>
          <w:b w:val="0"/>
          <w:bCs w:val="0"/>
          <w:color w:val="000000"/>
          <w:sz w:val="32"/>
          <w:szCs w:val="32"/>
          <w:lang w:eastAsia="zh-CN" w:bidi="ar"/>
        </w:rPr>
        <w:t>同时，市商务局近期就《促进首发经济高质量发展的若干措施》进行征求意见，措施中对亚洲首店、中国</w:t>
      </w:r>
      <w:bookmarkStart w:id="1" w:name="_GoBack"/>
      <w:bookmarkEnd w:id="1"/>
      <w:r>
        <w:rPr>
          <w:rFonts w:hint="eastAsia" w:ascii="仿宋_GB2312" w:hAnsi="仿宋_GB2312" w:eastAsia="仿宋_GB2312" w:cs="仿宋_GB2312"/>
          <w:b w:val="0"/>
          <w:bCs w:val="0"/>
          <w:color w:val="000000"/>
          <w:sz w:val="32"/>
          <w:szCs w:val="32"/>
          <w:lang w:eastAsia="zh-CN" w:bidi="ar"/>
        </w:rPr>
        <w:t>内地首店及深圳首店进行支持，因此在修订政策时，新增支持首店引进政策。</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color w:val="000000"/>
          <w:sz w:val="32"/>
          <w:szCs w:val="32"/>
          <w:lang w:eastAsia="zh-CN" w:bidi="ar"/>
        </w:rPr>
      </w:pPr>
      <w:r>
        <w:rPr>
          <w:rFonts w:hint="eastAsia" w:ascii="楷体_GB2312" w:hAnsi="楷体_GB2312" w:eastAsia="楷体_GB2312" w:cs="楷体_GB2312"/>
          <w:b w:val="0"/>
          <w:bCs w:val="0"/>
          <w:color w:val="000000"/>
          <w:sz w:val="32"/>
          <w:szCs w:val="32"/>
          <w:lang w:val="en-US" w:eastAsia="zh-CN" w:bidi="ar"/>
        </w:rPr>
        <w:t>（三）支持促消费活动</w:t>
      </w:r>
      <w:r>
        <w:rPr>
          <w:rFonts w:hint="eastAsia" w:ascii="楷体_GB2312" w:hAnsi="楷体_GB2312" w:eastAsia="楷体_GB2312" w:cs="楷体_GB2312"/>
          <w:b w:val="0"/>
          <w:bCs w:val="0"/>
          <w:color w:val="000000"/>
          <w:sz w:val="32"/>
          <w:szCs w:val="32"/>
          <w:lang w:eastAsia="zh-CN" w:bidi="ar"/>
        </w:rPr>
        <w:t>。</w:t>
      </w:r>
      <w:r>
        <w:rPr>
          <w:rFonts w:hint="eastAsia" w:ascii="仿宋_GB2312" w:hAnsi="仿宋_GB2312" w:eastAsia="仿宋_GB2312" w:cs="仿宋_GB2312"/>
          <w:b w:val="0"/>
          <w:bCs w:val="0"/>
          <w:color w:val="000000"/>
          <w:sz w:val="32"/>
          <w:szCs w:val="32"/>
          <w:lang w:eastAsia="zh-CN" w:bidi="ar"/>
        </w:rPr>
        <w:t>为营造良好消费氛围，持续激发消费活力，通过组织发动企业开展一系列促消费活动，拉动全区消费增长，对比《深圳市商务局&lt;关于加快建设国际消费中心城市的若干措施&gt;实施细则》关于“支持举办促消费活动”的措施内容，根据龙岗区实际情况，增加补贴对象并降低支持标准，拟对区内实际经营的大型商业综合体、超市百货、汽车销售企业及协会组织等参加“龙岗区购物季”促消费活动的，按照实际产生费用的50%予以支持，最高不超过</w:t>
      </w:r>
      <w:r>
        <w:rPr>
          <w:rFonts w:hint="eastAsia" w:ascii="仿宋_GB2312" w:hAnsi="仿宋_GB2312" w:eastAsia="仿宋_GB2312" w:cs="仿宋_GB2312"/>
          <w:b w:val="0"/>
          <w:bCs w:val="0"/>
          <w:color w:val="000000"/>
          <w:sz w:val="32"/>
          <w:szCs w:val="32"/>
          <w:lang w:val="en-US" w:eastAsia="zh-CN" w:bidi="ar"/>
        </w:rPr>
        <w:t>10</w:t>
      </w:r>
      <w:r>
        <w:rPr>
          <w:rFonts w:hint="eastAsia" w:ascii="仿宋_GB2312" w:hAnsi="仿宋_GB2312" w:eastAsia="仿宋_GB2312" w:cs="仿宋_GB2312"/>
          <w:b w:val="0"/>
          <w:bCs w:val="0"/>
          <w:color w:val="000000"/>
          <w:sz w:val="32"/>
          <w:szCs w:val="32"/>
          <w:lang w:eastAsia="zh-CN" w:bidi="ar"/>
        </w:rPr>
        <w:t>万元。</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color w:val="000000"/>
          <w:sz w:val="32"/>
          <w:szCs w:val="32"/>
          <w:lang w:eastAsia="zh-CN" w:bidi="ar"/>
        </w:rPr>
      </w:pPr>
      <w:r>
        <w:rPr>
          <w:rFonts w:hint="eastAsia" w:ascii="楷体_GB2312" w:hAnsi="楷体_GB2312" w:eastAsia="楷体_GB2312" w:cs="楷体_GB2312"/>
          <w:b w:val="0"/>
          <w:bCs w:val="0"/>
          <w:color w:val="000000"/>
          <w:sz w:val="32"/>
          <w:szCs w:val="32"/>
          <w:lang w:val="en-US" w:eastAsia="zh-CN" w:bidi="ar"/>
        </w:rPr>
        <w:t>（四）支持商业品质提升。</w:t>
      </w:r>
      <w:r>
        <w:rPr>
          <w:rFonts w:hint="eastAsia" w:ascii="仿宋_GB2312" w:hAnsi="仿宋_GB2312" w:eastAsia="仿宋_GB2312" w:cs="仿宋_GB2312"/>
          <w:b w:val="0"/>
          <w:bCs w:val="0"/>
          <w:color w:val="000000"/>
          <w:sz w:val="32"/>
          <w:szCs w:val="32"/>
          <w:lang w:eastAsia="zh-CN" w:bidi="ar"/>
        </w:rPr>
        <w:t>我区已初步形成大运-中心城、布吉、横岗、南联、平湖、坂田六大商圈分布格局。但除大运外，没有形成很好的商圈效益，缺乏城市级特色化商业载体。同时大部分商圈模式、业态布局等方面类似，消费场景较单一，对外吸引力和辐射力不足，一定程度上导致消费向外转移，亟需政策鼓励商圈采取有力举措打造有特色、有影响力的商业载体，提升商圈品质，稳住消费存量，吸引消费增量。根据《关于加快建设国际消费中心城市的若干措施》第三条“建设国际一流商业消费街区”的规定，各区按1:1比例进行配套奖奖励，拟对经市商务部门认定的特色商圈（步行街）或夜间经济示范街区的在龙岗区实际经营的大型商业综合体、超市百货，按照其新建或改建实际投入的2</w:t>
      </w:r>
      <w:r>
        <w:rPr>
          <w:rFonts w:hint="eastAsia" w:ascii="仿宋_GB2312" w:hAnsi="仿宋_GB2312" w:eastAsia="仿宋_GB2312" w:cs="仿宋_GB2312"/>
          <w:b w:val="0"/>
          <w:bCs w:val="0"/>
          <w:color w:val="000000"/>
          <w:sz w:val="32"/>
          <w:szCs w:val="32"/>
          <w:lang w:val="en-US" w:eastAsia="zh-CN" w:bidi="ar"/>
        </w:rPr>
        <w:t>5</w:t>
      </w:r>
      <w:r>
        <w:rPr>
          <w:rFonts w:hint="eastAsia" w:ascii="仿宋_GB2312" w:hAnsi="仿宋_GB2312" w:eastAsia="仿宋_GB2312" w:cs="仿宋_GB2312"/>
          <w:b w:val="0"/>
          <w:bCs w:val="0"/>
          <w:color w:val="000000"/>
          <w:sz w:val="32"/>
          <w:szCs w:val="32"/>
          <w:lang w:eastAsia="zh-CN" w:bidi="ar"/>
        </w:rPr>
        <w:t>%给予最高不超过1000万元奖励。</w:t>
      </w:r>
    </w:p>
    <w:p>
      <w:pPr>
        <w:keepNext w:val="0"/>
        <w:keepLines w:val="0"/>
        <w:pageBreakBefore w:val="0"/>
        <w:widowControl w:val="0"/>
        <w:numPr>
          <w:ilvl w:val="0"/>
          <w:numId w:val="0"/>
        </w:numPr>
        <w:pBdr>
          <w:top w:val="none" w:color="auto" w:sz="0" w:space="1"/>
          <w:bottom w:val="none" w:color="FF0000" w:sz="0" w:space="8"/>
          <w:right w:val="none" w:color="auto" w:sz="0" w:space="4"/>
        </w:pBdr>
        <w:tabs>
          <w:tab w:val="left" w:pos="7292"/>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b w:val="0"/>
          <w:bCs w:val="0"/>
          <w:color w:val="000000"/>
          <w:sz w:val="32"/>
          <w:szCs w:val="32"/>
          <w:u w:val="none"/>
          <w:lang w:val="en-US" w:eastAsia="zh-CN"/>
        </w:rPr>
      </w:pPr>
      <w:r>
        <w:rPr>
          <w:rFonts w:hint="eastAsia" w:ascii="楷体_GB2312" w:hAnsi="楷体_GB2312" w:eastAsia="楷体_GB2312" w:cs="楷体_GB2312"/>
          <w:b w:val="0"/>
          <w:bCs w:val="0"/>
          <w:color w:val="000000"/>
          <w:sz w:val="32"/>
          <w:szCs w:val="32"/>
          <w:lang w:val="en-US" w:eastAsia="zh-CN" w:bidi="ar"/>
        </w:rPr>
        <w:t>（五）支持会展业发展</w:t>
      </w:r>
      <w:r>
        <w:rPr>
          <w:rFonts w:hint="eastAsia" w:ascii="楷体_GB2312" w:hAnsi="楷体_GB2312" w:eastAsia="楷体_GB2312" w:cs="楷体_GB2312"/>
          <w:b w:val="0"/>
          <w:bCs w:val="0"/>
          <w:color w:val="000000"/>
          <w:sz w:val="32"/>
          <w:szCs w:val="32"/>
          <w:lang w:eastAsia="zh-CN" w:bidi="ar"/>
        </w:rPr>
        <w:t>。</w:t>
      </w:r>
      <w:r>
        <w:rPr>
          <w:rFonts w:hint="eastAsia" w:ascii="仿宋_GB2312" w:hAnsi="仿宋_GB2312" w:eastAsia="仿宋_GB2312" w:cs="仿宋_GB2312"/>
          <w:b w:val="0"/>
          <w:bCs w:val="0"/>
          <w:color w:val="000000"/>
          <w:sz w:val="32"/>
          <w:szCs w:val="32"/>
          <w:lang w:eastAsia="zh-CN" w:bidi="ar"/>
        </w:rPr>
        <w:t>深圳市</w:t>
      </w:r>
      <w:r>
        <w:rPr>
          <w:rFonts w:hint="eastAsia" w:ascii="仿宋_GB2312" w:hAnsi="仿宋_GB2312" w:eastAsia="仿宋_GB2312"/>
          <w:b w:val="0"/>
          <w:bCs w:val="0"/>
          <w:color w:val="000000"/>
          <w:sz w:val="32"/>
          <w:szCs w:val="32"/>
          <w:u w:val="none"/>
          <w:lang w:val="en-US" w:eastAsia="zh-CN"/>
        </w:rPr>
        <w:t>高度重视会展业发展，为推动深圳会展业高质量发展，又快又好地推进国际会展之都建设，市商务局制定了《深圳市关于推动会展业高质量发展加快打造国际会展之都工作方案（2025-2027年）》并于今年1月初正式印发。</w:t>
      </w:r>
      <w:r>
        <w:rPr>
          <w:rFonts w:hint="eastAsia" w:ascii="仿宋_GB2312" w:hAnsi="仿宋_GB2312" w:eastAsia="仿宋_GB2312"/>
          <w:b w:val="0"/>
          <w:bCs w:val="0"/>
          <w:color w:val="000000"/>
          <w:sz w:val="32"/>
          <w:szCs w:val="32"/>
          <w:lang w:val="en-US" w:eastAsia="zh-CN" w:bidi="ar"/>
        </w:rPr>
        <w:t>经了解，目前市商务局正在修订</w:t>
      </w:r>
      <w:r>
        <w:rPr>
          <w:rFonts w:hint="eastAsia" w:ascii="仿宋_GB2312" w:hAnsi="仿宋_GB2312" w:eastAsia="仿宋_GB2312"/>
          <w:b w:val="0"/>
          <w:bCs w:val="0"/>
          <w:color w:val="000000"/>
          <w:sz w:val="32"/>
          <w:szCs w:val="32"/>
          <w:u w:val="none"/>
          <w:lang w:val="en-US" w:eastAsia="zh-CN"/>
        </w:rPr>
        <w:t>《深圳市关于加快建设国际会展之都的若干措施》，目前全市各区有境内外展政策的为宝安、龙华、光明和大鹏新区，有境外展政策的为南山区和坪山区，有境内展政策的为福田区。参加展会是企业拓展市场、获取订单的一项传统但重要的手段。为帮助辖区企业拓展市场，特别是拓展海外市场，同时推动我区会展业快速发展，借鉴市区相关政策做法，我们对原有的企业参展扶持条款进行修订，对企业参加境内外展给予扶持，因此修订形成“支持企业赴境内外参展”的扶持政策。</w:t>
      </w:r>
    </w:p>
    <w:sectPr>
      <w:footerReference r:id="rId3" w:type="default"/>
      <w:pgSz w:w="11906" w:h="16838"/>
      <w:pgMar w:top="2041" w:right="1474" w:bottom="1984" w:left="1587" w:header="851" w:footer="1474"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E3F3F"/>
    <w:multiLevelType w:val="singleLevel"/>
    <w:tmpl w:val="5EFE3F3F"/>
    <w:lvl w:ilvl="0" w:tentative="0">
      <w:start w:val="2"/>
      <w:numFmt w:val="chineseCounting"/>
      <w:suff w:val="nothing"/>
      <w:lvlText w:val="%1、"/>
      <w:lvlJc w:val="left"/>
      <w:rPr>
        <w:rFonts w:hint="eastAsia"/>
      </w:rPr>
    </w:lvl>
  </w:abstractNum>
  <w:abstractNum w:abstractNumId="1">
    <w:nsid w:val="79BB1EFB"/>
    <w:multiLevelType w:val="singleLevel"/>
    <w:tmpl w:val="79BB1EF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797A6"/>
    <w:rsid w:val="038B458E"/>
    <w:rsid w:val="06EFC243"/>
    <w:rsid w:val="07D2D625"/>
    <w:rsid w:val="07FFA240"/>
    <w:rsid w:val="08F84524"/>
    <w:rsid w:val="0A02768D"/>
    <w:rsid w:val="0BF4406D"/>
    <w:rsid w:val="0BFD59C4"/>
    <w:rsid w:val="0CCB3386"/>
    <w:rsid w:val="0D922380"/>
    <w:rsid w:val="0E960C44"/>
    <w:rsid w:val="0F7DD516"/>
    <w:rsid w:val="104337E4"/>
    <w:rsid w:val="105E57AB"/>
    <w:rsid w:val="10851626"/>
    <w:rsid w:val="11CF5B5F"/>
    <w:rsid w:val="138C6AA7"/>
    <w:rsid w:val="13E27B47"/>
    <w:rsid w:val="15871A0F"/>
    <w:rsid w:val="19F29A9B"/>
    <w:rsid w:val="1BBF5770"/>
    <w:rsid w:val="1BF788AC"/>
    <w:rsid w:val="1BFD8889"/>
    <w:rsid w:val="1DCD1D38"/>
    <w:rsid w:val="1DF7BBDE"/>
    <w:rsid w:val="1EB01D4E"/>
    <w:rsid w:val="1EBC1801"/>
    <w:rsid w:val="1F7B40F8"/>
    <w:rsid w:val="1F7B6DB9"/>
    <w:rsid w:val="1FB71504"/>
    <w:rsid w:val="1FCF41EA"/>
    <w:rsid w:val="1FEEEEF1"/>
    <w:rsid w:val="1FF32FF3"/>
    <w:rsid w:val="1FFD6DFF"/>
    <w:rsid w:val="215FD55C"/>
    <w:rsid w:val="24CD0868"/>
    <w:rsid w:val="25994CA7"/>
    <w:rsid w:val="25F05960"/>
    <w:rsid w:val="268C35A0"/>
    <w:rsid w:val="2727CB19"/>
    <w:rsid w:val="272B0578"/>
    <w:rsid w:val="273A2ECB"/>
    <w:rsid w:val="27BEB820"/>
    <w:rsid w:val="2AED7B32"/>
    <w:rsid w:val="2B6D50A3"/>
    <w:rsid w:val="2BAFDFDA"/>
    <w:rsid w:val="2CFB28FD"/>
    <w:rsid w:val="2EAD1124"/>
    <w:rsid w:val="2EBF9B65"/>
    <w:rsid w:val="2F1746AF"/>
    <w:rsid w:val="2FDF3BF1"/>
    <w:rsid w:val="2FF723E1"/>
    <w:rsid w:val="301536F0"/>
    <w:rsid w:val="30F6291E"/>
    <w:rsid w:val="32791B2B"/>
    <w:rsid w:val="337FC6F9"/>
    <w:rsid w:val="35797BC2"/>
    <w:rsid w:val="35F6CC86"/>
    <w:rsid w:val="36F9585D"/>
    <w:rsid w:val="376EDE79"/>
    <w:rsid w:val="377F369A"/>
    <w:rsid w:val="397781D6"/>
    <w:rsid w:val="39985FD0"/>
    <w:rsid w:val="3A322A60"/>
    <w:rsid w:val="3ADA2738"/>
    <w:rsid w:val="3BBCD907"/>
    <w:rsid w:val="3BBF1C97"/>
    <w:rsid w:val="3BE9DC84"/>
    <w:rsid w:val="3BF8A99E"/>
    <w:rsid w:val="3BFE1AF2"/>
    <w:rsid w:val="3BFF7347"/>
    <w:rsid w:val="3BFFBC0C"/>
    <w:rsid w:val="3CA31BF9"/>
    <w:rsid w:val="3DBF60A9"/>
    <w:rsid w:val="3DDCAB84"/>
    <w:rsid w:val="3DE9875B"/>
    <w:rsid w:val="3DF1285C"/>
    <w:rsid w:val="3DFBE6E2"/>
    <w:rsid w:val="3DFEDA71"/>
    <w:rsid w:val="3E7C3C65"/>
    <w:rsid w:val="3EA7FE75"/>
    <w:rsid w:val="3ECD1431"/>
    <w:rsid w:val="3EEF67E5"/>
    <w:rsid w:val="3EEFE674"/>
    <w:rsid w:val="3EF135F1"/>
    <w:rsid w:val="3EFDFE7E"/>
    <w:rsid w:val="3F7DE1DB"/>
    <w:rsid w:val="3FBB4263"/>
    <w:rsid w:val="3FD79D5C"/>
    <w:rsid w:val="3FEFC500"/>
    <w:rsid w:val="3FFA4FD0"/>
    <w:rsid w:val="3FFE8A08"/>
    <w:rsid w:val="3FFF23B6"/>
    <w:rsid w:val="3FFF8482"/>
    <w:rsid w:val="41C10F9D"/>
    <w:rsid w:val="426021E7"/>
    <w:rsid w:val="42FFDA98"/>
    <w:rsid w:val="435F2914"/>
    <w:rsid w:val="45C11FC8"/>
    <w:rsid w:val="474101BE"/>
    <w:rsid w:val="4A7827BE"/>
    <w:rsid w:val="4B1F766A"/>
    <w:rsid w:val="4D7B215A"/>
    <w:rsid w:val="4DF5D897"/>
    <w:rsid w:val="4F6EA2AD"/>
    <w:rsid w:val="4FEFCCC9"/>
    <w:rsid w:val="4FF8DCA4"/>
    <w:rsid w:val="50307D44"/>
    <w:rsid w:val="55D348BD"/>
    <w:rsid w:val="577DBB75"/>
    <w:rsid w:val="57A92968"/>
    <w:rsid w:val="57AB4895"/>
    <w:rsid w:val="58AF2576"/>
    <w:rsid w:val="58F7BB69"/>
    <w:rsid w:val="59DE2E6D"/>
    <w:rsid w:val="5ACF9854"/>
    <w:rsid w:val="5AFFCCFE"/>
    <w:rsid w:val="5B4D2BF3"/>
    <w:rsid w:val="5B7ED040"/>
    <w:rsid w:val="5BDFCB5E"/>
    <w:rsid w:val="5C7F4173"/>
    <w:rsid w:val="5E99DFD5"/>
    <w:rsid w:val="5EBADCCF"/>
    <w:rsid w:val="5EBD890F"/>
    <w:rsid w:val="5EFA22FC"/>
    <w:rsid w:val="5F2E7B10"/>
    <w:rsid w:val="5F78FBE3"/>
    <w:rsid w:val="5F7E4270"/>
    <w:rsid w:val="5FC93921"/>
    <w:rsid w:val="5FEB721F"/>
    <w:rsid w:val="5FF5B274"/>
    <w:rsid w:val="5FFBDF47"/>
    <w:rsid w:val="61DE1007"/>
    <w:rsid w:val="64B32A28"/>
    <w:rsid w:val="64DF12F4"/>
    <w:rsid w:val="65A758C3"/>
    <w:rsid w:val="65EF413B"/>
    <w:rsid w:val="65FE7266"/>
    <w:rsid w:val="67ED5C55"/>
    <w:rsid w:val="67F72907"/>
    <w:rsid w:val="68BF8614"/>
    <w:rsid w:val="69867525"/>
    <w:rsid w:val="69BE692A"/>
    <w:rsid w:val="69C47E44"/>
    <w:rsid w:val="69F78253"/>
    <w:rsid w:val="6AFF5908"/>
    <w:rsid w:val="6B6B7F5D"/>
    <w:rsid w:val="6C192D86"/>
    <w:rsid w:val="6D7B37CF"/>
    <w:rsid w:val="6DFFE03D"/>
    <w:rsid w:val="6E4F4335"/>
    <w:rsid w:val="6E6F8B03"/>
    <w:rsid w:val="6EBB235E"/>
    <w:rsid w:val="6EFFF3C0"/>
    <w:rsid w:val="6F78F625"/>
    <w:rsid w:val="6F7D0640"/>
    <w:rsid w:val="6FAC5919"/>
    <w:rsid w:val="6FBFB651"/>
    <w:rsid w:val="6FFB8B5E"/>
    <w:rsid w:val="6FFD9D91"/>
    <w:rsid w:val="6FFF28D7"/>
    <w:rsid w:val="6FFF4E58"/>
    <w:rsid w:val="71643ACA"/>
    <w:rsid w:val="71CB1FC9"/>
    <w:rsid w:val="7285A06B"/>
    <w:rsid w:val="72BE0CD8"/>
    <w:rsid w:val="737FB177"/>
    <w:rsid w:val="73DDA147"/>
    <w:rsid w:val="73FF27FC"/>
    <w:rsid w:val="74C943FA"/>
    <w:rsid w:val="753C2362"/>
    <w:rsid w:val="75657A36"/>
    <w:rsid w:val="757C6DE3"/>
    <w:rsid w:val="759B22B4"/>
    <w:rsid w:val="75F7E6AD"/>
    <w:rsid w:val="75FFA2F9"/>
    <w:rsid w:val="762F8507"/>
    <w:rsid w:val="767DBDA7"/>
    <w:rsid w:val="76AE005F"/>
    <w:rsid w:val="76BB837F"/>
    <w:rsid w:val="7725B21F"/>
    <w:rsid w:val="775FA7C4"/>
    <w:rsid w:val="777C4CF7"/>
    <w:rsid w:val="77A998B6"/>
    <w:rsid w:val="77BBAE34"/>
    <w:rsid w:val="77D1537F"/>
    <w:rsid w:val="77EB4ABF"/>
    <w:rsid w:val="77F3C55D"/>
    <w:rsid w:val="77FDF58C"/>
    <w:rsid w:val="77FF750E"/>
    <w:rsid w:val="797FB8F1"/>
    <w:rsid w:val="79F59011"/>
    <w:rsid w:val="79FE2A03"/>
    <w:rsid w:val="79FF8C33"/>
    <w:rsid w:val="7AB940EF"/>
    <w:rsid w:val="7B6FC1AB"/>
    <w:rsid w:val="7BBF5FB1"/>
    <w:rsid w:val="7BDDDC77"/>
    <w:rsid w:val="7BDFF671"/>
    <w:rsid w:val="7BE73910"/>
    <w:rsid w:val="7BEBAD2D"/>
    <w:rsid w:val="7BF79235"/>
    <w:rsid w:val="7BFD5306"/>
    <w:rsid w:val="7C7FDCB7"/>
    <w:rsid w:val="7C9B9605"/>
    <w:rsid w:val="7CD04F94"/>
    <w:rsid w:val="7CFFF7DA"/>
    <w:rsid w:val="7D33987B"/>
    <w:rsid w:val="7D73617B"/>
    <w:rsid w:val="7D77E31B"/>
    <w:rsid w:val="7D7DBC7F"/>
    <w:rsid w:val="7DB10A67"/>
    <w:rsid w:val="7DBFE02F"/>
    <w:rsid w:val="7DCF2413"/>
    <w:rsid w:val="7DEB9A3D"/>
    <w:rsid w:val="7DF7C848"/>
    <w:rsid w:val="7DFF226A"/>
    <w:rsid w:val="7DFF7728"/>
    <w:rsid w:val="7DFFF2C1"/>
    <w:rsid w:val="7E63B7CA"/>
    <w:rsid w:val="7E6BCB63"/>
    <w:rsid w:val="7E7EA12B"/>
    <w:rsid w:val="7E7EDF2B"/>
    <w:rsid w:val="7EB78743"/>
    <w:rsid w:val="7EC9E117"/>
    <w:rsid w:val="7EDBC1DC"/>
    <w:rsid w:val="7EF4F51D"/>
    <w:rsid w:val="7EFF35C4"/>
    <w:rsid w:val="7EFFCDCE"/>
    <w:rsid w:val="7F2929FD"/>
    <w:rsid w:val="7F3BE4F8"/>
    <w:rsid w:val="7F3FC788"/>
    <w:rsid w:val="7F47F7B9"/>
    <w:rsid w:val="7F4F136C"/>
    <w:rsid w:val="7F6DCCB8"/>
    <w:rsid w:val="7F6FA9CA"/>
    <w:rsid w:val="7F8D1B97"/>
    <w:rsid w:val="7FABC12E"/>
    <w:rsid w:val="7FADE3A8"/>
    <w:rsid w:val="7FB3FCE6"/>
    <w:rsid w:val="7FBF6010"/>
    <w:rsid w:val="7FC797A6"/>
    <w:rsid w:val="7FCDDD5F"/>
    <w:rsid w:val="7FD398FB"/>
    <w:rsid w:val="7FD5F647"/>
    <w:rsid w:val="7FD623B8"/>
    <w:rsid w:val="7FDF3206"/>
    <w:rsid w:val="7FDF3466"/>
    <w:rsid w:val="7FEBB6CB"/>
    <w:rsid w:val="7FED9356"/>
    <w:rsid w:val="7FEE3E99"/>
    <w:rsid w:val="7FEFA16C"/>
    <w:rsid w:val="7FF74664"/>
    <w:rsid w:val="7FFA1E08"/>
    <w:rsid w:val="7FFB0AEC"/>
    <w:rsid w:val="7FFBB32B"/>
    <w:rsid w:val="7FFE8E2C"/>
    <w:rsid w:val="7FFEB0E3"/>
    <w:rsid w:val="83EED120"/>
    <w:rsid w:val="83FB3095"/>
    <w:rsid w:val="87EA991A"/>
    <w:rsid w:val="8EFFF821"/>
    <w:rsid w:val="97FBA84F"/>
    <w:rsid w:val="99ECF034"/>
    <w:rsid w:val="9DF7A1F8"/>
    <w:rsid w:val="9FBD79B4"/>
    <w:rsid w:val="A7AF71DA"/>
    <w:rsid w:val="AABFFE39"/>
    <w:rsid w:val="ABDF7515"/>
    <w:rsid w:val="ADB23515"/>
    <w:rsid w:val="ADCE4C68"/>
    <w:rsid w:val="AE69DB79"/>
    <w:rsid w:val="AEBB636C"/>
    <w:rsid w:val="AEDBAD6C"/>
    <w:rsid w:val="AEEE0FE2"/>
    <w:rsid w:val="AFE4CB81"/>
    <w:rsid w:val="B3BF76B7"/>
    <w:rsid w:val="B6FED9DE"/>
    <w:rsid w:val="B6FF89B7"/>
    <w:rsid w:val="B7B4ED6E"/>
    <w:rsid w:val="B7BF5365"/>
    <w:rsid w:val="B7E52606"/>
    <w:rsid w:val="B7FFFB8E"/>
    <w:rsid w:val="BB56A00D"/>
    <w:rsid w:val="BB6B8A10"/>
    <w:rsid w:val="BB8E3271"/>
    <w:rsid w:val="BBFF8312"/>
    <w:rsid w:val="BCFB30BF"/>
    <w:rsid w:val="BDEF9180"/>
    <w:rsid w:val="BE7FFB80"/>
    <w:rsid w:val="BEB9BFD7"/>
    <w:rsid w:val="BF57CEE2"/>
    <w:rsid w:val="BF8DB8F8"/>
    <w:rsid w:val="BF97BFEE"/>
    <w:rsid w:val="BFF74289"/>
    <w:rsid w:val="BFFB677C"/>
    <w:rsid w:val="BFFDD02C"/>
    <w:rsid w:val="BFFEBB29"/>
    <w:rsid w:val="C2810849"/>
    <w:rsid w:val="C5C73DC0"/>
    <w:rsid w:val="CAFB1D61"/>
    <w:rsid w:val="CBD74435"/>
    <w:rsid w:val="CF653089"/>
    <w:rsid w:val="CFADFF8B"/>
    <w:rsid w:val="CFFF7174"/>
    <w:rsid w:val="D15F2460"/>
    <w:rsid w:val="D2FF16FF"/>
    <w:rsid w:val="D5DF8923"/>
    <w:rsid w:val="D5E8B147"/>
    <w:rsid w:val="D5F693DE"/>
    <w:rsid w:val="D7AD5AEF"/>
    <w:rsid w:val="D7D1C890"/>
    <w:rsid w:val="D9BD90E2"/>
    <w:rsid w:val="DB7D5347"/>
    <w:rsid w:val="DBE9AFED"/>
    <w:rsid w:val="DBEBE07B"/>
    <w:rsid w:val="DBEBE381"/>
    <w:rsid w:val="DBFF01F3"/>
    <w:rsid w:val="DDDD374A"/>
    <w:rsid w:val="DDFBB610"/>
    <w:rsid w:val="DDFFF928"/>
    <w:rsid w:val="DF6EA7AC"/>
    <w:rsid w:val="DF7CB7A2"/>
    <w:rsid w:val="DFDF3EF9"/>
    <w:rsid w:val="DFF63F4D"/>
    <w:rsid w:val="DFFB4006"/>
    <w:rsid w:val="DFFED131"/>
    <w:rsid w:val="DFFF50E4"/>
    <w:rsid w:val="E2BFDAC8"/>
    <w:rsid w:val="E3BF2503"/>
    <w:rsid w:val="E3F3F07D"/>
    <w:rsid w:val="E57B281A"/>
    <w:rsid w:val="E6777F3C"/>
    <w:rsid w:val="E77F957D"/>
    <w:rsid w:val="E7DBC465"/>
    <w:rsid w:val="E7ED226F"/>
    <w:rsid w:val="EA72EEA1"/>
    <w:rsid w:val="EAFDB25F"/>
    <w:rsid w:val="EB2B336E"/>
    <w:rsid w:val="EB7506D2"/>
    <w:rsid w:val="EB7A5E91"/>
    <w:rsid w:val="EBEE37B7"/>
    <w:rsid w:val="EBFD2CE1"/>
    <w:rsid w:val="ED97B601"/>
    <w:rsid w:val="EEFBD624"/>
    <w:rsid w:val="EEFF69BF"/>
    <w:rsid w:val="EF8FA10C"/>
    <w:rsid w:val="EFBFD754"/>
    <w:rsid w:val="EFDCCFAB"/>
    <w:rsid w:val="EFDFD667"/>
    <w:rsid w:val="EFFC6496"/>
    <w:rsid w:val="EFFF31DF"/>
    <w:rsid w:val="F2ABCA2A"/>
    <w:rsid w:val="F37FED2E"/>
    <w:rsid w:val="F37FF4CD"/>
    <w:rsid w:val="F5932B1E"/>
    <w:rsid w:val="F5D95CEC"/>
    <w:rsid w:val="F5FF9B3C"/>
    <w:rsid w:val="F6A583B8"/>
    <w:rsid w:val="F6FF4A26"/>
    <w:rsid w:val="F70F2586"/>
    <w:rsid w:val="F77FA4C1"/>
    <w:rsid w:val="F79B1D87"/>
    <w:rsid w:val="F7AB9206"/>
    <w:rsid w:val="F7AF811D"/>
    <w:rsid w:val="F7B71003"/>
    <w:rsid w:val="F7BF00C1"/>
    <w:rsid w:val="F7BF94E4"/>
    <w:rsid w:val="F7BFA9FD"/>
    <w:rsid w:val="F7E0266E"/>
    <w:rsid w:val="F7ED3299"/>
    <w:rsid w:val="F7F72585"/>
    <w:rsid w:val="F7F77516"/>
    <w:rsid w:val="F7F7B36B"/>
    <w:rsid w:val="F7FFCBBD"/>
    <w:rsid w:val="F95F6BD3"/>
    <w:rsid w:val="F9F7F2D1"/>
    <w:rsid w:val="FA9E8717"/>
    <w:rsid w:val="FB7D3C39"/>
    <w:rsid w:val="FB7EE4C6"/>
    <w:rsid w:val="FB7FB7B6"/>
    <w:rsid w:val="FB7FF2A7"/>
    <w:rsid w:val="FBAD2C55"/>
    <w:rsid w:val="FBAF6030"/>
    <w:rsid w:val="FBBF36F5"/>
    <w:rsid w:val="FBBFCECC"/>
    <w:rsid w:val="FBDCD6F7"/>
    <w:rsid w:val="FBDF9F94"/>
    <w:rsid w:val="FBEEBF54"/>
    <w:rsid w:val="FCDF7729"/>
    <w:rsid w:val="FD7F49FD"/>
    <w:rsid w:val="FD923C9B"/>
    <w:rsid w:val="FDB79943"/>
    <w:rsid w:val="FDE5CD2F"/>
    <w:rsid w:val="FDE6F030"/>
    <w:rsid w:val="FDF71C37"/>
    <w:rsid w:val="FDFBB1DF"/>
    <w:rsid w:val="FDFBE1E8"/>
    <w:rsid w:val="FDFCA0DF"/>
    <w:rsid w:val="FDFE11D1"/>
    <w:rsid w:val="FDFE52B7"/>
    <w:rsid w:val="FDFF332D"/>
    <w:rsid w:val="FDFF696A"/>
    <w:rsid w:val="FDFF99B3"/>
    <w:rsid w:val="FE78B6DB"/>
    <w:rsid w:val="FE7B0555"/>
    <w:rsid w:val="FEA90743"/>
    <w:rsid w:val="FEAF1DD8"/>
    <w:rsid w:val="FED62A19"/>
    <w:rsid w:val="FEED9326"/>
    <w:rsid w:val="FEEF200A"/>
    <w:rsid w:val="FEF20CC6"/>
    <w:rsid w:val="FF0EC6B4"/>
    <w:rsid w:val="FF1E8BDA"/>
    <w:rsid w:val="FF3D5F7B"/>
    <w:rsid w:val="FF71A3DC"/>
    <w:rsid w:val="FF73BCF7"/>
    <w:rsid w:val="FF771AFC"/>
    <w:rsid w:val="FF7756E4"/>
    <w:rsid w:val="FF7FE00A"/>
    <w:rsid w:val="FFAA152C"/>
    <w:rsid w:val="FFABE7F9"/>
    <w:rsid w:val="FFB3D2A6"/>
    <w:rsid w:val="FFB79CD1"/>
    <w:rsid w:val="FFB858E7"/>
    <w:rsid w:val="FFBD01B8"/>
    <w:rsid w:val="FFBF5F5E"/>
    <w:rsid w:val="FFBF60A8"/>
    <w:rsid w:val="FFCF2B1B"/>
    <w:rsid w:val="FFECFC53"/>
    <w:rsid w:val="FFEE0758"/>
    <w:rsid w:val="FFEE20AB"/>
    <w:rsid w:val="FFEFD96C"/>
    <w:rsid w:val="FFEFE48F"/>
    <w:rsid w:val="FFF8D130"/>
    <w:rsid w:val="FFFBA0DA"/>
    <w:rsid w:val="FFFC4F61"/>
    <w:rsid w:val="FFFE3E1D"/>
    <w:rsid w:val="FFFF1C94"/>
    <w:rsid w:val="FFFF9275"/>
    <w:rsid w:val="FFFFB9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annotation text"/>
    <w:basedOn w:val="1"/>
    <w:qFormat/>
    <w:uiPriority w:val="0"/>
    <w:pPr>
      <w:jc w:val="left"/>
    </w:pPr>
  </w:style>
  <w:style w:type="paragraph" w:styleId="4">
    <w:name w:val="Body Text"/>
    <w:basedOn w:val="1"/>
    <w:next w:val="1"/>
    <w:link w:val="13"/>
    <w:qFormat/>
    <w:uiPriority w:val="0"/>
    <w:rPr>
      <w:rFonts w:ascii="Calibri" w:hAnsi="Calibri"/>
    </w:rPr>
  </w:style>
  <w:style w:type="paragraph" w:styleId="5">
    <w:name w:val="footer"/>
    <w:basedOn w:val="1"/>
    <w:next w:val="6"/>
    <w:qFormat/>
    <w:uiPriority w:val="99"/>
    <w:pPr>
      <w:tabs>
        <w:tab w:val="center" w:pos="4153"/>
        <w:tab w:val="right" w:pos="8306"/>
      </w:tabs>
      <w:snapToGrid w:val="0"/>
      <w:jc w:val="left"/>
    </w:pPr>
    <w:rPr>
      <w:sz w:val="18"/>
    </w:rPr>
  </w:style>
  <w:style w:type="paragraph" w:customStyle="1" w:styleId="6">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line="345" w:lineRule="atLeast"/>
      <w:jc w:val="left"/>
    </w:pPr>
    <w:rPr>
      <w:rFonts w:ascii="宋体" w:hAnsi="宋体" w:cs="宋体"/>
      <w:color w:val="333333"/>
      <w:kern w:val="0"/>
      <w:szCs w:val="21"/>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_Style 1"/>
    <w:basedOn w:val="1"/>
    <w:next w:val="1"/>
    <w:qFormat/>
    <w:uiPriority w:val="0"/>
    <w:pPr>
      <w:spacing w:before="0" w:beforeAutospacing="0" w:after="0"/>
      <w:ind w:firstLine="200" w:firstLineChars="200"/>
    </w:pPr>
    <w:rPr>
      <w:rFonts w:ascii="宋体" w:hAnsi="宋体" w:eastAsia="FangSong_GB2312" w:cs="Times New Roman"/>
      <w:sz w:val="32"/>
      <w:szCs w:val="32"/>
    </w:rPr>
  </w:style>
  <w:style w:type="character" w:customStyle="1" w:styleId="13">
    <w:name w:val="正文文本 字符"/>
    <w:basedOn w:val="11"/>
    <w:link w:val="4"/>
    <w:qFormat/>
    <w:uiPriority w:val="0"/>
    <w:rPr>
      <w:kern w:val="2"/>
      <w:sz w:val="21"/>
      <w:szCs w:val="22"/>
    </w:rPr>
  </w:style>
  <w:style w:type="paragraph" w:styleId="14">
    <w:name w:val="List Paragraph"/>
    <w:basedOn w:val="1"/>
    <w:qFormat/>
    <w:uiPriority w:val="99"/>
    <w:pPr>
      <w:ind w:firstLine="420" w:firstLineChars="200"/>
    </w:pPr>
  </w:style>
  <w:style w:type="paragraph" w:customStyle="1" w:styleId="15">
    <w:name w:val="文件正文"/>
    <w:basedOn w:val="5"/>
    <w:qFormat/>
    <w:uiPriority w:val="0"/>
    <w:pPr>
      <w:snapToGrid/>
      <w:spacing w:line="560" w:lineRule="exact"/>
      <w:ind w:firstLine="622" w:firstLineChars="200"/>
      <w:jc w:val="both"/>
    </w:pPr>
    <w:rPr>
      <w:rFonts w:ascii="仿宋_GB2312" w:hAnsi="仿宋_GB2312" w:eastAsia="仿宋_GB2312"/>
      <w:sz w:val="32"/>
      <w:szCs w:val="32"/>
    </w:rPr>
  </w:style>
  <w:style w:type="paragraph" w:customStyle="1" w:styleId="16">
    <w:name w:val="页脚1"/>
    <w:basedOn w:val="1"/>
    <w:qFormat/>
    <w:uiPriority w:val="0"/>
    <w:pPr>
      <w:tabs>
        <w:tab w:val="center" w:pos="4153"/>
        <w:tab w:val="right" w:pos="8306"/>
      </w:tabs>
      <w:snapToGrid w:val="0"/>
      <w:jc w:val="left"/>
    </w:pPr>
    <w:rPr>
      <w:sz w:val="18"/>
    </w:rPr>
  </w:style>
  <w:style w:type="character" w:customStyle="1" w:styleId="17">
    <w:name w:val="font81"/>
    <w:basedOn w:val="11"/>
    <w:qFormat/>
    <w:uiPriority w:val="0"/>
    <w:rPr>
      <w:rFonts w:hint="default" w:ascii="微软雅黑" w:hAnsi="微软雅黑" w:eastAsia="微软雅黑" w:cs="微软雅黑"/>
      <w:b/>
      <w:bCs/>
      <w:color w:val="000000"/>
      <w:sz w:val="22"/>
      <w:szCs w:val="22"/>
      <w:u w:val="none"/>
    </w:rPr>
  </w:style>
  <w:style w:type="character" w:customStyle="1" w:styleId="18">
    <w:name w:val="font131"/>
    <w:basedOn w:val="11"/>
    <w:qFormat/>
    <w:uiPriority w:val="0"/>
    <w:rPr>
      <w:rFonts w:hint="default" w:ascii="微软雅黑" w:hAnsi="微软雅黑" w:eastAsia="微软雅黑" w:cs="微软雅黑"/>
      <w:color w:val="000000"/>
      <w:sz w:val="22"/>
      <w:szCs w:val="22"/>
      <w:u w:val="none"/>
    </w:rPr>
  </w:style>
  <w:style w:type="character" w:customStyle="1" w:styleId="19">
    <w:name w:val="font01"/>
    <w:basedOn w:val="11"/>
    <w:qFormat/>
    <w:uiPriority w:val="0"/>
    <w:rPr>
      <w:rFonts w:hint="default" w:ascii="微软雅黑" w:hAnsi="微软雅黑" w:eastAsia="微软雅黑" w:cs="微软雅黑"/>
      <w:color w:val="FF0000"/>
      <w:sz w:val="22"/>
      <w:szCs w:val="22"/>
      <w:u w:val="none"/>
    </w:rPr>
  </w:style>
  <w:style w:type="character" w:customStyle="1" w:styleId="20">
    <w:name w:val="font61"/>
    <w:basedOn w:val="11"/>
    <w:qFormat/>
    <w:uiPriority w:val="0"/>
    <w:rPr>
      <w:rFonts w:hint="default" w:ascii="微软雅黑" w:hAnsi="微软雅黑" w:eastAsia="微软雅黑" w:cs="微软雅黑"/>
      <w:b/>
      <w:bCs/>
      <w:color w:val="FF0000"/>
      <w:sz w:val="22"/>
      <w:szCs w:val="22"/>
      <w:u w:val="none"/>
    </w:rPr>
  </w:style>
  <w:style w:type="character" w:customStyle="1" w:styleId="21">
    <w:name w:val="font91"/>
    <w:basedOn w:val="11"/>
    <w:qFormat/>
    <w:uiPriority w:val="0"/>
    <w:rPr>
      <w:rFonts w:hint="default" w:ascii="微软雅黑" w:hAnsi="微软雅黑" w:eastAsia="微软雅黑" w:cs="微软雅黑"/>
      <w:b/>
      <w:bCs/>
      <w:color w:val="000000"/>
      <w:sz w:val="20"/>
      <w:szCs w:val="20"/>
      <w:u w:val="none"/>
    </w:rPr>
  </w:style>
  <w:style w:type="character" w:customStyle="1" w:styleId="22">
    <w:name w:val="font141"/>
    <w:basedOn w:val="11"/>
    <w:qFormat/>
    <w:uiPriority w:val="0"/>
    <w:rPr>
      <w:rFonts w:hint="default" w:ascii="微软雅黑" w:hAnsi="微软雅黑" w:eastAsia="微软雅黑" w:cs="微软雅黑"/>
      <w:color w:val="000000"/>
      <w:sz w:val="20"/>
      <w:szCs w:val="20"/>
      <w:u w:val="none"/>
    </w:rPr>
  </w:style>
  <w:style w:type="character" w:customStyle="1" w:styleId="23">
    <w:name w:val="font15"/>
    <w:basedOn w:val="11"/>
    <w:qFormat/>
    <w:uiPriority w:val="0"/>
    <w:rPr>
      <w:rFonts w:hint="default"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19502</Words>
  <Characters>20548</Characters>
  <Lines>0</Lines>
  <Paragraphs>0</Paragraphs>
  <TotalTime>18</TotalTime>
  <ScaleCrop>false</ScaleCrop>
  <LinksUpToDate>false</LinksUpToDate>
  <CharactersWithSpaces>20654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2022-06-22T02:22:00Z</dcterms:created>
  <dc:creator>陈昕</dc:creator>
  <cp:lastModifiedBy>施成鸣铎</cp:lastModifiedBy>
  <cp:lastPrinted>2025-03-07T12:14:00Z</cp:lastPrinted>
  <dcterms:modified xsi:type="dcterms:W3CDTF">2025-05-29T12:05:09Z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4085318A49B76C590C0237681704597E</vt:lpwstr>
  </property>
  <property fmtid="{D5CDD505-2E9C-101B-9397-08002B2CF9AE}" pid="4" name="KSOTemplateDocerSaveRecord">
    <vt:lpwstr>eyJoZGlkIjoiNjMxOWE1NDk5OWU1MWE1Mjc0YWI2YWU2ZDgwMmYxZDIiLCJ1c2VySWQiOiIyNDUyMTAyNTEifQ==</vt:lpwstr>
  </property>
</Properties>
</file>