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6B81">
      <w:pPr>
        <w:spacing w:before="156" w:beforeLines="50" w:line="560" w:lineRule="exact"/>
        <w:outlineLvl w:val="1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附件1</w:t>
      </w:r>
    </w:p>
    <w:p w14:paraId="05CC9E1F">
      <w:pPr>
        <w:spacing w:line="560" w:lineRule="exact"/>
        <w:jc w:val="center"/>
        <w:outlineLvl w:val="1"/>
        <w:rPr>
          <w:rFonts w:hint="eastAsia" w:ascii="小标宋" w:hAnsi="小标宋" w:eastAsia="小标宋" w:cs="小标宋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sz w:val="44"/>
          <w:szCs w:val="44"/>
          <w:lang w:bidi="ar-SA"/>
        </w:rPr>
        <w:t>未来城市建设典型案例</w:t>
      </w:r>
    </w:p>
    <w:p w14:paraId="0F40F589">
      <w:pPr>
        <w:spacing w:line="560" w:lineRule="exact"/>
        <w:jc w:val="center"/>
        <w:outlineLvl w:val="1"/>
        <w:rPr>
          <w:rFonts w:hint="eastAsia" w:ascii="小标宋" w:hAnsi="小标宋" w:eastAsia="小标宋" w:cs="小标宋"/>
          <w:sz w:val="44"/>
          <w:szCs w:val="44"/>
          <w:lang w:bidi="ar-SA"/>
        </w:rPr>
      </w:pPr>
      <w:r>
        <w:rPr>
          <w:rFonts w:hint="eastAsia" w:ascii="小标宋" w:hAnsi="小标宋" w:eastAsia="小标宋" w:cs="小标宋"/>
          <w:sz w:val="44"/>
          <w:szCs w:val="44"/>
          <w:lang w:bidi="ar-SA"/>
        </w:rPr>
        <w:t>指标评价体系参考</w:t>
      </w:r>
    </w:p>
    <w:p w14:paraId="02E195D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-SA"/>
        </w:rPr>
      </w:pPr>
    </w:p>
    <w:p w14:paraId="5C4CF625">
      <w:pPr>
        <w:spacing w:line="560" w:lineRule="exact"/>
        <w:ind w:firstLine="640" w:firstLineChars="200"/>
        <w:outlineLvl w:val="2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一、申报要求</w:t>
      </w:r>
    </w:p>
    <w:p w14:paraId="0EAB04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未来城市建设典型案例征集分为好房子、好小区、好城区、未来公园、未来园区、未来城市中央活力区等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大维度。所有申报对象都应处于实际应用阶段，申报对象的应用领域、范围不限，但原则上投入使用时间不超过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（老旧小区改造项目除外）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。</w:t>
      </w:r>
    </w:p>
    <w:p w14:paraId="71CCA5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案例申报设立申报条件与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标准。申报条件为典型案例申报底线要求，满足条件方可参与征集。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标准可作为各级申报主体申报材料参考。此外，各维度典型案例可根据申报主体特色新增评价内容作为加分项，并提供相应评价资料，确保各案例最大程度凸显建设亮点，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未来城市建设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和新技术应用典型案例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征集和推广的目标。</w:t>
      </w:r>
    </w:p>
    <w:p w14:paraId="558BBEC0">
      <w:pPr>
        <w:spacing w:line="560" w:lineRule="exact"/>
        <w:ind w:firstLine="640" w:firstLineChars="200"/>
        <w:outlineLvl w:val="2"/>
        <w:rPr>
          <w:rFonts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二、申报条件和标准</w:t>
      </w:r>
    </w:p>
    <w:p w14:paraId="640D9906">
      <w:pPr>
        <w:spacing w:line="560" w:lineRule="exact"/>
        <w:ind w:firstLine="640" w:firstLineChars="200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-SA"/>
        </w:rPr>
        <w:t>（一）“好房子”建设典型案例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。</w:t>
      </w:r>
    </w:p>
    <w:p w14:paraId="5D72735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4306AD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“好房子”</w:t>
      </w:r>
      <w:bookmarkStart w:id="0" w:name="_Hlk171111633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建设典型案例申报范围包括居住建筑和公共建筑。其中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居住建筑包括城市商品房住宅、保障房住宅、装配式农房等，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公共建筑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包括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教育建筑、商业建筑、医疗建筑、体育建筑、交通建筑、办公建筑、科研建筑等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。</w:t>
      </w:r>
    </w:p>
    <w:bookmarkEnd w:id="0"/>
    <w:p w14:paraId="79A0BE1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08C32FF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bookmarkStart w:id="1" w:name="_Hlk171111652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“好房子”建设典型案例申报主体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业主、设计单位、项目开发商、运营管理单位等。运营管理单位作为申报主体需提供业主授权证明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。</w:t>
      </w:r>
    </w:p>
    <w:p w14:paraId="3F54C16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799992D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工程验收、消防验收时长满一年以上，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居住建筑的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绿色建筑等级达到一星以上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公共建筑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绿色建筑等级达到二星以上。</w:t>
      </w:r>
    </w:p>
    <w:p w14:paraId="1441400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4.评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306AA7FB"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健康舒适（15%）：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申报案例应满足采光、通风良好，温度湿度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适中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，适应岭南气候特征，层高适宜，性能完备，墙体隔音良好等要求。</w:t>
      </w:r>
    </w:p>
    <w:p w14:paraId="2F28772E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绿色低碳（15%）：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申报案例应满足建筑材料生产、建造过程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全生命周期使用过程符合低碳、近零碳标准，应用绿色材料，节能措施得当，建筑节水、节电、节气、节能等要求。</w:t>
      </w:r>
    </w:p>
    <w:p w14:paraId="38677C3D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安全耐久（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申报案例应满足场地安全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建筑本体安全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（包括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结构安全、抗震防灾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；设施设备安全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（包括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水电安全、燃气安全、电梯安全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；质量好、性能优、使用寿命长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，实行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全生命周期监测等要求。</w:t>
      </w:r>
    </w:p>
    <w:p w14:paraId="3AA10DBA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智慧便捷（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申报案例应满足家居智能，室内环境自动监测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（包括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温度、亮度、湿度、空气净度自动调节等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），设备（包括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门窗、照明、空调、室厅、厨卫等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智能控制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智慧管理、智能安防等要求。</w:t>
      </w:r>
    </w:p>
    <w:p w14:paraId="73390E45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人本宜居（15%）：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申报案例应满足全龄友好，生活便捷，出行便利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无障碍环境完善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等要求。</w:t>
      </w:r>
    </w:p>
    <w:p w14:paraId="397BF321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用户满意度（20%）：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申报案例应开展相关用户满意度调研，满意度得分良好，无不良投诉记录等。</w:t>
      </w:r>
    </w:p>
    <w:p w14:paraId="38465ACA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未来新技术应用（10%）：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申报案例提供全屋智能、低空经济、智慧养老、新型建材、智能建造、模块化建筑、能源技术、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节能降碳技术、绿色低碳技术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等技术应用情况。</w:t>
      </w:r>
    </w:p>
    <w:p w14:paraId="6173E5C7">
      <w:pPr>
        <w:spacing w:line="560" w:lineRule="exact"/>
        <w:ind w:firstLine="640" w:firstLineChars="200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-SA"/>
        </w:rPr>
        <w:t>（二）“好小区”建设典型案例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。</w:t>
      </w:r>
    </w:p>
    <w:p w14:paraId="7259DEF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bookmarkStart w:id="2" w:name="OLE_LINK3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419DB037">
      <w:pPr>
        <w:spacing w:line="560" w:lineRule="exact"/>
        <w:ind w:firstLine="640" w:firstLineChars="200"/>
        <w:rPr>
          <w:rFonts w:ascii="仿宋_GB2312" w:hAnsi="仿宋_GB2312" w:eastAsia="仿宋_GB2312" w:cs="仿宋_GB2312"/>
          <w:strike/>
          <w:sz w:val="32"/>
          <w:szCs w:val="32"/>
          <w:lang w:bidi="ar-SA"/>
        </w:rPr>
      </w:pPr>
      <w:bookmarkStart w:id="3" w:name="_Hlk171111706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“好小区”建设典型案例申报范围包括新建小区、老旧小区改造等实证项目</w:t>
      </w:r>
      <w:bookmarkEnd w:id="3"/>
      <w:r>
        <w:rPr>
          <w:rFonts w:ascii="仿宋_GB2312" w:hAnsi="仿宋_GB2312" w:eastAsia="仿宋_GB2312" w:cs="仿宋_GB2312"/>
          <w:sz w:val="32"/>
          <w:szCs w:val="32"/>
          <w:lang w:bidi="ar-SA"/>
        </w:rPr>
        <w:t>。</w:t>
      </w:r>
    </w:p>
    <w:p w14:paraId="21F8077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3D0EAE0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“好小区”建设典型案例</w:t>
      </w:r>
      <w:bookmarkStart w:id="4" w:name="_Hlk171111693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申报主体为业主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、物业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服务企业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、开发商、街道办事处（镇人民政府）、规划设计建设单位、社区居委会、基层党组织等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。</w:t>
      </w:r>
    </w:p>
    <w:p w14:paraId="1679929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5C9240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已建成投入使用，基本配套齐全，新建小区满足《城市居住区规划设计标准（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GB50180-2018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）》相关要求。</w:t>
      </w:r>
    </w:p>
    <w:p w14:paraId="7A5206D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0322409C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设施建设（15%）：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党群服务中心、养老托幼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设施、卫生服务设施、社区商业设施、体育健身设施、开放交往空间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等设施和空间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建设良好等要求。</w:t>
      </w:r>
    </w:p>
    <w:p w14:paraId="374D9858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环境营造（15%）：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申报案例应满足慢行系统完备、风雨连廊连续、立体绿化建设、园林景观设计、公共空间与公共绿地环境舒适等要求。</w:t>
      </w:r>
    </w:p>
    <w:p w14:paraId="29A74E0C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安全韧性（10%）：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申报案例应满足洪涝韧性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透水铺装、下沉式绿地、雨水花园、绿色屋顶等；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避难场所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，满足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消防安全，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微型消防站、消防通道、火灾自动报警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系统、电动自行车停放充电设施及配套充电安全管理系统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等；安防系统完备，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警务室、监控设施、安全监测指挥中心等要求。</w:t>
      </w:r>
    </w:p>
    <w:p w14:paraId="48A9AECA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运营治理（15%）：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申报案例应满足基层党组织建设、社区自治、共建共治共享、共同缔造治理高效等要求。</w:t>
      </w:r>
    </w:p>
    <w:p w14:paraId="5A77CC41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智慧服务（15%）：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申报案例应满足智慧物业服务平台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、B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IM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技术应用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、灾害事故预警系统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、智能安防系统服务高效等要求。</w:t>
      </w:r>
    </w:p>
    <w:p w14:paraId="2B016680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居民满意度（20%）：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申报案例应开展相关居民满意度调研，满意度得分良好，无不良投诉记录等。</w:t>
      </w:r>
    </w:p>
    <w:p w14:paraId="494383F3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未来新技术应用（10%）：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申报案例提供低空经济，无人配送等技术应用情况。</w:t>
      </w:r>
    </w:p>
    <w:bookmarkEnd w:id="2"/>
    <w:p w14:paraId="42ADA131">
      <w:pPr>
        <w:spacing w:line="560" w:lineRule="exact"/>
        <w:ind w:firstLine="640" w:firstLineChars="200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-SA"/>
        </w:rPr>
        <w:t>（三）“好城区”建设典型案例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。</w:t>
      </w:r>
    </w:p>
    <w:p w14:paraId="1A29892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1BA3229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bookmarkStart w:id="5" w:name="_Hlk171111767"/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“好城区”建设典型案例申报范围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一般为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空间尺度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在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5km</w:t>
      </w:r>
      <w:r>
        <w:rPr>
          <w:rFonts w:ascii="仿宋_GB2312" w:hAnsi="仿宋_GB2312" w:eastAsia="仿宋_GB2312" w:cs="仿宋_GB2312"/>
          <w:sz w:val="32"/>
          <w:szCs w:val="32"/>
          <w:vertAlign w:val="superscript"/>
          <w:lang w:bidi="ar-SA"/>
        </w:rPr>
        <w:t>2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以上城区、新区、重点片区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、县镇区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小于5km</w:t>
      </w:r>
      <w:r>
        <w:rPr>
          <w:rFonts w:ascii="仿宋_GB2312" w:hAnsi="仿宋_GB2312" w:eastAsia="仿宋_GB2312" w:cs="仿宋_GB2312"/>
          <w:sz w:val="32"/>
          <w:szCs w:val="32"/>
          <w:vertAlign w:val="superscript"/>
          <w:lang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的县城或镇区类项目可参照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“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好城区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”</w:t>
      </w:r>
      <w:r>
        <w:rPr>
          <w:rFonts w:ascii="仿宋_GB2312" w:hAnsi="仿宋_GB2312" w:eastAsia="仿宋_GB2312" w:cs="仿宋_GB2312"/>
          <w:sz w:val="32"/>
          <w:szCs w:val="32"/>
          <w:lang w:bidi="ar-SA"/>
        </w:rPr>
        <w:t>申报。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区域规模较大的，可将其部分区域作为申报范围。</w:t>
      </w:r>
    </w:p>
    <w:bookmarkEnd w:id="5"/>
    <w:p w14:paraId="2B034A0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4DDE74C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“好城区”建设典型案例申报主体为所申报城区、新区、重点片区、县城、镇区等的市级、区（县）级、镇街行政管理机构、管理委员会等。</w:t>
      </w:r>
    </w:p>
    <w:p w14:paraId="5797F39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461EDAD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为相对成熟的城市建成区，具备一定规模，可承担多种类型城市综合服务功能。</w:t>
      </w:r>
    </w:p>
    <w:p w14:paraId="33DAB4E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016163A7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活力宜居（15%）：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申报案例应满足全龄友好，职住平衡，交通便捷，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较高比例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蓝绿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空间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，空气质量、声环境、水环境良好，文体设施完备，经济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较高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等要求。</w:t>
      </w:r>
    </w:p>
    <w:p w14:paraId="3217F686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绿色低碳（15%）：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宜布局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绿色建筑、装配式建筑，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应满足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单位碳排放下降，清洁能源使用，建筑垃圾、生活垃圾资源化利用，环境污染治理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措施得当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并建立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城市能耗自动监测与预警系统等要求。</w:t>
      </w:r>
    </w:p>
    <w:p w14:paraId="2E8C24AD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安全韧性（10%）：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申报案例应满足防洪防涝安全，消防安全，防震安全，应急避难管理，道路安全，平急两用设施建设，AED覆盖等要求。</w:t>
      </w:r>
    </w:p>
    <w:p w14:paraId="4530BA5D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智慧高效（15%）：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申报案例应满足智慧交通，一网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统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管，智能管理，CIM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平台</w:t>
      </w: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、BIM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技术应用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，5G通讯覆盖等要求。</w:t>
      </w:r>
    </w:p>
    <w:p w14:paraId="40A0AFE9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人文岭南（15%）：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申报案例应满足历史文化保护，岭南特色挖掘，国际友好合作，旅游资源开发，风貌特色发扬，弱势群体关怀，住房保障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等要求。</w:t>
      </w:r>
    </w:p>
    <w:p w14:paraId="6508F868">
      <w:pPr>
        <w:numPr>
          <w:ilvl w:val="255"/>
          <w:numId w:val="0"/>
        </w:num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市民满意度（20%）：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申报案例应开展相关市民满意度调研，满意度情况良好，居民幸福感强等。</w:t>
      </w:r>
    </w:p>
    <w:p w14:paraId="64241949">
      <w:pPr>
        <w:numPr>
          <w:ilvl w:val="255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未来新理念、新技术、新场景应用（10%）：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申报案例提供低空经济、人工智能(含无人驾驶、车路协同)等技术应用情况。</w:t>
      </w:r>
    </w:p>
    <w:p w14:paraId="065CA417">
      <w:pPr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 w:bidi="ar-SA"/>
        </w:rPr>
        <w:t>四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）“未来公园”建设典型案例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1C023C8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136BDC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“未来公园”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建设典型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案例申报范围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包括综合公园（市级、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区级、居住区级）、专类公园（植物园、动物园、儿童公园、文化公园、体育公园、交通公园等）、花园（综合性花园、专类花园）等建设项目。</w:t>
      </w:r>
    </w:p>
    <w:p w14:paraId="0413679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3A034E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“未来公园”建设典型案例申报主体为区级行政主管部门、街道办、规划设计单位或运营管理单位等。</w:t>
      </w:r>
    </w:p>
    <w:p w14:paraId="38B39E2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4333C0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为近2年建成并已投入使用半年以上项目。</w:t>
      </w:r>
    </w:p>
    <w:p w14:paraId="3C06D8D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71F8348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生态可持续性（20%）：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申报案例应满足生态空间占比达65%以上，兼具生态保育、休闲游憩、文化展示、应急避险等核心功能，满足全龄段的使用人群需求。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 xml:space="preserve"> </w:t>
      </w:r>
    </w:p>
    <w:p w14:paraId="6CC0E31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绿色低碳（20%）：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推行全生命周期低碳管理，采用可再生能源（如太阳能路灯）、雨水花园、废弃物就地资源化等技术降低运维能耗；建立植物养护、设施维护的生态化标准，减少化学药剂使用，实现公园运营与自然节律的深度协同。</w:t>
      </w:r>
    </w:p>
    <w:p w14:paraId="59CDB44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智慧运维（20%）：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以数字化技术赋能公园管理，部署覆盖全园的智能感知设备与高速网络，实现环境数据（空气质量、噪音、水质等）实时监测与预警；提供智能导览、无障碍设施联动、应急呼叫等便民服务，打造“一码通享”的游客交互平台，提升公共服务便捷性与趣味性。</w:t>
      </w:r>
    </w:p>
    <w:p w14:paraId="24DA9B7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全龄友好（20%）：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多元复合的公共空间体系，满足儿童游乐、青年运动、老年康养等全龄需求；设计无障碍通行路径与安全设施，确保残障群体、孕妇等特殊人群平等使用；通过遮荫系统、休憩驿站、直饮水点等细节设计，提升空间包容性与舒适度。</w:t>
      </w:r>
    </w:p>
    <w:p w14:paraId="60F5849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文化激活（10%）：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挖掘场地历史文脉或地域特色，通过景观叙事（如文化地标、艺术装置）、沉浸式展览、非遗工坊等形式活化文化记忆；定期举办市民共创活动（自然教育、手工市集等），构建公园与社区的情感联结，塑造具有身份认同的精神地标。</w:t>
      </w:r>
    </w:p>
    <w:p w14:paraId="2E8D343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居民满意度（10%）：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和游客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的满意度调查，满意度测评情况良好。</w:t>
      </w:r>
    </w:p>
    <w:p w14:paraId="5FB20274">
      <w:pPr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 w:bidi="ar-SA"/>
        </w:rPr>
        <w:t>五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）“未来园区”建设典型案例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5F75938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504DDB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“未来园区”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建设典型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案例申报范围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包括工业园区、自贸园区、高新技术园区、创意产业园区等。</w:t>
      </w:r>
    </w:p>
    <w:p w14:paraId="78C2819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201735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“未来园区”建设典型案例申报主体为园区管理委员会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。</w:t>
      </w:r>
    </w:p>
    <w:p w14:paraId="0590812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446D39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为近2年建成并已投入使用半年以上项目。</w:t>
      </w:r>
    </w:p>
    <w:p w14:paraId="7298A41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7926FC3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绿色低碳（20%）：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申报案例需以生态优先为导向，构建可再生能源规模化应用体系，执行高星级绿色建筑标准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获得国家标识；建立贯穿全生命周期的碳中和路径，通过立体绿化、生物多样性修复、水资源循环利用等系统性工程，实现生态价值与低碳发展的协同增效。</w:t>
      </w:r>
    </w:p>
    <w:p w14:paraId="304D4C1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数字智慧（20%）：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以数字技术为基底，打造全域感知、泛在连接的通信网络与物联网基础设施，构建数据驱动的园区智能中枢；深化人工智能在能源、交通、安全等领域的场景融合，推动政务服务全流程数字化与数字孪生技术深度赋能，形成虚实共生的智慧运营模式。</w:t>
      </w:r>
    </w:p>
    <w:p w14:paraId="694DC08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创新活力（20%）：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申报案例应聚焦未来产业赛道，构建产学研用深度融合的创新生态，核心技术攻关与成果转化能力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较强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；培育高成长性企业集群，资本、人才、产业链协同机制</w:t>
      </w:r>
      <w:r>
        <w:rPr>
          <w:rFonts w:hint="eastAsia" w:ascii="仿宋_GB2312" w:hAnsi="仿宋_GB2312" w:cs="仿宋_GB2312"/>
          <w:sz w:val="32"/>
          <w:szCs w:val="32"/>
          <w:lang w:eastAsia="zh-CN" w:bidi="ar-SA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完善，形成具有全球竞争力的产业高地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。</w:t>
      </w:r>
    </w:p>
    <w:p w14:paraId="749252FA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人文宜居（20%）</w:t>
      </w:r>
      <w:r>
        <w:rPr>
          <w:rFonts w:hint="eastAsia" w:ascii="仿宋_GB2312" w:hAnsi="仿宋_GB2312" w:cs="仿宋_GB2312"/>
          <w:b/>
          <w:sz w:val="32"/>
          <w:szCs w:val="32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申报案例围绕人的全面发展需求，布局功能复合、便捷可达的公共服务网络，健全人才安居保障与全龄友好设施；以文化空间为载体，激发社群共创活力，打造包容多元、富有归属感的园区人文生态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。</w:t>
      </w:r>
    </w:p>
    <w:p w14:paraId="68DBB20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居民满意度（10%）：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申报案例应开展园区工作人员的满意度调查，满意度测评情况良好。</w:t>
      </w:r>
    </w:p>
    <w:p w14:paraId="57CC89D0">
      <w:pPr>
        <w:numPr>
          <w:ilvl w:val="255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未来新理念、新技术、新场景应用（10%）：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申报案例提供低空经济、人工智能(含无人驾驶、车路协同)等技术应用情况。</w:t>
      </w:r>
    </w:p>
    <w:p w14:paraId="70D33D82">
      <w:pPr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 w:bidi="ar-SA"/>
        </w:rPr>
        <w:t>六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bidi="ar-SA"/>
        </w:rPr>
        <w:t>）“未来城市中央活力区”建设典型案例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 w:bidi="ar-SA"/>
        </w:rPr>
        <w:t>。</w:t>
      </w:r>
    </w:p>
    <w:p w14:paraId="2EF91F4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1.申报范围</w:t>
      </w:r>
    </w:p>
    <w:p w14:paraId="1A3DD8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未来城市中央活力区”建设典型案例主要面向国家、省、市发展战略确定的城市主中心、副中心、城市更新片区等重点区域，具备较强的公共服务集聚度、综合功能承载力和示范带动效应。空间尺度一般为3-10km²。</w:t>
      </w:r>
    </w:p>
    <w:p w14:paraId="00AF0EA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2.申报主体</w:t>
      </w:r>
    </w:p>
    <w:p w14:paraId="6B8C214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“未来城市中央活力区”建设典型案例申报主体为申报地区所属的市级、区（县）级、镇街行政管理机构、管理委员会等；或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具有片区综合统筹实施能力的国有平台公司、城市投资公司等开发主体；鼓励多主体联合申报，政府或开发主体联合规划设计、研究咨询等专业机构共同申报。</w:t>
      </w:r>
    </w:p>
    <w:p w14:paraId="7F263D1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3.申报条件</w:t>
      </w:r>
    </w:p>
    <w:p w14:paraId="1A4C09C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为相对成熟的城市建成区，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以多元复合的产业空间为核心特征，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具备一定规模，可承担多种类型城市综合服务功能。</w:t>
      </w:r>
    </w:p>
    <w:p w14:paraId="1762984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4.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eastAsia="zh-CN" w:bidi="ar-SA"/>
        </w:rPr>
        <w:t>评价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bidi="ar-SA"/>
        </w:rPr>
        <w:t>标准</w:t>
      </w:r>
    </w:p>
    <w:p w14:paraId="165C5BAB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功能复合（20%）：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实现商务办公、科技创新、总部经济、居住、公共服务、文旅等功能融合发展。鼓励职住平衡、混合用地、垂直城市、生活圈、24h街区、TOD等精明增长理念实践，打造宜居、宜业、宜游的城市活动场景。</w:t>
      </w:r>
    </w:p>
    <w:p w14:paraId="3D2FC35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经济效率（15%）：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申报案例应集聚金融、总部经济、科技、旅游服务等高附加值产业，具备带动周边区域更新与产业转型的外溢效应。同时满足夜经济繁荣、企业入住率与就业密度高、创新孵化、投资活跃度良好等要求。</w:t>
      </w:r>
    </w:p>
    <w:p w14:paraId="1FA2E0D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文化特色（20%）：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申报案例应结合公共空间，打造多元文化设施集聚的公共服务体系，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塑造兼具未来感与在地性的标识性城市形象；鼓励通过数字技术打造沉浸式文化体验场景。举办大型节庆活动，提升地区文化影响力。</w:t>
      </w:r>
    </w:p>
    <w:p w14:paraId="4F870E0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绿色韧性（15%）：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申报案例应面向“碳中和”目标系统实施绿色低碳设计，从能源系统、建造方式、运营管理等方面实现全过程碳管理；构建生态基础设施网络，强化城市气候适应性；营造生态共生的城市空间，形成自然嵌入式、韧性友好的未来生活环境。</w:t>
      </w:r>
    </w:p>
    <w:p w14:paraId="0FC34829">
      <w:pPr>
        <w:numPr>
          <w:ilvl w:val="255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yellow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未来新理念、新技术、新场景应用（10%）：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应采用数字孪生、AI智能管理、BIM+GIS、无人化服务、自动驾驶测试系统等前沿理念和技术，打造未来城市发展的试验场，集成创新理念、前沿技术与新兴生活方式。</w:t>
      </w:r>
    </w:p>
    <w:p w14:paraId="056999B8">
      <w:pPr>
        <w:numPr>
          <w:ilvl w:val="255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>市民满意度（20%）：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申报案例应开展相关市民满意度调研，满意度情况良好，片区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-SA"/>
        </w:rPr>
        <w:t>使用频率和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参与活跃度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-SA"/>
        </w:rPr>
        <w:t>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-SA"/>
        </w:rPr>
        <w:t>，宜居性提升可感知度强，居民幸福感和获得感强等。</w:t>
      </w:r>
    </w:p>
    <w:p w14:paraId="7D6291B9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-SA"/>
        </w:rPr>
      </w:pPr>
      <w:bookmarkStart w:id="6" w:name="_GoBack"/>
      <w:bookmarkEnd w:id="6"/>
    </w:p>
    <w:p w14:paraId="4476D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7D20"/>
    <w:rsid w:val="32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2025-08-18T06:55:00Z</dcterms:created>
  <dc:creator>陌</dc:creator>
  <cp:lastModifiedBy>陌</cp:lastModifiedBy>
  <dcterms:modified xsi:type="dcterms:W3CDTF">2025-08-18T06:56:49Z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1D170C2372094AEC81E62B4276826012_11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