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B10" w:rsidRDefault="00126B10" w:rsidP="00126B1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126B10" w:rsidRDefault="00126B10" w:rsidP="00126B10">
      <w:pPr>
        <w:spacing w:line="560" w:lineRule="exact"/>
        <w:jc w:val="center"/>
        <w:rPr>
          <w:rFonts w:ascii="Times New Roman" w:eastAsia="方正小标宋简体" w:hAnsi="Times New Roman" w:cs="Times New Roman"/>
          <w:sz w:val="44"/>
          <w:szCs w:val="44"/>
        </w:rPr>
      </w:pPr>
    </w:p>
    <w:p w:rsidR="00126B10" w:rsidRDefault="00126B10" w:rsidP="00126B10">
      <w:pPr>
        <w:spacing w:line="560" w:lineRule="exact"/>
        <w:jc w:val="center"/>
        <w:rPr>
          <w:rFonts w:ascii="Times New Roman" w:eastAsia="楷体_GB2312" w:hAnsi="Times New Roman" w:cs="Times New Roman"/>
          <w:color w:val="000000"/>
          <w:sz w:val="32"/>
          <w:szCs w:val="32"/>
        </w:rPr>
      </w:pPr>
      <w:r>
        <w:rPr>
          <w:rFonts w:ascii="Times New Roman" w:eastAsia="方正小标宋简体" w:hAnsi="Times New Roman" w:cs="Times New Roman"/>
          <w:sz w:val="44"/>
          <w:szCs w:val="44"/>
        </w:rPr>
        <w:t>浙江省国际联合实验室</w:t>
      </w:r>
      <w:r>
        <w:rPr>
          <w:rFonts w:ascii="Times New Roman" w:eastAsia="方正小标宋简体" w:hAnsi="Times New Roman" w:cs="Times New Roman"/>
          <w:color w:val="000000"/>
          <w:sz w:val="44"/>
          <w:szCs w:val="44"/>
        </w:rPr>
        <w:t>管理办法</w:t>
      </w:r>
    </w:p>
    <w:p w:rsidR="00126B10" w:rsidRDefault="00126B10" w:rsidP="00126B10">
      <w:pPr>
        <w:overflowPunct w:val="0"/>
        <w:autoSpaceDE w:val="0"/>
        <w:spacing w:line="560" w:lineRule="exact"/>
        <w:jc w:val="center"/>
        <w:rPr>
          <w:rFonts w:ascii="Times New Roman" w:eastAsia="楷体_GB2312" w:hAnsi="Times New Roman" w:cs="Times New Roman"/>
          <w:sz w:val="32"/>
          <w:szCs w:val="32"/>
        </w:rPr>
      </w:pPr>
      <w:r>
        <w:rPr>
          <w:rFonts w:ascii="Times New Roman" w:eastAsia="楷体_GB2312" w:hAnsi="Times New Roman" w:cs="Times New Roman"/>
          <w:sz w:val="32"/>
          <w:szCs w:val="32"/>
        </w:rPr>
        <w:t>（征求意见稿）</w:t>
      </w:r>
    </w:p>
    <w:p w:rsidR="00126B10" w:rsidRDefault="00126B10" w:rsidP="00126B10">
      <w:pPr>
        <w:overflowPunct w:val="0"/>
        <w:spacing w:line="560" w:lineRule="exact"/>
        <w:jc w:val="center"/>
        <w:rPr>
          <w:rFonts w:ascii="Times New Roman" w:eastAsia="微软雅黑" w:hAnsi="Times New Roman" w:cs="Times New Roman"/>
          <w:color w:val="000000"/>
          <w:sz w:val="32"/>
          <w:szCs w:val="32"/>
        </w:rPr>
      </w:pPr>
    </w:p>
    <w:p w:rsidR="00126B10" w:rsidRDefault="00126B10" w:rsidP="00126B10">
      <w:pPr>
        <w:overflowPunct w:val="0"/>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第一章  总则</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为贯彻落实国家总体外交战略，服务支撑元首外交，推动高质量共建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，全面落实省委、省政府关于加快建设创新浙江、因地制宜发展</w:t>
      </w:r>
      <w:bookmarkStart w:id="0" w:name="_GoBack"/>
      <w:bookmarkEnd w:id="0"/>
      <w:r>
        <w:rPr>
          <w:rFonts w:ascii="Times New Roman" w:eastAsia="仿宋_GB2312" w:hAnsi="Times New Roman" w:cs="Times New Roman"/>
          <w:sz w:val="32"/>
          <w:szCs w:val="32"/>
        </w:rPr>
        <w:t>新质生产力和推进高水平对外开放、建设高能级开放强省部署要求，规范和加强</w:t>
      </w:r>
      <w:proofErr w:type="gramStart"/>
      <w:r>
        <w:rPr>
          <w:rFonts w:ascii="Times New Roman" w:eastAsia="仿宋_GB2312" w:hAnsi="Times New Roman" w:cs="Times New Roman"/>
          <w:sz w:val="32"/>
          <w:szCs w:val="32"/>
        </w:rPr>
        <w:t>省国际</w:t>
      </w:r>
      <w:proofErr w:type="gramEnd"/>
      <w:r>
        <w:rPr>
          <w:rFonts w:ascii="Times New Roman" w:eastAsia="仿宋_GB2312" w:hAnsi="Times New Roman" w:cs="Times New Roman"/>
          <w:sz w:val="32"/>
          <w:szCs w:val="32"/>
        </w:rPr>
        <w:t>联合实验室（以下简称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联合实验室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）的建设和运行管理，制定本办法。</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本办法所称联合实验室，是指由省科技厅按照我省国际科技合作总体规划布局设立，依托具备条件的省内高校、科研院所、企业等创新主体，与国（境）</w:t>
      </w:r>
      <w:proofErr w:type="gramStart"/>
      <w:r>
        <w:rPr>
          <w:rFonts w:ascii="Times New Roman" w:eastAsia="仿宋_GB2312" w:hAnsi="Times New Roman" w:cs="Times New Roman"/>
          <w:sz w:val="32"/>
          <w:szCs w:val="32"/>
        </w:rPr>
        <w:t>外相关</w:t>
      </w:r>
      <w:proofErr w:type="gramEnd"/>
      <w:r>
        <w:rPr>
          <w:rFonts w:ascii="Times New Roman" w:eastAsia="仿宋_GB2312" w:hAnsi="Times New Roman" w:cs="Times New Roman"/>
          <w:sz w:val="32"/>
          <w:szCs w:val="32"/>
        </w:rPr>
        <w:t>机构合作建设的省级科技创新平台基地。</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联合实验室的建设运行要坚持战略导向、任务导向，切实服务支撑国家总体外交大局和省委、省政府重点工作，着力打造最优开放创新生态，持续产出互利共赢合作成果，提升在全球的科技影响力和引领力。</w:t>
      </w:r>
    </w:p>
    <w:p w:rsidR="00126B10" w:rsidRDefault="00126B10" w:rsidP="00126B10">
      <w:pPr>
        <w:pStyle w:val="a4"/>
        <w:spacing w:after="0" w:line="560" w:lineRule="exact"/>
        <w:ind w:firstLine="210"/>
        <w:rPr>
          <w:rFonts w:ascii="Times New Roman" w:hAnsi="Times New Roman" w:cs="Times New Roman"/>
        </w:rPr>
      </w:pPr>
    </w:p>
    <w:p w:rsidR="00126B10" w:rsidRDefault="00126B10" w:rsidP="00126B10">
      <w:pPr>
        <w:overflowPunct w:val="0"/>
        <w:spacing w:line="560" w:lineRule="exact"/>
        <w:jc w:val="center"/>
        <w:rPr>
          <w:rFonts w:ascii="黑体" w:eastAsia="黑体" w:hAnsi="黑体" w:cs="黑体"/>
          <w:color w:val="000000"/>
          <w:sz w:val="32"/>
          <w:szCs w:val="32"/>
        </w:rPr>
      </w:pPr>
      <w:r>
        <w:rPr>
          <w:rFonts w:ascii="黑体" w:eastAsia="黑体" w:hAnsi="黑体" w:cs="黑体"/>
          <w:color w:val="000000"/>
          <w:sz w:val="32"/>
          <w:szCs w:val="32"/>
        </w:rPr>
        <w:t>第二章  功能定位</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联合实验室是统筹开展高水平联合研究、高层次人才交流、高质量成果转化的国际科技合作载体，是打造</w:t>
      </w:r>
      <w:r>
        <w:rPr>
          <w:rFonts w:ascii="Times New Roman" w:eastAsia="仿宋_GB2312" w:hAnsi="Times New Roman" w:cs="Times New Roman"/>
          <w:sz w:val="32"/>
          <w:szCs w:val="32"/>
        </w:rPr>
        <w:lastRenderedPageBreak/>
        <w:t>国际化科研生态、构建浙江特色科技创新开放环境的重要平台，是加快融入全球创新网络、引领全球科技治理的关键力量。</w:t>
      </w:r>
    </w:p>
    <w:p w:rsidR="00126B10" w:rsidRDefault="00126B10" w:rsidP="00126B10">
      <w:pPr>
        <w:overflowPunct w:val="0"/>
        <w:spacing w:line="560" w:lineRule="exact"/>
        <w:ind w:firstLineChars="200" w:firstLine="640"/>
        <w:rPr>
          <w:rFonts w:ascii="Times New Roman" w:eastAsia="仿宋_GB2312" w:hAnsi="Times New Roman" w:cs="Times New Roman"/>
          <w:b/>
          <w:bCs/>
          <w:sz w:val="32"/>
          <w:szCs w:val="32"/>
        </w:rPr>
      </w:pPr>
      <w:r>
        <w:rPr>
          <w:rFonts w:ascii="Times New Roman" w:eastAsia="黑体" w:hAnsi="Times New Roman" w:cs="Times New Roman"/>
          <w:sz w:val="32"/>
          <w:szCs w:val="32"/>
        </w:rPr>
        <w:t>第五条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联合实验室建设的重点任务包括：</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（一）服务国家总体外交大局。根据国家总体外交战略，推动与重点区域、国家的科技合作，贡献一批务实合作成果与特色亮点案例，为服务中国特色大国外交注入动能。</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（二）产出高水平联合研究成果。聚焦</w:t>
      </w:r>
      <w:r>
        <w:rPr>
          <w:rFonts w:ascii="Times New Roman" w:eastAsia="仿宋_GB2312" w:hAnsi="Times New Roman" w:cs="Times New Roman"/>
          <w:sz w:val="32"/>
          <w:szCs w:val="32"/>
        </w:rPr>
        <w:t>“315”</w:t>
      </w:r>
      <w:r>
        <w:rPr>
          <w:rFonts w:ascii="Times New Roman" w:eastAsia="仿宋_GB2312" w:hAnsi="Times New Roman" w:cs="Times New Roman"/>
          <w:sz w:val="32"/>
          <w:szCs w:val="32"/>
        </w:rPr>
        <w:t>科技创新体系，对</w:t>
      </w:r>
      <w:proofErr w:type="gramStart"/>
      <w:r>
        <w:rPr>
          <w:rFonts w:ascii="Times New Roman" w:eastAsia="仿宋_GB2312" w:hAnsi="Times New Roman" w:cs="Times New Roman"/>
          <w:sz w:val="32"/>
          <w:szCs w:val="32"/>
        </w:rPr>
        <w:t>标全球</w:t>
      </w:r>
      <w:proofErr w:type="gramEnd"/>
      <w:r>
        <w:rPr>
          <w:rFonts w:ascii="Times New Roman" w:eastAsia="仿宋_GB2312" w:hAnsi="Times New Roman" w:cs="Times New Roman"/>
          <w:sz w:val="32"/>
          <w:szCs w:val="32"/>
        </w:rPr>
        <w:t>顶尖创新机构、高端创新平台，集聚创新资源，推进双方共同关注的优先领域联合开展高水平科学研究和产业前沿共性关键技术研发。</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（三）畅通科技人才交流渠道。通过联合培养、学术研讨、短期培训、访问交流等形式，与海外合作伙伴共同培养高水平、国际化的科研与管理人才。</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（四）引领产业</w:t>
      </w:r>
      <w:proofErr w:type="gramStart"/>
      <w:r>
        <w:rPr>
          <w:rFonts w:ascii="Times New Roman" w:eastAsia="仿宋_GB2312" w:hAnsi="Times New Roman" w:cs="Times New Roman"/>
          <w:sz w:val="32"/>
          <w:szCs w:val="32"/>
        </w:rPr>
        <w:t>链全球</w:t>
      </w:r>
      <w:proofErr w:type="gramEnd"/>
      <w:r>
        <w:rPr>
          <w:rFonts w:ascii="Times New Roman" w:eastAsia="仿宋_GB2312" w:hAnsi="Times New Roman" w:cs="Times New Roman"/>
          <w:sz w:val="32"/>
          <w:szCs w:val="32"/>
        </w:rPr>
        <w:t>合作。聚焦我省培育发展新质生产力的需求，优化整合与配置全球研发资源，通过技术合作、标准互通、规则对接，支撑构建国际竞争力强、安全韧性强的浙江特色现代化产业体系。</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推动与共建国家民心相通。加强我省优势领域先进适用技术、合作模式等示范和推广，促进技术转移、成果转化以及创新资源开放共享，有效提升共建国家在科研能力、产业发展、民生改善等方面的合作获得感。</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（六）构建科技创新开放环境。在符合国家政策规定的前提下，稳妥推进科研信息、科学数据、科研用物品、科研</w:t>
      </w:r>
      <w:r>
        <w:rPr>
          <w:rFonts w:ascii="Times New Roman" w:eastAsia="仿宋_GB2312" w:hAnsi="Times New Roman" w:cs="Times New Roman"/>
          <w:sz w:val="32"/>
          <w:szCs w:val="32"/>
        </w:rPr>
        <w:lastRenderedPageBreak/>
        <w:t>人员等跨境流动路径，积极参与和发起国际科技组织，建设国际化科研环境。</w:t>
      </w:r>
    </w:p>
    <w:p w:rsidR="00126B10" w:rsidRDefault="00126B10" w:rsidP="00126B10">
      <w:pPr>
        <w:overflowPunct w:val="0"/>
        <w:spacing w:line="560" w:lineRule="exact"/>
        <w:ind w:firstLineChars="200" w:firstLine="640"/>
        <w:rPr>
          <w:rFonts w:ascii="Times New Roman" w:eastAsia="仿宋_GB2312" w:hAnsi="Times New Roman" w:cs="Times New Roman"/>
          <w:b/>
          <w:bCs/>
          <w:sz w:val="32"/>
          <w:szCs w:val="32"/>
        </w:rPr>
      </w:pPr>
      <w:r>
        <w:rPr>
          <w:rFonts w:ascii="Times New Roman" w:eastAsia="黑体" w:hAnsi="Times New Roman" w:cs="Times New Roman"/>
          <w:sz w:val="32"/>
          <w:szCs w:val="32"/>
        </w:rPr>
        <w:t>第六条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联合实验室可根据合作对象、合作内容、合作基础，选择不同的模式开展深入合作，主要包括以下类别：</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（一）前沿技术研究类。重点聚焦基础前沿和高技术领域，与全球顶尖的科研机构开展联合研发和人才培养，力争取得一批具有国际影响力的重大原创成果，积极抢占科技制高点。</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（二）产业协同创新类。重点聚焦我省产业发展需求，通过项目合作、技术转移、成果转化、人才交流、研发体系共享等方式，优化全球研发资源的整合与配置，助</w:t>
      </w:r>
      <w:proofErr w:type="gramStart"/>
      <w:r>
        <w:rPr>
          <w:rFonts w:ascii="Times New Roman" w:eastAsia="仿宋_GB2312" w:hAnsi="Times New Roman" w:cs="Times New Roman"/>
          <w:sz w:val="32"/>
          <w:szCs w:val="32"/>
        </w:rPr>
        <w:t>推相关</w:t>
      </w:r>
      <w:proofErr w:type="gramEnd"/>
      <w:r>
        <w:rPr>
          <w:rFonts w:ascii="Times New Roman" w:eastAsia="仿宋_GB2312" w:hAnsi="Times New Roman" w:cs="Times New Roman"/>
          <w:sz w:val="32"/>
          <w:szCs w:val="32"/>
        </w:rPr>
        <w:t>产业在全球价值链的跃升。</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民生改善促进类。重点聚焦卫生健康、气候变化、粮食安全、生态环境、减贫、可持续发展等全球共同关注的共识领域，开展技术合作与应用示范、技术培训等，推动形成共享可及的高水平合作成果，有效应对全球性挑战。</w:t>
      </w:r>
    </w:p>
    <w:p w:rsidR="00126B10" w:rsidRDefault="00126B10" w:rsidP="00126B10">
      <w:pPr>
        <w:pStyle w:val="a4"/>
        <w:spacing w:after="0" w:line="560" w:lineRule="exact"/>
        <w:ind w:firstLine="210"/>
        <w:rPr>
          <w:rFonts w:ascii="Times New Roman" w:hAnsi="Times New Roman" w:cs="Times New Roman"/>
        </w:rPr>
      </w:pPr>
    </w:p>
    <w:p w:rsidR="00126B10" w:rsidRDefault="00126B10" w:rsidP="00126B10">
      <w:pPr>
        <w:overflowPunct w:val="0"/>
        <w:spacing w:line="560" w:lineRule="exact"/>
        <w:jc w:val="center"/>
        <w:rPr>
          <w:rFonts w:ascii="黑体" w:eastAsia="黑体" w:hAnsi="黑体" w:cs="黑体"/>
          <w:sz w:val="32"/>
          <w:szCs w:val="32"/>
        </w:rPr>
      </w:pPr>
      <w:r>
        <w:rPr>
          <w:rFonts w:ascii="黑体" w:eastAsia="黑体" w:hAnsi="黑体" w:cs="黑体" w:hint="eastAsia"/>
          <w:sz w:val="32"/>
          <w:szCs w:val="32"/>
        </w:rPr>
        <w:t>第三章  建设条件与认定程序</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联合实验室的建设条件：</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（一）中方依托单位应为浙江省内注册、具有独立法人资格的高校、科研机构、企业等创新主体，具备较强的科研实力和开展国际合作的基础，配备必要的科研团队、场地、设施、经费等条件保障。</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（二）外方依托单位应为具有独立法人资格的高校、科</w:t>
      </w:r>
      <w:r>
        <w:rPr>
          <w:rFonts w:ascii="Times New Roman" w:eastAsia="仿宋_GB2312" w:hAnsi="Times New Roman" w:cs="Times New Roman"/>
          <w:sz w:val="32"/>
          <w:szCs w:val="32"/>
        </w:rPr>
        <w:lastRenderedPageBreak/>
        <w:t>研机构、企业等创新主体，在所在国范围内具备较强的科研实力和特色优势，能为联合实验室提供必要的科研团队、场地、设施、经费等条件保障，具备开展国际合作的基础和能力。</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原则上依托一个中方法人单位和一个外方法人单位牵头建设。中外方依托单位应当具备长期稳定的合作基础，已产出良好的合作成效。就联合实验室建设目标、重点任务、责任分工、利益分配、运行机制、保障措施、知识产权归属等达成一致，并由双方法人依托单位签署共建联合实验室的合作文件。</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（四）联合实验室应有明确的合作领域和方向，建立规范的知识产权、数据跨境、科研伦理、保密等运行管理制度，具备完善的科技安全预警监测和评估应对机制与能力。</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第八条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省科技厅负责组织申报评审，择优认定联合实验室。</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申报推荐。联合实验室由中方依托单位根据工作通知提出申报。各设区市科技主管部门及中方依托单位的归口管理部门作为组织推荐部门，按程序向省科技厅报送推荐建议。探索将面向特定区域、国别的专业合作交流及服务机构纳入推荐部门。</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（二）形式审查。省科技厅对申报材料进行形式审查，对要素齐全、符合建设条件的，审查通过并进入评审程序；对要素不齐全或不符合建设条件的，一次性告知需补全的内容，在规定时间内未补报或经</w:t>
      </w:r>
      <w:proofErr w:type="gramStart"/>
      <w:r>
        <w:rPr>
          <w:rFonts w:ascii="Times New Roman" w:eastAsia="仿宋_GB2312" w:hAnsi="Times New Roman" w:cs="Times New Roman"/>
          <w:sz w:val="32"/>
          <w:szCs w:val="32"/>
        </w:rPr>
        <w:t>补报仍</w:t>
      </w:r>
      <w:proofErr w:type="gramEnd"/>
      <w:r>
        <w:rPr>
          <w:rFonts w:ascii="Times New Roman" w:eastAsia="仿宋_GB2312" w:hAnsi="Times New Roman" w:cs="Times New Roman"/>
          <w:sz w:val="32"/>
          <w:szCs w:val="32"/>
        </w:rPr>
        <w:t>不符合要求的，不予通</w:t>
      </w:r>
      <w:r>
        <w:rPr>
          <w:rFonts w:ascii="Times New Roman" w:eastAsia="仿宋_GB2312" w:hAnsi="Times New Roman" w:cs="Times New Roman"/>
          <w:sz w:val="32"/>
          <w:szCs w:val="32"/>
        </w:rPr>
        <w:lastRenderedPageBreak/>
        <w:t>过。</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（三）基础核定。对通过形式审查进入评审程序的，省科技厅围绕基础条件、科研合作、人才交流、资源共享等维度就双方以往合作基础和成果进行核定。</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（四）专家论证。省科技厅组织专家对申报的联合实验室进行评价，主要从战略意义、基本条件、合作基础、研究内容、人才团队、保障措施、影响力等方面进行评价。</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（五）发文认定。参考基础核定、专家论证意见，综合考虑国别和领域区域布局，以及对外交往工作需要，研究提出拟认定的联合实验室建议名单，经决策程序后，由省科技厅发文认定。</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第九条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对承担落实重大元首外交任务、列入科技外交重点合作事项、服务省委、省政府重点合作项目等，且省内优势单位明确的，可采取主动布局的形式，经专家论证后予以认定。</w:t>
      </w:r>
    </w:p>
    <w:p w:rsidR="00126B10" w:rsidRDefault="00126B10" w:rsidP="00126B10">
      <w:pPr>
        <w:overflowPunct w:val="0"/>
        <w:spacing w:line="560" w:lineRule="exact"/>
        <w:jc w:val="center"/>
        <w:rPr>
          <w:rFonts w:ascii="Times New Roman" w:eastAsia="微软雅黑" w:hAnsi="Times New Roman" w:cs="Times New Roman"/>
          <w:sz w:val="32"/>
          <w:szCs w:val="32"/>
        </w:rPr>
      </w:pPr>
    </w:p>
    <w:p w:rsidR="00126B10" w:rsidRDefault="00126B10" w:rsidP="00126B10">
      <w:pPr>
        <w:overflowPunct w:val="0"/>
        <w:spacing w:line="560" w:lineRule="exact"/>
        <w:jc w:val="center"/>
        <w:rPr>
          <w:rFonts w:ascii="黑体" w:eastAsia="黑体" w:hAnsi="黑体" w:cs="黑体"/>
          <w:sz w:val="32"/>
          <w:szCs w:val="32"/>
        </w:rPr>
      </w:pPr>
      <w:r>
        <w:rPr>
          <w:rFonts w:ascii="黑体" w:eastAsia="黑体" w:hAnsi="黑体" w:cs="黑体" w:hint="eastAsia"/>
          <w:sz w:val="32"/>
          <w:szCs w:val="32"/>
        </w:rPr>
        <w:t>第四章  运行与管理</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联合实验室的中方依托单位是建设运行与管理的主体，承担主体责任，应当落实建设运行所需的各项保障条件，给予适当的经费支持，建立完善管理运行制度，建立与外方依托单位长效合作机制，组建与省级科技创新平台基地高水平建设运行相匹配的管理和工作团队。</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联合实验室应按照实体化的要求，在人员、经费、资产、管理制度等方面做到相对独立，实体化程度纳</w:t>
      </w:r>
      <w:r>
        <w:rPr>
          <w:rFonts w:ascii="Times New Roman" w:eastAsia="仿宋_GB2312" w:hAnsi="Times New Roman" w:cs="Times New Roman"/>
          <w:sz w:val="32"/>
          <w:szCs w:val="32"/>
        </w:rPr>
        <w:lastRenderedPageBreak/>
        <w:t>入遴选评审和绩效评价的重要内容。原则上不得设立分中心或基地等。</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联合实验室主任应具有较高的科研水平、组织管理能力和丰富的国际科技合作经验，要保证全职（全时）开展科研工作。要建立结构合理、成员稳定的核心团队，确保专人从事联合实验室日常管理工作。</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联合实验室实行年报制度，认定满一年的联合实验室应于每年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日前提交上一年度报告，并作为后续绩效评价的重要依据。</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合实验室在运行过程中如发生中外方负责人、管理人员、名称、主要任务或其它影响正常运行的重大事项变更的，应于变更事项发生一个月内提交变更申请，经组织推荐部门审核同意后报送省科技厅，省科技厅审核通过后完成变更。未经审批或审批不通过的，不得擅自调整。</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以下情况原则上不予调整：</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（一）变更合作国家。</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（二）变更中方依托单位。</w:t>
      </w:r>
    </w:p>
    <w:p w:rsidR="00126B10" w:rsidRDefault="00126B10" w:rsidP="00126B10">
      <w:pPr>
        <w:overflowPunct w:val="0"/>
        <w:snapToGrid w:val="0"/>
        <w:spacing w:line="560" w:lineRule="exact"/>
        <w:ind w:firstLineChars="200" w:firstLine="640"/>
        <w:rPr>
          <w:rFonts w:ascii="Times New Roman" w:hAnsi="Times New Roman" w:cs="Times New Roman"/>
        </w:rPr>
      </w:pPr>
      <w:r>
        <w:rPr>
          <w:rFonts w:ascii="Times New Roman" w:eastAsia="仿宋_GB2312" w:hAnsi="Times New Roman" w:cs="Times New Roman"/>
          <w:sz w:val="32"/>
          <w:szCs w:val="32"/>
        </w:rPr>
        <w:t>（三）变更外方依托单位。</w:t>
      </w:r>
    </w:p>
    <w:p w:rsidR="00126B10" w:rsidRDefault="00126B10" w:rsidP="00126B10">
      <w:pPr>
        <w:pStyle w:val="a4"/>
        <w:spacing w:after="0" w:line="560" w:lineRule="exact"/>
        <w:ind w:firstLine="210"/>
        <w:rPr>
          <w:rFonts w:ascii="Times New Roman" w:hAnsi="Times New Roman" w:cs="Times New Roman"/>
          <w:lang w:val="zh-CN"/>
        </w:rPr>
      </w:pPr>
    </w:p>
    <w:p w:rsidR="00126B10" w:rsidRDefault="00126B10" w:rsidP="00126B10">
      <w:pPr>
        <w:overflowPunct w:val="0"/>
        <w:spacing w:line="560" w:lineRule="exact"/>
        <w:jc w:val="center"/>
        <w:rPr>
          <w:rFonts w:ascii="黑体" w:eastAsia="黑体" w:hAnsi="黑体" w:cs="黑体"/>
          <w:sz w:val="32"/>
          <w:szCs w:val="32"/>
        </w:rPr>
      </w:pPr>
      <w:r>
        <w:rPr>
          <w:rFonts w:ascii="黑体" w:eastAsia="黑体" w:hAnsi="黑体" w:cs="黑体"/>
          <w:sz w:val="32"/>
          <w:szCs w:val="32"/>
        </w:rPr>
        <w:t>第五章  绩效评价与动态调整</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第十六条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省科技厅定期组织对联合实验室开展绩效评价。各组织推荐部门应切实履行好归口管理职责，监督联合实验室工作，及时了解联合实验室建设运行情况，指导其健康发展。</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第十七条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绩效评价结果分为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优秀、合格、不合格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三类。对评价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的联合实验室，以合适的方式进行提醒督促，组织推荐部门应强化支持与指导，明确优化提升方案。连续两次评价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，取消联合实验室资格，三年内不得再次申报。</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经推荐被认定为国家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一带一路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联合实验室的，不再作为联合实验室管理，按照科技部相关办法进行管理和支持。</w:t>
      </w:r>
    </w:p>
    <w:p w:rsidR="00126B10" w:rsidRDefault="00126B10" w:rsidP="00126B10">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第十九条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如发生不可抗力或其它因素，导致联合实验室不适宜继续运行的，中方依托单位可按程序申请主动退出联合实验室序列，经审批后，不再作为联合实验室管理。</w:t>
      </w:r>
    </w:p>
    <w:p w:rsidR="00126B10" w:rsidRDefault="00126B10" w:rsidP="00126B10">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出现以下情形的，取消联合实验室资格，三年内不得再次申报：</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（一）无正当理由不按时填写年度报告，且在绩效评价期间未补充提交相关资料。</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（二）连续两次绩效评价结果为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（三）被发现在申报、提交年度报告或绩效评价材料过程中提供虚假信息。</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（四）发生重大外交事故，或出现影响科技安全的有关行为，并造成严重影响及后果的，如关键技术、设备、信息、数据的泄露与滥用、违背科研诚信和科技伦理等。</w:t>
      </w:r>
    </w:p>
    <w:p w:rsidR="00126B10" w:rsidRDefault="00126B10" w:rsidP="00126B10">
      <w:pPr>
        <w:overflowPunct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（五）重大事项变更未及时申请，影响联合实验室正常运行。</w:t>
      </w:r>
    </w:p>
    <w:p w:rsidR="00126B10" w:rsidRDefault="00126B10" w:rsidP="00126B10">
      <w:pPr>
        <w:pStyle w:val="a4"/>
        <w:spacing w:after="0" w:line="560" w:lineRule="exact"/>
        <w:ind w:firstLineChars="200" w:firstLine="640"/>
        <w:rPr>
          <w:rFonts w:ascii="Times New Roman" w:hAnsi="Times New Roman" w:cs="Times New Roman"/>
        </w:rPr>
      </w:pPr>
      <w:r>
        <w:rPr>
          <w:rFonts w:ascii="Times New Roman" w:eastAsia="仿宋_GB2312" w:hAnsi="Times New Roman" w:cs="Times New Roman"/>
          <w:sz w:val="32"/>
          <w:szCs w:val="32"/>
        </w:rPr>
        <w:t>（六）其它不宜继续作为联合实验室存续的情形。</w:t>
      </w:r>
    </w:p>
    <w:p w:rsidR="00126B10" w:rsidRDefault="00126B10" w:rsidP="00126B10">
      <w:pPr>
        <w:overflowPunct w:val="0"/>
        <w:spacing w:line="560" w:lineRule="exact"/>
        <w:jc w:val="center"/>
        <w:rPr>
          <w:rFonts w:ascii="Times New Roman" w:eastAsia="微软雅黑" w:hAnsi="Times New Roman" w:cs="Times New Roman"/>
          <w:sz w:val="32"/>
          <w:szCs w:val="32"/>
          <w:lang w:val="zh-CN" w:bidi="zh-CN"/>
        </w:rPr>
      </w:pPr>
    </w:p>
    <w:p w:rsidR="00126B10" w:rsidRDefault="00126B10" w:rsidP="00126B10">
      <w:pPr>
        <w:overflowPunct w:val="0"/>
        <w:spacing w:line="560" w:lineRule="exact"/>
        <w:jc w:val="center"/>
        <w:rPr>
          <w:rFonts w:ascii="黑体" w:eastAsia="黑体" w:hAnsi="黑体" w:cs="黑体"/>
          <w:sz w:val="32"/>
          <w:szCs w:val="32"/>
        </w:rPr>
      </w:pPr>
      <w:r>
        <w:rPr>
          <w:rFonts w:ascii="黑体" w:eastAsia="黑体" w:hAnsi="黑体" w:cs="黑体"/>
          <w:sz w:val="32"/>
          <w:szCs w:val="32"/>
          <w:lang w:val="zh-CN"/>
        </w:rPr>
        <w:t>第六章  支持措施</w:t>
      </w:r>
    </w:p>
    <w:p w:rsidR="00126B10" w:rsidRDefault="00126B10" w:rsidP="00126B10">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第二十一条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对绩效评价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的联合实验室，按照《浙江省科技发展专项资金管理办法》相关规定给予适当奖励。奖励经费用于联合实验室自主开展国际科技合作项目支出，项目实施情况及成效作为下一轮联合实验室绩效评价的重点内容。</w:t>
      </w:r>
    </w:p>
    <w:p w:rsidR="00126B10" w:rsidRDefault="00126B10" w:rsidP="00126B10">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第二十二条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积极推荐联合实验室申报国家重点研发计划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政府间国际科技创新合作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战略性科技创新合作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重点专项项目，支持联合实验室承担省级科技合作任务。</w:t>
      </w:r>
    </w:p>
    <w:p w:rsidR="00126B10" w:rsidRDefault="00126B10" w:rsidP="00126B10">
      <w:pPr>
        <w:pStyle w:val="a4"/>
        <w:spacing w:after="0" w:line="560" w:lineRule="exact"/>
        <w:ind w:left="0"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方依托单位应当落实明确的支持政策和投入措施，保障联合实验室的正常运行。鼓励组织推荐部门整合资源，为联合实验室提供建设运行所需的政策、经费等保障措施。组织推荐部门、中方依托单位为联合实验室所提供的配套政策和资金投入，纳入绩效评价重点内容。</w:t>
      </w:r>
    </w:p>
    <w:p w:rsidR="00126B10" w:rsidRDefault="00126B10" w:rsidP="00126B10">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第二十四条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中方依托单位应优化本单位的对外交流合作管理机制，在符合国家、省有关政策规定的前提下，在经费使用、成果处置、设备共享、人员出访、互联网跨境通道等方面给予联合实验室更大的支持。</w:t>
      </w:r>
    </w:p>
    <w:p w:rsidR="00126B10" w:rsidRDefault="00126B10" w:rsidP="00126B10">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第二十五条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对联合实验室取得的重大合作成果，省科技厅积极推荐纳入我国和相关国家政府间科技合作联委会机制、推荐列入我省重大外事合作事项。</w:t>
      </w:r>
    </w:p>
    <w:p w:rsidR="00126B10" w:rsidRDefault="00126B10" w:rsidP="00126B10">
      <w:pPr>
        <w:overflowPunct w:val="0"/>
        <w:spacing w:line="560" w:lineRule="exact"/>
        <w:jc w:val="center"/>
        <w:rPr>
          <w:rFonts w:ascii="Times New Roman" w:eastAsia="微软雅黑" w:hAnsi="Times New Roman" w:cs="Times New Roman"/>
          <w:sz w:val="32"/>
          <w:szCs w:val="32"/>
        </w:rPr>
      </w:pPr>
    </w:p>
    <w:p w:rsidR="00126B10" w:rsidRDefault="00126B10" w:rsidP="00126B10">
      <w:pPr>
        <w:overflowPunct w:val="0"/>
        <w:spacing w:line="560" w:lineRule="exact"/>
        <w:jc w:val="center"/>
        <w:rPr>
          <w:rFonts w:ascii="黑体" w:eastAsia="黑体" w:hAnsi="黑体" w:cs="黑体"/>
          <w:sz w:val="32"/>
          <w:szCs w:val="32"/>
        </w:rPr>
      </w:pPr>
      <w:r>
        <w:rPr>
          <w:rFonts w:ascii="黑体" w:eastAsia="黑体" w:hAnsi="黑体" w:cs="黑体"/>
          <w:sz w:val="32"/>
          <w:szCs w:val="32"/>
        </w:rPr>
        <w:t>第七章 附则</w:t>
      </w:r>
    </w:p>
    <w:p w:rsidR="00126B10" w:rsidRDefault="00126B10" w:rsidP="00126B10">
      <w:pPr>
        <w:overflowPunct w:val="0"/>
        <w:spacing w:line="56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第二十六条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联合实验室统一命名为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浙江</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（合作国家）</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（合作领域）联合实验室</w:t>
      </w:r>
      <w:r>
        <w:rPr>
          <w:rFonts w:ascii="Times New Roman" w:eastAsia="仿宋_GB2312" w:hAnsi="Times New Roman" w:cs="Times New Roman"/>
          <w:sz w:val="32"/>
          <w:szCs w:val="32"/>
        </w:rPr>
        <w:t>”</w:t>
      </w:r>
      <w:r>
        <w:rPr>
          <w:rFonts w:ascii="Times New Roman" w:eastAsia="仿宋_GB2312" w:hAnsi="Times New Roman" w:cs="Times New Roman"/>
          <w:sz w:val="32"/>
          <w:szCs w:val="32"/>
        </w:rPr>
        <w:t>，英文名称为</w:t>
      </w:r>
      <w:r>
        <w:rPr>
          <w:rFonts w:ascii="Times New Roman" w:eastAsia="仿宋_GB2312" w:hAnsi="Times New Roman" w:cs="Times New Roman"/>
          <w:sz w:val="32"/>
          <w:szCs w:val="32"/>
        </w:rPr>
        <w:t>“Zhejiang-XX</w:t>
      </w:r>
      <w:r>
        <w:rPr>
          <w:rFonts w:ascii="Times New Roman" w:eastAsia="仿宋_GB2312" w:hAnsi="Times New Roman" w:cs="Times New Roman"/>
          <w:sz w:val="32"/>
          <w:szCs w:val="32"/>
        </w:rPr>
        <w:t>（合作国家）</w:t>
      </w:r>
      <w:r>
        <w:rPr>
          <w:rFonts w:ascii="Times New Roman" w:eastAsia="仿宋_GB2312" w:hAnsi="Times New Roman" w:cs="Times New Roman"/>
          <w:sz w:val="32"/>
          <w:szCs w:val="32"/>
        </w:rPr>
        <w:t>Joint Laboratory on XX</w:t>
      </w:r>
      <w:r>
        <w:rPr>
          <w:rFonts w:ascii="Times New Roman" w:eastAsia="仿宋_GB2312" w:hAnsi="Times New Roman" w:cs="Times New Roman"/>
          <w:sz w:val="32"/>
          <w:szCs w:val="32"/>
        </w:rPr>
        <w:t>（合作领域）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。中方依托单位可按上述命名规则制作标牌在本单位悬挂。外方依托单位根据实际情况制作并悬挂标牌。原则上不得在其它共建或参与单位挂牌。</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与中国香港、中国澳门、中国台湾地区合作的联合实验室参照本办法执行。</w:t>
      </w:r>
    </w:p>
    <w:p w:rsidR="00126B10" w:rsidRDefault="00126B10" w:rsidP="00126B10">
      <w:pPr>
        <w:overflowPunct w:val="0"/>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第二十八条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本办法自</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日起</w:t>
      </w:r>
      <w:r>
        <w:rPr>
          <w:rFonts w:ascii="Times New Roman" w:eastAsia="仿宋_GB2312" w:hAnsi="Times New Roman" w:cs="Times New Roman"/>
          <w:bCs/>
          <w:color w:val="000000"/>
          <w:sz w:val="32"/>
          <w:szCs w:val="32"/>
        </w:rPr>
        <w:t>施行</w:t>
      </w:r>
      <w:r>
        <w:rPr>
          <w:rFonts w:ascii="Times New Roman" w:eastAsia="仿宋_GB2312" w:hAnsi="Times New Roman" w:cs="Times New Roman"/>
          <w:sz w:val="32"/>
          <w:szCs w:val="32"/>
        </w:rPr>
        <w:t>。原</w:t>
      </w:r>
      <w:r>
        <w:rPr>
          <w:rFonts w:ascii="Times New Roman" w:eastAsia="仿宋_GB2312" w:hAnsi="Times New Roman" w:cs="Times New Roman"/>
          <w:color w:val="000000"/>
          <w:sz w:val="32"/>
          <w:szCs w:val="32"/>
        </w:rPr>
        <w:t>《浙江省国际科技合作载体体系建设方案》（</w:t>
      </w:r>
      <w:proofErr w:type="gramStart"/>
      <w:r>
        <w:rPr>
          <w:rFonts w:ascii="Times New Roman" w:eastAsia="仿宋_GB2312" w:hAnsi="Times New Roman" w:cs="Times New Roman"/>
          <w:color w:val="000000"/>
          <w:sz w:val="32"/>
          <w:szCs w:val="32"/>
        </w:rPr>
        <w:t>浙科发</w:t>
      </w:r>
      <w:proofErr w:type="gramEnd"/>
      <w:r>
        <w:rPr>
          <w:rFonts w:ascii="Times New Roman" w:eastAsia="仿宋_GB2312" w:hAnsi="Times New Roman" w:cs="Times New Roman"/>
          <w:color w:val="000000"/>
          <w:sz w:val="32"/>
          <w:szCs w:val="32"/>
        </w:rPr>
        <w:t>外</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2022</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23</w:t>
      </w:r>
      <w:r>
        <w:rPr>
          <w:rFonts w:ascii="Times New Roman" w:eastAsia="仿宋_GB2312" w:hAnsi="Times New Roman" w:cs="Times New Roman"/>
          <w:color w:val="000000"/>
          <w:sz w:val="32"/>
          <w:szCs w:val="32"/>
        </w:rPr>
        <w:t>号）废止</w:t>
      </w:r>
      <w:r>
        <w:rPr>
          <w:rFonts w:ascii="Times New Roman" w:eastAsia="仿宋_GB2312" w:hAnsi="Times New Roman" w:cs="Times New Roman"/>
          <w:sz w:val="32"/>
          <w:szCs w:val="32"/>
        </w:rPr>
        <w:t>。</w:t>
      </w:r>
    </w:p>
    <w:p w:rsidR="00A36B2C" w:rsidRPr="00126B10" w:rsidRDefault="00A36B2C"/>
    <w:sectPr w:rsidR="00A36B2C" w:rsidRPr="00126B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10"/>
    <w:rsid w:val="00126B10"/>
    <w:rsid w:val="00A3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6B10"/>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26B10"/>
    <w:pPr>
      <w:spacing w:after="120"/>
    </w:pPr>
  </w:style>
  <w:style w:type="character" w:customStyle="1" w:styleId="Char">
    <w:name w:val="正文文本 Char"/>
    <w:basedOn w:val="a1"/>
    <w:link w:val="a0"/>
    <w:uiPriority w:val="99"/>
    <w:semiHidden/>
    <w:rsid w:val="00126B10"/>
    <w:rPr>
      <w:szCs w:val="24"/>
    </w:rPr>
  </w:style>
  <w:style w:type="paragraph" w:styleId="a4">
    <w:name w:val="Body Text First Indent"/>
    <w:basedOn w:val="a0"/>
    <w:next w:val="a"/>
    <w:link w:val="Char0"/>
    <w:qFormat/>
    <w:rsid w:val="00126B10"/>
    <w:pPr>
      <w:ind w:left="214" w:firstLineChars="100" w:firstLine="420"/>
    </w:pPr>
    <w:rPr>
      <w:rFonts w:ascii="Calibri" w:eastAsia="宋体" w:hAnsi="Calibri"/>
    </w:rPr>
  </w:style>
  <w:style w:type="character" w:customStyle="1" w:styleId="Char0">
    <w:name w:val="正文首行缩进 Char"/>
    <w:basedOn w:val="Char"/>
    <w:link w:val="a4"/>
    <w:rsid w:val="00126B10"/>
    <w:rPr>
      <w:rFonts w:ascii="Calibri" w:eastAsia="宋体"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6B10"/>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26B10"/>
    <w:pPr>
      <w:spacing w:after="120"/>
    </w:pPr>
  </w:style>
  <w:style w:type="character" w:customStyle="1" w:styleId="Char">
    <w:name w:val="正文文本 Char"/>
    <w:basedOn w:val="a1"/>
    <w:link w:val="a0"/>
    <w:uiPriority w:val="99"/>
    <w:semiHidden/>
    <w:rsid w:val="00126B10"/>
    <w:rPr>
      <w:szCs w:val="24"/>
    </w:rPr>
  </w:style>
  <w:style w:type="paragraph" w:styleId="a4">
    <w:name w:val="Body Text First Indent"/>
    <w:basedOn w:val="a0"/>
    <w:next w:val="a"/>
    <w:link w:val="Char0"/>
    <w:qFormat/>
    <w:rsid w:val="00126B10"/>
    <w:pPr>
      <w:ind w:left="214" w:firstLineChars="100" w:firstLine="420"/>
    </w:pPr>
    <w:rPr>
      <w:rFonts w:ascii="Calibri" w:eastAsia="宋体" w:hAnsi="Calibri"/>
    </w:rPr>
  </w:style>
  <w:style w:type="character" w:customStyle="1" w:styleId="Char0">
    <w:name w:val="正文首行缩进 Char"/>
    <w:basedOn w:val="Char"/>
    <w:link w:val="a4"/>
    <w:rsid w:val="00126B10"/>
    <w:rPr>
      <w:rFonts w:ascii="Calibri" w:eastAsia="宋体"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cp:revision>
  <dcterms:created xsi:type="dcterms:W3CDTF">2025-11-05T07:21:00Z</dcterms:created>
  <dcterms:modified xsi:type="dcterms:W3CDTF">2025-11-05T07:22:00Z</dcterms:modified>
</cp:coreProperties>
</file>