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227392">
      <w:pPr>
        <w:pStyle w:val="21"/>
        <w:adjustRightInd w:val="0"/>
        <w:snapToGrid w:val="0"/>
        <w:rPr>
          <w:highlight w:val="none"/>
        </w:rPr>
      </w:pPr>
      <w:bookmarkStart w:id="0" w:name="_Hlk214470027"/>
      <w:bookmarkStart w:id="93" w:name="_GoBack"/>
      <w:bookmarkEnd w:id="93"/>
      <w:r>
        <w:rPr>
          <w:rFonts w:hint="eastAsia"/>
          <w:highlight w:val="none"/>
        </w:rPr>
        <w:t>横琴粤澳深度合作区支持人才高质量发展</w:t>
      </w:r>
    </w:p>
    <w:p w14:paraId="0AB89C1B">
      <w:pPr>
        <w:pStyle w:val="21"/>
        <w:adjustRightInd w:val="0"/>
        <w:snapToGrid w:val="0"/>
        <w:rPr>
          <w:highlight w:val="none"/>
        </w:rPr>
      </w:pPr>
      <w:r>
        <w:rPr>
          <w:rFonts w:hint="eastAsia"/>
          <w:highlight w:val="none"/>
        </w:rPr>
        <w:t>若干措施</w:t>
      </w:r>
    </w:p>
    <w:bookmarkEnd w:id="0"/>
    <w:p w14:paraId="67497938">
      <w:pPr>
        <w:adjustRightInd w:val="0"/>
        <w:snapToGrid w:val="0"/>
        <w:ind w:firstLine="0" w:firstLineChars="0"/>
        <w:jc w:val="center"/>
        <w:rPr>
          <w:rFonts w:hint="eastAsia" w:ascii="楷体_GB2312" w:hAnsi="楷体_GB2312" w:eastAsia="楷体_GB2312" w:cs="楷体_GB2312"/>
          <w:highlight w:val="none"/>
        </w:rPr>
      </w:pPr>
      <w:r>
        <w:rPr>
          <w:rFonts w:hint="eastAsia" w:ascii="楷体_GB2312" w:hAnsi="楷体_GB2312" w:eastAsia="楷体_GB2312" w:cs="楷体_GB2312"/>
          <w:highlight w:val="none"/>
        </w:rPr>
        <w:t>（公开征求意见稿）</w:t>
      </w:r>
    </w:p>
    <w:p w14:paraId="64215AE8">
      <w:pPr>
        <w:adjustRightInd w:val="0"/>
        <w:snapToGrid w:val="0"/>
        <w:ind w:firstLine="0" w:firstLineChars="0"/>
        <w:jc w:val="center"/>
        <w:rPr>
          <w:rFonts w:hint="eastAsia" w:eastAsia="楷体_GB2312" w:cs="Times New Roman Regular"/>
          <w:szCs w:val="32"/>
          <w:highlight w:val="none"/>
        </w:rPr>
      </w:pPr>
    </w:p>
    <w:p w14:paraId="276768CF">
      <w:pPr>
        <w:adjustRightInd w:val="0"/>
        <w:snapToGrid w:val="0"/>
        <w:ind w:firstLine="0" w:firstLineChars="0"/>
        <w:jc w:val="center"/>
        <w:rPr>
          <w:rFonts w:eastAsia="楷体_GB2312" w:cs="Times New Roman Regular"/>
          <w:szCs w:val="32"/>
          <w:highlight w:val="none"/>
        </w:rPr>
      </w:pPr>
      <w:r>
        <w:rPr>
          <w:rFonts w:hint="eastAsia" w:eastAsia="楷体_GB2312" w:cs="Times New Roman Regular"/>
          <w:szCs w:val="32"/>
          <w:highlight w:val="none"/>
        </w:rPr>
        <w:t>目</w:t>
      </w:r>
      <w:r>
        <w:rPr>
          <w:rFonts w:eastAsia="楷体_GB2312" w:cs="Times New Roman Regular"/>
          <w:szCs w:val="32"/>
          <w:highlight w:val="none"/>
        </w:rPr>
        <w:tab/>
      </w:r>
      <w:r>
        <w:rPr>
          <w:rFonts w:hint="eastAsia" w:eastAsia="楷体_GB2312" w:cs="Times New Roman Regular"/>
          <w:szCs w:val="32"/>
          <w:highlight w:val="none"/>
        </w:rPr>
        <w:t>录</w:t>
      </w:r>
    </w:p>
    <w:p w14:paraId="452C9DC0">
      <w:pPr>
        <w:adjustRightInd w:val="0"/>
        <w:snapToGrid w:val="0"/>
        <w:rPr>
          <w:rFonts w:eastAsia="楷体_GB2312" w:cs="Times New Roman Regular"/>
          <w:szCs w:val="32"/>
          <w:highlight w:val="none"/>
        </w:rPr>
      </w:pPr>
    </w:p>
    <w:p w14:paraId="5BAC97D7">
      <w:pPr>
        <w:adjustRightInd w:val="0"/>
        <w:snapToGrid w:val="0"/>
        <w:rPr>
          <w:rFonts w:eastAsia="楷体_GB2312" w:cs="Times New Roman Regular"/>
          <w:szCs w:val="32"/>
          <w:highlight w:val="none"/>
        </w:rPr>
      </w:pPr>
    </w:p>
    <w:p w14:paraId="074A0766">
      <w:pPr>
        <w:adjustRightInd w:val="0"/>
        <w:snapToGrid w:val="0"/>
        <w:rPr>
          <w:rFonts w:eastAsia="楷体_GB2312" w:cs="Times New Roman Regular"/>
          <w:szCs w:val="32"/>
          <w:highlight w:val="none"/>
        </w:rPr>
      </w:pPr>
    </w:p>
    <w:p w14:paraId="3E0A83EF">
      <w:pPr>
        <w:adjustRightInd w:val="0"/>
        <w:snapToGrid w:val="0"/>
        <w:rPr>
          <w:rFonts w:eastAsia="楷体_GB2312" w:cs="Times New Roman Regular"/>
          <w:szCs w:val="32"/>
          <w:highlight w:val="none"/>
        </w:rPr>
      </w:pPr>
      <w:r>
        <w:rPr>
          <w:rFonts w:hint="eastAsia" w:eastAsia="楷体_GB2312" w:cs="Times New Roman Regular"/>
          <w:szCs w:val="32"/>
          <w:highlight w:val="none"/>
        </w:rPr>
        <w:t>第一章</w:t>
      </w:r>
      <w:r>
        <w:rPr>
          <w:rFonts w:eastAsia="楷体_GB2312" w:cs="Times New Roman Regular"/>
          <w:szCs w:val="32"/>
          <w:highlight w:val="none"/>
        </w:rPr>
        <w:t xml:space="preserve"> </w:t>
      </w:r>
      <w:r>
        <w:rPr>
          <w:rFonts w:hint="eastAsia" w:eastAsia="楷体_GB2312" w:cs="Times New Roman Regular"/>
          <w:szCs w:val="32"/>
          <w:highlight w:val="none"/>
        </w:rPr>
        <w:t>总则</w:t>
      </w:r>
    </w:p>
    <w:p w14:paraId="34744449">
      <w:pPr>
        <w:adjustRightInd w:val="0"/>
        <w:snapToGrid w:val="0"/>
        <w:rPr>
          <w:rFonts w:eastAsia="楷体_GB2312" w:cs="Times New Roman Regular"/>
          <w:szCs w:val="32"/>
          <w:highlight w:val="none"/>
        </w:rPr>
      </w:pPr>
      <w:r>
        <w:rPr>
          <w:rFonts w:hint="eastAsia" w:eastAsia="楷体_GB2312" w:cs="Times New Roman Regular"/>
          <w:szCs w:val="32"/>
          <w:highlight w:val="none"/>
        </w:rPr>
        <w:t>第二章</w:t>
      </w:r>
      <w:r>
        <w:rPr>
          <w:rFonts w:eastAsia="楷体_GB2312" w:cs="Times New Roman Regular"/>
          <w:szCs w:val="32"/>
          <w:highlight w:val="none"/>
        </w:rPr>
        <w:t xml:space="preserve"> “</w:t>
      </w:r>
      <w:r>
        <w:rPr>
          <w:rFonts w:hint="eastAsia" w:eastAsia="楷体_GB2312" w:cs="Times New Roman Regular"/>
          <w:szCs w:val="32"/>
          <w:highlight w:val="none"/>
        </w:rPr>
        <w:t>澳门</w:t>
      </w:r>
      <w:r>
        <w:rPr>
          <w:rFonts w:eastAsia="楷体_GB2312" w:cs="Times New Roman Regular"/>
          <w:szCs w:val="32"/>
          <w:highlight w:val="none"/>
        </w:rPr>
        <w:t>+</w:t>
      </w:r>
      <w:r>
        <w:rPr>
          <w:rFonts w:hint="eastAsia" w:eastAsia="楷体_GB2312" w:cs="Times New Roman Regular"/>
          <w:szCs w:val="32"/>
          <w:highlight w:val="none"/>
        </w:rPr>
        <w:t>横琴</w:t>
      </w:r>
      <w:r>
        <w:rPr>
          <w:rFonts w:eastAsia="楷体_GB2312" w:cs="Times New Roman Regular"/>
          <w:szCs w:val="32"/>
          <w:highlight w:val="none"/>
        </w:rPr>
        <w:t>”</w:t>
      </w:r>
      <w:r>
        <w:rPr>
          <w:rFonts w:hint="eastAsia" w:eastAsia="楷体_GB2312" w:cs="Times New Roman Regular"/>
          <w:szCs w:val="32"/>
          <w:highlight w:val="none"/>
        </w:rPr>
        <w:t>一体引聚人才</w:t>
      </w:r>
    </w:p>
    <w:p w14:paraId="6B6C83E7">
      <w:pPr>
        <w:adjustRightInd w:val="0"/>
        <w:snapToGrid w:val="0"/>
        <w:rPr>
          <w:rFonts w:eastAsia="楷体_GB2312" w:cs="Times New Roman Regular"/>
          <w:szCs w:val="32"/>
          <w:highlight w:val="none"/>
        </w:rPr>
      </w:pPr>
      <w:r>
        <w:rPr>
          <w:rFonts w:hint="eastAsia" w:eastAsia="楷体_GB2312" w:cs="Times New Roman Regular"/>
          <w:szCs w:val="32"/>
          <w:highlight w:val="none"/>
        </w:rPr>
        <w:t>第三章</w:t>
      </w:r>
      <w:r>
        <w:rPr>
          <w:rFonts w:eastAsia="楷体_GB2312" w:cs="Times New Roman Regular"/>
          <w:szCs w:val="32"/>
          <w:highlight w:val="none"/>
        </w:rPr>
        <w:t xml:space="preserve"> </w:t>
      </w:r>
      <w:r>
        <w:rPr>
          <w:rFonts w:hint="eastAsia" w:eastAsia="楷体_GB2312" w:cs="Times New Roman Regular"/>
          <w:szCs w:val="32"/>
          <w:highlight w:val="none"/>
        </w:rPr>
        <w:t>支持人才集聚发展</w:t>
      </w:r>
    </w:p>
    <w:p w14:paraId="3D0D1786">
      <w:pPr>
        <w:adjustRightInd w:val="0"/>
        <w:snapToGrid w:val="0"/>
        <w:rPr>
          <w:rFonts w:eastAsia="楷体_GB2312" w:cs="Times New Roman Regular"/>
          <w:szCs w:val="32"/>
          <w:highlight w:val="none"/>
        </w:rPr>
      </w:pPr>
      <w:r>
        <w:rPr>
          <w:rFonts w:hint="eastAsia" w:eastAsia="楷体_GB2312" w:cs="Times New Roman Regular"/>
          <w:szCs w:val="32"/>
          <w:highlight w:val="none"/>
        </w:rPr>
        <w:t>第四章</w:t>
      </w:r>
      <w:r>
        <w:rPr>
          <w:rFonts w:eastAsia="楷体_GB2312" w:cs="Times New Roman Regular"/>
          <w:szCs w:val="32"/>
          <w:highlight w:val="none"/>
        </w:rPr>
        <w:t xml:space="preserve"> </w:t>
      </w:r>
      <w:r>
        <w:rPr>
          <w:rFonts w:hint="eastAsia" w:eastAsia="楷体_GB2312" w:cs="Times New Roman Regular"/>
          <w:szCs w:val="32"/>
          <w:highlight w:val="none"/>
        </w:rPr>
        <w:t>支持人才载体发展</w:t>
      </w:r>
    </w:p>
    <w:p w14:paraId="3A4C4B05">
      <w:pPr>
        <w:adjustRightInd w:val="0"/>
        <w:snapToGrid w:val="0"/>
        <w:rPr>
          <w:rFonts w:hint="eastAsia" w:eastAsia="楷体_GB2312" w:cs="Times New Roman Regular"/>
          <w:szCs w:val="32"/>
          <w:highlight w:val="none"/>
          <w:lang w:eastAsia="zh-CN"/>
        </w:rPr>
      </w:pPr>
      <w:r>
        <w:rPr>
          <w:rFonts w:hint="eastAsia" w:eastAsia="楷体_GB2312" w:cs="Times New Roman Regular"/>
          <w:szCs w:val="32"/>
          <w:highlight w:val="none"/>
        </w:rPr>
        <w:t>第五章</w:t>
      </w:r>
      <w:r>
        <w:rPr>
          <w:rFonts w:eastAsia="楷体_GB2312" w:cs="Times New Roman Regular"/>
          <w:szCs w:val="32"/>
          <w:highlight w:val="none"/>
        </w:rPr>
        <w:t xml:space="preserve"> </w:t>
      </w:r>
      <w:r>
        <w:rPr>
          <w:rFonts w:hint="eastAsia" w:eastAsia="楷体_GB2312" w:cs="Times New Roman Regular"/>
          <w:szCs w:val="32"/>
          <w:highlight w:val="none"/>
          <w:lang w:eastAsia="zh-CN"/>
        </w:rPr>
        <w:t>优化人才发展环境</w:t>
      </w:r>
    </w:p>
    <w:p w14:paraId="7EBCBD1C">
      <w:pPr>
        <w:adjustRightInd w:val="0"/>
        <w:snapToGrid w:val="0"/>
        <w:rPr>
          <w:rFonts w:eastAsia="楷体_GB2312" w:cs="Times New Roman Regular"/>
          <w:szCs w:val="32"/>
          <w:highlight w:val="none"/>
        </w:rPr>
      </w:pPr>
      <w:r>
        <w:rPr>
          <w:rFonts w:hint="eastAsia" w:eastAsia="楷体_GB2312" w:cs="Times New Roman Regular"/>
          <w:szCs w:val="32"/>
          <w:highlight w:val="none"/>
        </w:rPr>
        <w:t>第六章</w:t>
      </w:r>
      <w:r>
        <w:rPr>
          <w:rFonts w:eastAsia="楷体_GB2312" w:cs="Times New Roman Regular"/>
          <w:szCs w:val="32"/>
          <w:highlight w:val="none"/>
        </w:rPr>
        <w:t xml:space="preserve"> </w:t>
      </w:r>
      <w:r>
        <w:rPr>
          <w:rFonts w:hint="eastAsia" w:eastAsia="楷体_GB2312" w:cs="Times New Roman Regular"/>
          <w:szCs w:val="32"/>
          <w:highlight w:val="none"/>
        </w:rPr>
        <w:t>附则</w:t>
      </w:r>
    </w:p>
    <w:p w14:paraId="29AFD741">
      <w:pPr>
        <w:adjustRightInd w:val="0"/>
        <w:snapToGrid w:val="0"/>
        <w:rPr>
          <w:rFonts w:cs="Times New Roman Regular"/>
          <w:highlight w:val="none"/>
        </w:rPr>
      </w:pPr>
      <w:r>
        <w:rPr>
          <w:rFonts w:cs="Times New Roman Regular"/>
          <w:highlight w:val="none"/>
        </w:rPr>
        <w:br w:type="page"/>
      </w:r>
    </w:p>
    <w:p w14:paraId="0FE78F25">
      <w:pPr>
        <w:adjustRightInd w:val="0"/>
        <w:snapToGrid w:val="0"/>
        <w:ind w:firstLine="0" w:firstLineChars="0"/>
        <w:jc w:val="center"/>
        <w:rPr>
          <w:rFonts w:hint="eastAsia" w:ascii="黑体" w:hAnsi="黑体" w:eastAsia="黑体" w:cs="黑体"/>
          <w:szCs w:val="32"/>
          <w:highlight w:val="none"/>
        </w:rPr>
      </w:pPr>
    </w:p>
    <w:p w14:paraId="7B82B161">
      <w:pPr>
        <w:adjustRightInd w:val="0"/>
        <w:snapToGrid w:val="0"/>
        <w:ind w:firstLine="0" w:firstLineChars="0"/>
        <w:jc w:val="center"/>
        <w:rPr>
          <w:rFonts w:hint="eastAsia" w:ascii="黑体" w:hAnsi="黑体" w:eastAsia="黑体" w:cs="黑体"/>
          <w:szCs w:val="32"/>
          <w:highlight w:val="none"/>
        </w:rPr>
      </w:pPr>
      <w:r>
        <w:rPr>
          <w:rFonts w:hint="eastAsia" w:ascii="黑体" w:hAnsi="黑体" w:eastAsia="黑体" w:cs="黑体"/>
          <w:szCs w:val="32"/>
          <w:highlight w:val="none"/>
        </w:rPr>
        <w:t>第一章 总则</w:t>
      </w:r>
    </w:p>
    <w:p w14:paraId="5F6EB859">
      <w:pPr>
        <w:pStyle w:val="2"/>
        <w:ind w:firstLine="0" w:firstLineChars="0"/>
        <w:rPr>
          <w:rFonts w:hint="default" w:ascii="Calibri" w:hAnsi="Times New Roman" w:eastAsia="仿宋_GB2312" w:cs="Times New Roman"/>
          <w:highlight w:val="none"/>
        </w:rPr>
      </w:pPr>
    </w:p>
    <w:p w14:paraId="483B8EFB">
      <w:pPr>
        <w:adjustRightInd w:val="0"/>
        <w:snapToGrid w:val="0"/>
        <w:ind w:firstLine="643" w:firstLineChars="200"/>
        <w:rPr>
          <w:rFonts w:hint="eastAsia" w:ascii="楷体_GB2312" w:hAnsi="楷体_GB2312" w:eastAsia="楷体_GB2312" w:cs="楷体_GB2312"/>
          <w:b/>
          <w:bCs/>
          <w:szCs w:val="32"/>
          <w:highlight w:val="none"/>
        </w:rPr>
      </w:pPr>
      <w:r>
        <w:rPr>
          <w:rFonts w:hint="eastAsia" w:ascii="楷体_GB2312" w:hAnsi="楷体_GB2312" w:eastAsia="楷体_GB2312" w:cs="楷体_GB2312"/>
          <w:b/>
          <w:bCs/>
          <w:szCs w:val="32"/>
          <w:highlight w:val="none"/>
          <w:lang w:eastAsia="zh-CN"/>
        </w:rPr>
        <w:t>第一条</w:t>
      </w:r>
      <w:r>
        <w:rPr>
          <w:rFonts w:hint="eastAsia" w:ascii="楷体_GB2312" w:hAnsi="楷体_GB2312" w:eastAsia="楷体_GB2312" w:cs="楷体_GB2312"/>
          <w:b/>
          <w:bCs/>
          <w:szCs w:val="32"/>
          <w:highlight w:val="none"/>
          <w:lang w:val="en-US" w:eastAsia="zh-CN"/>
        </w:rPr>
        <w:t xml:space="preserve"> </w:t>
      </w:r>
      <w:r>
        <w:rPr>
          <w:rFonts w:hint="eastAsia" w:ascii="楷体_GB2312" w:hAnsi="楷体_GB2312" w:eastAsia="楷体_GB2312" w:cs="楷体_GB2312"/>
          <w:b/>
          <w:bCs/>
          <w:szCs w:val="32"/>
          <w:highlight w:val="none"/>
          <w:lang w:eastAsia="zh-CN"/>
        </w:rPr>
        <w:t>制定目的</w:t>
      </w:r>
    </w:p>
    <w:p w14:paraId="2FE91BEF">
      <w:pPr>
        <w:adjustRightInd w:val="0"/>
        <w:snapToGrid w:val="0"/>
        <w:ind w:firstLine="640"/>
        <w:rPr>
          <w:szCs w:val="32"/>
          <w:highlight w:val="none"/>
        </w:rPr>
      </w:pPr>
      <w:r>
        <w:rPr>
          <w:rFonts w:hint="eastAsia"/>
          <w:szCs w:val="32"/>
          <w:highlight w:val="none"/>
        </w:rPr>
        <w:t>为深入贯彻习近平总书记考察横琴粤澳深度合作区（以下简称合作区）的指示精神，落实《横琴粤澳深度合作区建设总体方案》《横琴粤澳深度合作区总体发展规划》工作部署，</w:t>
      </w:r>
      <w:bookmarkStart w:id="1" w:name="_Hlk206434745"/>
      <w:r>
        <w:rPr>
          <w:rFonts w:hint="eastAsia"/>
          <w:szCs w:val="32"/>
          <w:highlight w:val="none"/>
        </w:rPr>
        <w:t>“澳门+横琴”一体化推进</w:t>
      </w:r>
      <w:r>
        <w:rPr>
          <w:szCs w:val="32"/>
          <w:highlight w:val="none"/>
        </w:rPr>
        <w:t>粤港澳大湾区高水平人才高地建设</w:t>
      </w:r>
      <w:r>
        <w:rPr>
          <w:rFonts w:hint="eastAsia"/>
          <w:szCs w:val="32"/>
          <w:highlight w:val="none"/>
        </w:rPr>
        <w:t>，吸引集聚更多优秀人才来澳琴发展，助力澳门打造国际高端人才集聚高地，为促进澳门经济适度多元发展提供人才支撑，结合合作区人才工作实际，制定本措施。</w:t>
      </w:r>
    </w:p>
    <w:p w14:paraId="1CE1771E">
      <w:pPr>
        <w:adjustRightInd w:val="0"/>
        <w:snapToGrid w:val="0"/>
        <w:ind w:firstLine="643"/>
        <w:rPr>
          <w:rFonts w:hint="eastAsia" w:ascii="楷体_GB2312" w:hAnsi="楷体_GB2312" w:eastAsia="楷体_GB2312" w:cs="楷体_GB2312"/>
          <w:b/>
          <w:bCs/>
          <w:szCs w:val="32"/>
          <w:highlight w:val="none"/>
        </w:rPr>
      </w:pPr>
    </w:p>
    <w:bookmarkEnd w:id="1"/>
    <w:p w14:paraId="264DA35E">
      <w:pPr>
        <w:adjustRightInd w:val="0"/>
        <w:snapToGrid w:val="0"/>
        <w:ind w:firstLine="643" w:firstLineChars="200"/>
        <w:jc w:val="left"/>
        <w:rPr>
          <w:rFonts w:hint="eastAsia" w:ascii="楷体_GB2312" w:hAnsi="楷体_GB2312" w:eastAsia="楷体_GB2312" w:cs="楷体_GB2312"/>
          <w:b/>
          <w:bCs/>
          <w:szCs w:val="32"/>
          <w:highlight w:val="none"/>
        </w:rPr>
      </w:pPr>
      <w:r>
        <w:rPr>
          <w:rFonts w:hint="eastAsia" w:ascii="楷体_GB2312" w:hAnsi="楷体_GB2312" w:eastAsia="楷体_GB2312" w:cs="楷体_GB2312"/>
          <w:b/>
          <w:bCs/>
          <w:szCs w:val="32"/>
          <w:highlight w:val="none"/>
        </w:rPr>
        <w:t>第二条 适用对象</w:t>
      </w:r>
    </w:p>
    <w:p w14:paraId="053F6E18">
      <w:pPr>
        <w:adjustRightInd w:val="0"/>
        <w:snapToGrid w:val="0"/>
        <w:ind w:firstLine="640"/>
        <w:rPr>
          <w:szCs w:val="32"/>
          <w:highlight w:val="none"/>
        </w:rPr>
      </w:pPr>
      <w:r>
        <w:rPr>
          <w:rFonts w:hint="eastAsia"/>
          <w:szCs w:val="32"/>
          <w:highlight w:val="none"/>
        </w:rPr>
        <w:t>本措施适用于在合作区实质性运营的企业或机构（以下统称用人单位）以及在以上用人单位实际工作的人员（</w:t>
      </w:r>
      <w:r>
        <w:rPr>
          <w:rFonts w:hint="eastAsia" w:cs="仿宋_GB2312"/>
          <w:spacing w:val="2"/>
          <w:szCs w:val="32"/>
          <w:highlight w:val="none"/>
        </w:rPr>
        <w:t>党政机关在编人员、参公事业单位在编人员、</w:t>
      </w:r>
      <w:r>
        <w:rPr>
          <w:rFonts w:cs="仿宋_GB2312"/>
          <w:spacing w:val="2"/>
          <w:szCs w:val="32"/>
          <w:highlight w:val="none"/>
        </w:rPr>
        <w:t>参照党政机关职级核定的国有企业领导人员</w:t>
      </w:r>
      <w:r>
        <w:rPr>
          <w:rFonts w:hint="eastAsia" w:cs="仿宋_GB2312"/>
          <w:spacing w:val="2"/>
          <w:szCs w:val="32"/>
          <w:highlight w:val="none"/>
        </w:rPr>
        <w:t>除外</w:t>
      </w:r>
      <w:r>
        <w:rPr>
          <w:rFonts w:hint="eastAsia"/>
          <w:szCs w:val="32"/>
          <w:highlight w:val="none"/>
        </w:rPr>
        <w:t>）。</w:t>
      </w:r>
    </w:p>
    <w:p w14:paraId="6D6F4C4F">
      <w:pPr>
        <w:pStyle w:val="19"/>
        <w:adjustRightInd w:val="0"/>
        <w:snapToGrid w:val="0"/>
        <w:ind w:firstLine="640"/>
        <w:rPr>
          <w:rFonts w:hint="eastAsia"/>
          <w:szCs w:val="32"/>
          <w:highlight w:val="none"/>
        </w:rPr>
      </w:pPr>
    </w:p>
    <w:p w14:paraId="4A99CFE1">
      <w:pPr>
        <w:adjustRightInd w:val="0"/>
        <w:snapToGrid w:val="0"/>
        <w:ind w:firstLine="0" w:firstLineChars="0"/>
        <w:jc w:val="center"/>
        <w:rPr>
          <w:rFonts w:hint="eastAsia" w:ascii="黑体" w:hAnsi="黑体" w:eastAsia="黑体" w:cs="黑体"/>
          <w:szCs w:val="32"/>
          <w:highlight w:val="none"/>
        </w:rPr>
      </w:pPr>
      <w:r>
        <w:rPr>
          <w:rFonts w:hint="eastAsia" w:ascii="黑体" w:hAnsi="黑体" w:eastAsia="黑体" w:cs="黑体"/>
          <w:szCs w:val="32"/>
          <w:highlight w:val="none"/>
        </w:rPr>
        <w:t>第二章</w:t>
      </w:r>
      <w:r>
        <w:rPr>
          <w:rFonts w:hint="eastAsia" w:ascii="黑体" w:hAnsi="黑体" w:eastAsia="黑体" w:cs="黑体"/>
          <w:szCs w:val="32"/>
          <w:highlight w:val="none"/>
          <w:lang w:val="en-US" w:eastAsia="zh-CN"/>
        </w:rPr>
        <w:t xml:space="preserve"> </w:t>
      </w:r>
      <w:bookmarkStart w:id="2" w:name="_Hlk206434706"/>
      <w:r>
        <w:rPr>
          <w:rFonts w:hint="eastAsia" w:ascii="黑体" w:hAnsi="黑体" w:eastAsia="黑体" w:cs="黑体"/>
          <w:szCs w:val="32"/>
          <w:highlight w:val="none"/>
        </w:rPr>
        <w:t>“澳门+横琴”一体引聚人才</w:t>
      </w:r>
    </w:p>
    <w:bookmarkEnd w:id="2"/>
    <w:p w14:paraId="0987C1D3">
      <w:pPr>
        <w:adjustRightInd w:val="0"/>
        <w:snapToGrid w:val="0"/>
        <w:ind w:firstLine="640"/>
        <w:rPr>
          <w:szCs w:val="32"/>
          <w:highlight w:val="none"/>
        </w:rPr>
      </w:pPr>
    </w:p>
    <w:p w14:paraId="4F27B7FB">
      <w:pPr>
        <w:adjustRightInd w:val="0"/>
        <w:snapToGrid w:val="0"/>
        <w:ind w:firstLine="640"/>
        <w:jc w:val="left"/>
        <w:rPr>
          <w:rFonts w:hint="eastAsia" w:ascii="黑体" w:hAnsi="黑体" w:eastAsia="黑体" w:cs="黑体"/>
          <w:szCs w:val="32"/>
          <w:highlight w:val="none"/>
        </w:rPr>
      </w:pPr>
      <w:r>
        <w:rPr>
          <w:rFonts w:hint="eastAsia" w:ascii="楷体_GB2312" w:hAnsi="楷体_GB2312" w:eastAsia="楷体_GB2312" w:cs="楷体_GB2312"/>
          <w:b/>
          <w:bCs/>
          <w:szCs w:val="32"/>
          <w:highlight w:val="none"/>
        </w:rPr>
        <w:t>第三条</w:t>
      </w:r>
      <w:r>
        <w:rPr>
          <w:rFonts w:hint="eastAsia" w:ascii="楷体_GB2312" w:hAnsi="楷体_GB2312" w:eastAsia="楷体_GB2312" w:cs="楷体_GB2312"/>
          <w:b/>
          <w:bCs/>
          <w:szCs w:val="32"/>
          <w:highlight w:val="none"/>
          <w:lang w:val="en-US" w:eastAsia="zh-CN"/>
        </w:rPr>
        <w:t xml:space="preserve"> </w:t>
      </w:r>
      <w:bookmarkStart w:id="3" w:name="_Hlk214986578"/>
      <w:r>
        <w:rPr>
          <w:rFonts w:hint="eastAsia" w:ascii="楷体_GB2312" w:hAnsi="楷体_GB2312" w:eastAsia="楷体_GB2312" w:cs="楷体_GB2312"/>
          <w:b/>
          <w:bCs/>
          <w:szCs w:val="32"/>
          <w:highlight w:val="none"/>
        </w:rPr>
        <w:t>协同澳门打造国际高端人才集聚高地</w:t>
      </w:r>
      <w:bookmarkEnd w:id="3"/>
    </w:p>
    <w:p w14:paraId="22287D09">
      <w:pPr>
        <w:pStyle w:val="19"/>
        <w:adjustRightInd w:val="0"/>
        <w:snapToGrid w:val="0"/>
        <w:ind w:firstLine="640"/>
        <w:jc w:val="both"/>
        <w:rPr>
          <w:rFonts w:ascii="Times New Roman Regular" w:hAnsi="Times New Roman Regular" w:cs="Times New Roman Regular"/>
          <w:szCs w:val="32"/>
          <w:highlight w:val="none"/>
        </w:rPr>
      </w:pPr>
      <w:r>
        <w:rPr>
          <w:rFonts w:ascii="Times New Roman Regular" w:hAnsi="Times New Roman Regular" w:cs="Times New Roman Regular"/>
          <w:szCs w:val="32"/>
          <w:highlight w:val="none"/>
        </w:rPr>
        <w:t>按照澳门第7/2023号法律《人才引进法律制度》引进的</w:t>
      </w:r>
      <w:bookmarkStart w:id="4" w:name="_Hlk214986648"/>
      <w:r>
        <w:rPr>
          <w:rFonts w:ascii="Times New Roman Regular" w:hAnsi="Times New Roman Regular" w:cs="Times New Roman Regular"/>
          <w:szCs w:val="32"/>
          <w:highlight w:val="none"/>
        </w:rPr>
        <w:t>“高端人才”和“优秀人才”</w:t>
      </w:r>
      <w:bookmarkEnd w:id="4"/>
      <w:r>
        <w:rPr>
          <w:rFonts w:ascii="Times New Roman Regular" w:hAnsi="Times New Roman Regular" w:cs="Times New Roman Regular"/>
          <w:szCs w:val="32"/>
          <w:highlight w:val="none"/>
        </w:rPr>
        <w:t>，由与合作区企业具有关联关系的澳门公司或者合作区用人单位聘用，且每年在合作区工作</w:t>
      </w:r>
      <w:r>
        <w:rPr>
          <w:rFonts w:hint="eastAsia" w:ascii="Times New Roman Regular" w:hAnsi="Times New Roman Regular" w:cs="Times New Roman Regular"/>
          <w:szCs w:val="32"/>
          <w:highlight w:val="none"/>
        </w:rPr>
        <w:t>累计</w:t>
      </w:r>
      <w:r>
        <w:rPr>
          <w:rFonts w:ascii="Times New Roman Regular" w:hAnsi="Times New Roman Regular" w:cs="Times New Roman Regular"/>
          <w:szCs w:val="32"/>
          <w:highlight w:val="none"/>
        </w:rPr>
        <w:t>不少于</w:t>
      </w:r>
      <w:r>
        <w:rPr>
          <w:rFonts w:hint="eastAsia" w:ascii="Times New Roman Regular" w:hAnsi="Times New Roman Regular" w:cs="Times New Roman Regular"/>
          <w:szCs w:val="32"/>
          <w:highlight w:val="none"/>
        </w:rPr>
        <w:t>九十天</w:t>
      </w:r>
      <w:r>
        <w:rPr>
          <w:rFonts w:ascii="Times New Roman Regular" w:hAnsi="Times New Roman Regular" w:cs="Times New Roman Regular"/>
          <w:szCs w:val="32"/>
          <w:highlight w:val="none"/>
        </w:rPr>
        <w:t>的，</w:t>
      </w:r>
      <w:bookmarkStart w:id="5" w:name="_Hlk214986731"/>
      <w:r>
        <w:rPr>
          <w:rFonts w:ascii="Times New Roman Regular" w:hAnsi="Times New Roman Regular" w:cs="Times New Roman Regular"/>
          <w:szCs w:val="32"/>
          <w:highlight w:val="none"/>
        </w:rPr>
        <w:t>可申请认定为合作区高层次人才</w:t>
      </w:r>
      <w:bookmarkEnd w:id="5"/>
      <w:r>
        <w:rPr>
          <w:rFonts w:ascii="Times New Roman Regular" w:hAnsi="Times New Roman Regular" w:cs="Times New Roman Regular"/>
          <w:szCs w:val="32"/>
          <w:highlight w:val="none"/>
        </w:rPr>
        <w:t>。</w:t>
      </w:r>
    </w:p>
    <w:p w14:paraId="065184BC">
      <w:pPr>
        <w:pStyle w:val="19"/>
        <w:adjustRightInd w:val="0"/>
        <w:snapToGrid w:val="0"/>
        <w:ind w:firstLine="640"/>
        <w:jc w:val="both"/>
        <w:rPr>
          <w:rFonts w:ascii="Times New Roman Regular" w:hAnsi="Times New Roman Regular" w:cs="Times New Roman Regular"/>
          <w:szCs w:val="32"/>
          <w:highlight w:val="none"/>
        </w:rPr>
      </w:pPr>
      <w:r>
        <w:rPr>
          <w:rFonts w:hint="eastAsia" w:ascii="Times New Roman Regular" w:hAnsi="Times New Roman Regular" w:cs="Times New Roman Regular"/>
          <w:szCs w:val="32"/>
          <w:highlight w:val="none"/>
        </w:rPr>
        <w:t>支持</w:t>
      </w:r>
      <w:bookmarkStart w:id="6" w:name="_Hlk212376687"/>
      <w:r>
        <w:rPr>
          <w:rFonts w:hint="eastAsia" w:ascii="Times New Roman Regular" w:hAnsi="Times New Roman Regular" w:cs="Times New Roman Regular"/>
          <w:szCs w:val="32"/>
          <w:highlight w:val="none"/>
        </w:rPr>
        <w:t>与合作区企业具有关联关系的澳门公司</w:t>
      </w:r>
      <w:bookmarkEnd w:id="6"/>
      <w:r>
        <w:rPr>
          <w:rFonts w:hint="eastAsia" w:ascii="Times New Roman Regular" w:hAnsi="Times New Roman Regular" w:cs="Times New Roman Regular"/>
          <w:szCs w:val="32"/>
          <w:highlight w:val="none"/>
        </w:rPr>
        <w:t>积极引进国际人才</w:t>
      </w:r>
      <w:r>
        <w:rPr>
          <w:rFonts w:ascii="Times New Roman Regular" w:hAnsi="Times New Roman Regular" w:cs="Times New Roman Regular"/>
          <w:szCs w:val="32"/>
          <w:highlight w:val="none"/>
        </w:rPr>
        <w:t>，对按照澳门第7/2023号法律《人才引进法律制度》引进“高端人才”和“优秀人才”满足在澳门和合作区</w:t>
      </w:r>
      <w:r>
        <w:rPr>
          <w:rFonts w:hint="eastAsia" w:ascii="Times New Roman Regular" w:hAnsi="Times New Roman Regular" w:cs="Times New Roman Regular"/>
          <w:szCs w:val="32"/>
          <w:highlight w:val="none"/>
        </w:rPr>
        <w:t>（或任一地）</w:t>
      </w:r>
      <w:r>
        <w:rPr>
          <w:rFonts w:ascii="Times New Roman Regular" w:hAnsi="Times New Roman Regular" w:cs="Times New Roman Regular"/>
          <w:szCs w:val="32"/>
          <w:highlight w:val="none"/>
        </w:rPr>
        <w:t>每年工作累计满</w:t>
      </w:r>
      <w:bookmarkStart w:id="7" w:name="_Hlk214986814"/>
      <w:r>
        <w:rPr>
          <w:rFonts w:hint="eastAsia" w:ascii="Times New Roman Regular" w:hAnsi="Times New Roman Regular" w:cs="Times New Roman Regular"/>
          <w:szCs w:val="32"/>
          <w:highlight w:val="none"/>
        </w:rPr>
        <w:t>一百八十天</w:t>
      </w:r>
      <w:bookmarkEnd w:id="7"/>
      <w:r>
        <w:rPr>
          <w:rFonts w:ascii="Times New Roman Regular" w:hAnsi="Times New Roman Regular" w:cs="Times New Roman Regular"/>
          <w:szCs w:val="32"/>
          <w:highlight w:val="none"/>
        </w:rPr>
        <w:t>、并牵头或核心参与</w:t>
      </w:r>
      <w:bookmarkStart w:id="8" w:name="_Hlk211434507"/>
      <w:r>
        <w:rPr>
          <w:rFonts w:hint="eastAsia" w:ascii="Times New Roman Regular" w:hAnsi="Times New Roman Regular" w:cs="Times New Roman Regular"/>
          <w:szCs w:val="32"/>
          <w:highlight w:val="none"/>
        </w:rPr>
        <w:t>经国家、广东省或合作区立项的科技产业项目</w:t>
      </w:r>
      <w:bookmarkEnd w:id="8"/>
      <w:r>
        <w:rPr>
          <w:rFonts w:ascii="Times New Roman Regular" w:hAnsi="Times New Roman Regular" w:cs="Times New Roman Regular"/>
          <w:szCs w:val="32"/>
          <w:highlight w:val="none"/>
        </w:rPr>
        <w:t>的用人单位，按其</w:t>
      </w:r>
      <w:bookmarkStart w:id="9" w:name="_Hlk214986847"/>
      <w:r>
        <w:rPr>
          <w:rFonts w:ascii="Times New Roman Regular" w:hAnsi="Times New Roman Regular" w:cs="Times New Roman Regular"/>
          <w:szCs w:val="32"/>
          <w:highlight w:val="none"/>
        </w:rPr>
        <w:t>实际支付计税工薪的百分之三十给予引才补贴</w:t>
      </w:r>
      <w:bookmarkEnd w:id="9"/>
      <w:r>
        <w:rPr>
          <w:rFonts w:ascii="Times New Roman Regular" w:hAnsi="Times New Roman Regular" w:cs="Times New Roman Regular"/>
          <w:szCs w:val="32"/>
          <w:highlight w:val="none"/>
        </w:rPr>
        <w:t>，每个用人单位每年最高补贴三百万元。</w:t>
      </w:r>
    </w:p>
    <w:p w14:paraId="005DD833">
      <w:pPr>
        <w:pStyle w:val="19"/>
        <w:adjustRightInd w:val="0"/>
        <w:snapToGrid w:val="0"/>
        <w:ind w:firstLine="640"/>
        <w:jc w:val="both"/>
        <w:rPr>
          <w:rFonts w:ascii="Times New Roman Regular" w:hAnsi="Times New Roman Regular" w:cs="Times New Roman Regular"/>
          <w:szCs w:val="32"/>
          <w:highlight w:val="none"/>
        </w:rPr>
      </w:pPr>
      <w:bookmarkStart w:id="10" w:name="_Hlk214986863"/>
      <w:r>
        <w:rPr>
          <w:rFonts w:ascii="Times New Roman Regular" w:hAnsi="Times New Roman Regular" w:cs="Times New Roman Regular"/>
          <w:szCs w:val="32"/>
          <w:highlight w:val="none"/>
        </w:rPr>
        <w:t>对获得澳门《科技研发人才资助计划》</w:t>
      </w:r>
      <w:r>
        <w:rPr>
          <w:rFonts w:hint="eastAsia" w:ascii="Times New Roman Regular" w:hAnsi="Times New Roman Regular" w:cs="Times New Roman Regular"/>
          <w:szCs w:val="32"/>
          <w:highlight w:val="none"/>
        </w:rPr>
        <w:t>资助的澳门居民，携研发项目到合作区开展中试及产业化落地的，</w:t>
      </w:r>
      <w:bookmarkStart w:id="11" w:name="_Hlk212618532"/>
      <w:r>
        <w:rPr>
          <w:rFonts w:ascii="Times New Roman Regular" w:hAnsi="Times New Roman Regular" w:cs="Times New Roman Regular"/>
          <w:szCs w:val="32"/>
          <w:highlight w:val="none"/>
        </w:rPr>
        <w:t>经评审后，给予最高不超过其获澳门</w:t>
      </w:r>
      <w:r>
        <w:rPr>
          <w:rFonts w:hint="eastAsia" w:ascii="Times New Roman Regular" w:hAnsi="Times New Roman Regular" w:cs="Times New Roman Regular"/>
          <w:szCs w:val="32"/>
          <w:highlight w:val="none"/>
        </w:rPr>
        <w:t>《科技研发人才资助计划》</w:t>
      </w:r>
      <w:r>
        <w:rPr>
          <w:rFonts w:ascii="Times New Roman Regular" w:hAnsi="Times New Roman Regular" w:cs="Times New Roman Regular"/>
          <w:szCs w:val="32"/>
          <w:highlight w:val="none"/>
        </w:rPr>
        <w:t>资助金额的配套资助</w:t>
      </w:r>
      <w:bookmarkEnd w:id="10"/>
      <w:r>
        <w:rPr>
          <w:rFonts w:hint="eastAsia" w:ascii="Times New Roman Regular" w:hAnsi="Times New Roman Regular" w:cs="Times New Roman Regular"/>
          <w:szCs w:val="32"/>
          <w:highlight w:val="none"/>
        </w:rPr>
        <w:t>。</w:t>
      </w:r>
      <w:bookmarkEnd w:id="11"/>
    </w:p>
    <w:p w14:paraId="2B3BBCF9">
      <w:pPr>
        <w:pStyle w:val="19"/>
        <w:adjustRightInd w:val="0"/>
        <w:snapToGrid w:val="0"/>
        <w:ind w:firstLine="0" w:firstLineChars="0"/>
        <w:jc w:val="both"/>
        <w:rPr>
          <w:rFonts w:hint="eastAsia"/>
          <w:szCs w:val="32"/>
          <w:highlight w:val="none"/>
        </w:rPr>
      </w:pPr>
    </w:p>
    <w:p w14:paraId="659939A4">
      <w:pPr>
        <w:adjustRightInd w:val="0"/>
        <w:snapToGrid w:val="0"/>
        <w:ind w:firstLine="640"/>
        <w:jc w:val="left"/>
        <w:rPr>
          <w:rFonts w:ascii="Times New Roman Regular" w:hAnsi="Times New Roman Regular" w:eastAsia="黑体" w:cs="Times New Roman Regular"/>
          <w:szCs w:val="32"/>
          <w:highlight w:val="none"/>
        </w:rPr>
      </w:pPr>
      <w:r>
        <w:rPr>
          <w:rFonts w:hint="eastAsia" w:ascii="楷体_GB2312" w:hAnsi="楷体_GB2312" w:eastAsia="楷体_GB2312" w:cs="楷体_GB2312"/>
          <w:b/>
          <w:bCs/>
          <w:szCs w:val="32"/>
          <w:highlight w:val="none"/>
        </w:rPr>
        <w:t>第四条</w:t>
      </w:r>
      <w:r>
        <w:rPr>
          <w:rFonts w:hint="eastAsia" w:ascii="楷体_GB2312" w:hAnsi="楷体_GB2312" w:eastAsia="楷体_GB2312" w:cs="楷体_GB2312"/>
          <w:b/>
          <w:bCs/>
          <w:szCs w:val="32"/>
          <w:highlight w:val="none"/>
          <w:lang w:val="en-US" w:eastAsia="zh-CN"/>
        </w:rPr>
        <w:t xml:space="preserve"> </w:t>
      </w:r>
      <w:bookmarkStart w:id="12" w:name="_Hlk214986587"/>
      <w:r>
        <w:rPr>
          <w:rFonts w:hint="eastAsia" w:ascii="楷体_GB2312" w:hAnsi="楷体_GB2312" w:eastAsia="楷体_GB2312" w:cs="楷体_GB2312"/>
          <w:b/>
          <w:bCs/>
          <w:szCs w:val="32"/>
          <w:highlight w:val="none"/>
        </w:rPr>
        <w:t>实施</w:t>
      </w:r>
      <w:bookmarkStart w:id="13" w:name="_Hlk206434701"/>
      <w:r>
        <w:rPr>
          <w:rFonts w:hint="eastAsia" w:ascii="楷体_GB2312" w:hAnsi="楷体_GB2312" w:eastAsia="楷体_GB2312" w:cs="楷体_GB2312"/>
          <w:b/>
          <w:bCs/>
          <w:szCs w:val="32"/>
          <w:highlight w:val="none"/>
        </w:rPr>
        <w:t>琴澳</w:t>
      </w:r>
      <w:bookmarkEnd w:id="13"/>
      <w:r>
        <w:rPr>
          <w:rFonts w:hint="eastAsia" w:ascii="楷体_GB2312" w:hAnsi="楷体_GB2312" w:eastAsia="楷体_GB2312" w:cs="楷体_GB2312"/>
          <w:b/>
          <w:bCs/>
          <w:szCs w:val="32"/>
          <w:highlight w:val="none"/>
        </w:rPr>
        <w:t>协同引才</w:t>
      </w:r>
      <w:bookmarkEnd w:id="12"/>
    </w:p>
    <w:p w14:paraId="36B341CC">
      <w:pPr>
        <w:adjustRightInd w:val="0"/>
        <w:snapToGrid w:val="0"/>
        <w:ind w:firstLine="640"/>
        <w:rPr>
          <w:rFonts w:hint="eastAsia" w:ascii="仿宋_GB2312" w:hAnsi="仿宋_GB2312" w:cs="仿宋_GB2312"/>
          <w:szCs w:val="32"/>
          <w:highlight w:val="none"/>
        </w:rPr>
      </w:pPr>
      <w:r>
        <w:rPr>
          <w:rFonts w:hint="eastAsia" w:ascii="仿宋_GB2312" w:hAnsi="仿宋_GB2312" w:cs="仿宋_GB2312"/>
          <w:szCs w:val="32"/>
          <w:highlight w:val="none"/>
        </w:rPr>
        <w:t>以服务新时代人才强国战略为目标，发挥“一国两制”制度叠加优势，“澳门+横琴”协同引进集聚一批具备较高专业素养、掌握先进科学技术、熟悉国际市场运作的海外高层次人才，</w:t>
      </w:r>
      <w:bookmarkStart w:id="14" w:name="_Hlk218700387"/>
      <w:r>
        <w:rPr>
          <w:rFonts w:hint="eastAsia" w:ascii="仿宋_GB2312" w:hAnsi="仿宋_GB2312" w:cs="仿宋_GB2312"/>
          <w:szCs w:val="32"/>
          <w:highlight w:val="none"/>
        </w:rPr>
        <w:t>通过“澳门研发+横琴转化”联动方式，推动在合作区创办一批科技企业或依托合作区现有企业</w:t>
      </w:r>
      <w:r>
        <w:rPr>
          <w:rFonts w:hint="eastAsia" w:ascii="仿宋_GB2312" w:hAnsi="仿宋_GB2312" w:cs="仿宋_GB2312"/>
          <w:szCs w:val="32"/>
          <w:highlight w:val="none"/>
        </w:rPr>
        <w:t>实现</w:t>
      </w:r>
      <w:r>
        <w:rPr>
          <w:rFonts w:hint="eastAsia" w:ascii="仿宋_GB2312" w:hAnsi="仿宋_GB2312" w:cs="仿宋_GB2312"/>
          <w:szCs w:val="32"/>
          <w:highlight w:val="none"/>
        </w:rPr>
        <w:t>重大科技成果转化落地</w:t>
      </w:r>
      <w:bookmarkEnd w:id="14"/>
      <w:r>
        <w:rPr>
          <w:rFonts w:hint="eastAsia" w:ascii="仿宋_GB2312" w:hAnsi="仿宋_GB2312" w:cs="仿宋_GB2312"/>
          <w:szCs w:val="32"/>
          <w:highlight w:val="none"/>
        </w:rPr>
        <w:t>。</w:t>
      </w:r>
    </w:p>
    <w:p w14:paraId="15F006A1">
      <w:pPr>
        <w:adjustRightInd w:val="0"/>
        <w:snapToGrid w:val="0"/>
        <w:ind w:firstLine="640"/>
        <w:rPr>
          <w:rFonts w:hint="eastAsia" w:ascii="仿宋_GB2312" w:hAnsi="仿宋_GB2312" w:cs="仿宋_GB2312"/>
          <w:szCs w:val="32"/>
          <w:highlight w:val="none"/>
        </w:rPr>
      </w:pPr>
      <w:r>
        <w:rPr>
          <w:rFonts w:hint="eastAsia" w:ascii="仿宋_GB2312" w:hAnsi="仿宋_GB2312" w:cs="仿宋_GB2312"/>
          <w:szCs w:val="32"/>
          <w:highlight w:val="none"/>
        </w:rPr>
        <w:t>（一）</w:t>
      </w:r>
      <w:bookmarkStart w:id="15" w:name="_Hlk214986913"/>
      <w:r>
        <w:rPr>
          <w:rFonts w:hint="eastAsia" w:ascii="仿宋_GB2312" w:hAnsi="仿宋_GB2312" w:cs="仿宋_GB2312"/>
          <w:szCs w:val="32"/>
          <w:highlight w:val="none"/>
        </w:rPr>
        <w:t>对经评审的海外高层次人才创新创业项目，采取财政资金资助和股权投资联动的方式给予支持。</w:t>
      </w:r>
      <w:r>
        <w:rPr>
          <w:rFonts w:hint="eastAsia" w:ascii="仿宋_GB2312" w:hAnsi="仿宋_GB2312" w:cs="仿宋_GB2312"/>
          <w:szCs w:val="32"/>
          <w:highlight w:val="none"/>
        </w:rPr>
        <w:t>给予</w:t>
      </w:r>
      <w:r>
        <w:rPr>
          <w:rFonts w:hint="eastAsia" w:ascii="仿宋_GB2312" w:hAnsi="仿宋_GB2312" w:cs="仿宋_GB2312"/>
          <w:szCs w:val="32"/>
          <w:highlight w:val="none"/>
        </w:rPr>
        <w:t>单个</w:t>
      </w:r>
      <w:r>
        <w:rPr>
          <w:rFonts w:hint="eastAsia" w:ascii="仿宋_GB2312" w:hAnsi="仿宋_GB2312" w:cs="仿宋_GB2312"/>
          <w:szCs w:val="32"/>
          <w:highlight w:val="none"/>
        </w:rPr>
        <w:t>海外高层次人才创新创业项目</w:t>
      </w:r>
      <w:r>
        <w:rPr>
          <w:rFonts w:hint="eastAsia" w:ascii="仿宋_GB2312" w:hAnsi="仿宋_GB2312" w:cs="仿宋_GB2312"/>
          <w:szCs w:val="32"/>
          <w:highlight w:val="none"/>
        </w:rPr>
        <w:t>最高一千万元的财政资金资助</w:t>
      </w:r>
      <w:bookmarkEnd w:id="15"/>
      <w:r>
        <w:rPr>
          <w:rFonts w:hint="eastAsia" w:ascii="仿宋_GB2312" w:hAnsi="仿宋_GB2312" w:cs="仿宋_GB2312"/>
          <w:szCs w:val="32"/>
          <w:highlight w:val="none"/>
        </w:rPr>
        <w:t>，实施“前置审批、落地执行”模式，实现“人才一落地、资金就到位、项目即启动”良好开局。</w:t>
      </w:r>
    </w:p>
    <w:p w14:paraId="343B07F6">
      <w:pPr>
        <w:pStyle w:val="19"/>
        <w:adjustRightInd w:val="0"/>
        <w:snapToGrid w:val="0"/>
        <w:ind w:firstLine="640"/>
        <w:jc w:val="both"/>
        <w:rPr>
          <w:rFonts w:ascii="Times New Roman Regular" w:hAnsi="Times New Roman Regular" w:cs="Times New Roman Regular"/>
          <w:szCs w:val="32"/>
          <w:highlight w:val="none"/>
        </w:rPr>
      </w:pPr>
      <w:r>
        <w:rPr>
          <w:rFonts w:hint="eastAsia" w:ascii="仿宋_GB2312" w:hAnsi="仿宋_GB2312" w:cs="仿宋_GB2312"/>
          <w:szCs w:val="32"/>
          <w:highlight w:val="none"/>
        </w:rPr>
        <w:t>（二）</w:t>
      </w:r>
      <w:bookmarkStart w:id="16" w:name="_Hlk218670864"/>
      <w:r>
        <w:rPr>
          <w:rFonts w:hint="eastAsia"/>
          <w:szCs w:val="32"/>
          <w:highlight w:val="none"/>
        </w:rPr>
        <w:t>对入选合作区</w:t>
      </w:r>
      <w:r>
        <w:rPr>
          <w:rFonts w:hint="eastAsia" w:ascii="Times New Roman Regular" w:hAnsi="Times New Roman Regular" w:cs="Times New Roman Regular"/>
          <w:szCs w:val="32"/>
          <w:highlight w:val="none"/>
        </w:rPr>
        <w:t>海外高层次人才创新创业项目的</w:t>
      </w:r>
      <w:r>
        <w:rPr>
          <w:rFonts w:hint="eastAsia" w:ascii="Times New Roman Regular" w:hAnsi="Times New Roman Regular" w:cs="Times New Roman Regular"/>
          <w:szCs w:val="32"/>
          <w:highlight w:val="none"/>
          <w:lang w:val="en-US" w:eastAsia="zh-CN"/>
        </w:rPr>
        <w:t>项目负责人</w:t>
      </w:r>
      <w:r>
        <w:rPr>
          <w:rFonts w:ascii="Times New Roman Regular" w:hAnsi="Times New Roman Regular" w:cs="Times New Roman Regular"/>
          <w:szCs w:val="32"/>
          <w:highlight w:val="none"/>
        </w:rPr>
        <w:t>，</w:t>
      </w:r>
      <w:bookmarkStart w:id="17" w:name="_Hlk213173783"/>
      <w:bookmarkStart w:id="18" w:name="_Hlk213419982"/>
      <w:r>
        <w:rPr>
          <w:rFonts w:hint="eastAsia" w:ascii="Times New Roman Regular" w:hAnsi="Times New Roman Regular" w:cs="Times New Roman Regular"/>
          <w:szCs w:val="32"/>
          <w:highlight w:val="none"/>
        </w:rPr>
        <w:t>合作区人才主管部门协助其</w:t>
      </w:r>
      <w:r>
        <w:rPr>
          <w:rFonts w:hint="eastAsia" w:ascii="Times New Roman Regular" w:hAnsi="Times New Roman Regular" w:cs="Times New Roman Regular"/>
          <w:szCs w:val="32"/>
          <w:highlight w:val="none"/>
        </w:rPr>
        <w:t>申请</w:t>
      </w:r>
      <w:r>
        <w:rPr>
          <w:rFonts w:hint="eastAsia" w:ascii="Times New Roman Regular" w:hAnsi="Times New Roman Regular" w:cs="Times New Roman Regular"/>
          <w:szCs w:val="32"/>
          <w:highlight w:val="none"/>
        </w:rPr>
        <w:t>澳门特区</w:t>
      </w:r>
      <w:bookmarkEnd w:id="17"/>
      <w:bookmarkEnd w:id="18"/>
      <w:r>
        <w:rPr>
          <w:rFonts w:hint="eastAsia" w:ascii="Times New Roman Regular" w:hAnsi="Times New Roman Regular" w:cs="Times New Roman Regular"/>
          <w:szCs w:val="32"/>
          <w:highlight w:val="none"/>
        </w:rPr>
        <w:t>政府相关支持政策</w:t>
      </w:r>
      <w:bookmarkEnd w:id="16"/>
      <w:r>
        <w:rPr>
          <w:rFonts w:ascii="Times New Roman Regular" w:hAnsi="Times New Roman Regular" w:cs="Times New Roman Regular"/>
          <w:szCs w:val="32"/>
          <w:highlight w:val="none"/>
        </w:rPr>
        <w:t>。</w:t>
      </w:r>
    </w:p>
    <w:p w14:paraId="57AD280E">
      <w:pPr>
        <w:pStyle w:val="19"/>
        <w:adjustRightInd w:val="0"/>
        <w:snapToGrid w:val="0"/>
        <w:ind w:firstLine="640"/>
        <w:jc w:val="both"/>
        <w:rPr>
          <w:rFonts w:ascii="Times New Roman Regular" w:hAnsi="Times New Roman Regular" w:cs="Times New Roman Regular"/>
          <w:szCs w:val="32"/>
          <w:highlight w:val="none"/>
        </w:rPr>
      </w:pPr>
    </w:p>
    <w:p w14:paraId="151B216B">
      <w:pPr>
        <w:adjustRightInd w:val="0"/>
        <w:snapToGrid w:val="0"/>
        <w:ind w:firstLine="640"/>
        <w:jc w:val="left"/>
        <w:rPr>
          <w:rFonts w:hint="eastAsia" w:ascii="仿宋_GB2312" w:hAnsi="仿宋_GB2312" w:cs="仿宋_GB2312"/>
          <w:szCs w:val="32"/>
          <w:highlight w:val="none"/>
        </w:rPr>
      </w:pPr>
      <w:r>
        <w:rPr>
          <w:rFonts w:hint="eastAsia" w:ascii="楷体_GB2312" w:hAnsi="楷体_GB2312" w:eastAsia="楷体_GB2312" w:cs="楷体_GB2312"/>
          <w:b/>
          <w:bCs/>
          <w:szCs w:val="32"/>
          <w:highlight w:val="none"/>
        </w:rPr>
        <w:t>第五条</w:t>
      </w:r>
      <w:r>
        <w:rPr>
          <w:rFonts w:hint="eastAsia" w:ascii="楷体_GB2312" w:hAnsi="楷体_GB2312" w:eastAsia="楷体_GB2312" w:cs="楷体_GB2312"/>
          <w:b/>
          <w:bCs/>
          <w:szCs w:val="32"/>
          <w:highlight w:val="none"/>
          <w:lang w:val="en-US" w:eastAsia="zh-CN"/>
        </w:rPr>
        <w:t xml:space="preserve"> </w:t>
      </w:r>
      <w:bookmarkStart w:id="19" w:name="_Hlk214986593"/>
      <w:r>
        <w:rPr>
          <w:rFonts w:hint="eastAsia" w:ascii="楷体_GB2312" w:hAnsi="楷体_GB2312" w:eastAsia="楷体_GB2312" w:cs="楷体_GB2312"/>
          <w:b/>
          <w:bCs/>
          <w:szCs w:val="32"/>
          <w:highlight w:val="none"/>
        </w:rPr>
        <w:t>支持澳门青年来合作区发展</w:t>
      </w:r>
      <w:bookmarkEnd w:id="19"/>
    </w:p>
    <w:p w14:paraId="3A451330">
      <w:pPr>
        <w:adjustRightInd w:val="0"/>
        <w:snapToGrid w:val="0"/>
        <w:ind w:firstLine="640"/>
        <w:rPr>
          <w:rFonts w:hint="eastAsia" w:ascii="仿宋_GB2312" w:hAnsi="仿宋_GB2312" w:cs="仿宋_GB2312"/>
          <w:szCs w:val="32"/>
          <w:highlight w:val="none"/>
        </w:rPr>
      </w:pPr>
      <w:r>
        <w:rPr>
          <w:rFonts w:hint="eastAsia" w:ascii="仿宋_GB2312" w:hAnsi="仿宋_GB2312" w:cs="仿宋_GB2312"/>
          <w:szCs w:val="32"/>
          <w:highlight w:val="none"/>
        </w:rPr>
        <w:t>生活补贴。支持澳门青年来合作区就业创业</w:t>
      </w:r>
      <w:bookmarkStart w:id="20" w:name="_Hlk211454195"/>
      <w:r>
        <w:rPr>
          <w:rFonts w:hint="eastAsia" w:ascii="仿宋_GB2312" w:hAnsi="仿宋_GB2312" w:cs="仿宋_GB2312"/>
          <w:szCs w:val="32"/>
          <w:highlight w:val="none"/>
        </w:rPr>
        <w:t>，对取得境内外高校博士</w:t>
      </w:r>
      <w:r>
        <w:rPr>
          <w:rFonts w:hint="eastAsia" w:ascii="仿宋_GB2312" w:hAnsi="仿宋_GB2312" w:cs="仿宋_GB2312"/>
          <w:szCs w:val="32"/>
          <w:highlight w:val="none"/>
        </w:rPr>
        <w:t>学位</w:t>
      </w:r>
      <w:r>
        <w:rPr>
          <w:rFonts w:ascii="Times New Roman Regular" w:hAnsi="Times New Roman Regular" w:cs="Times New Roman Regular"/>
          <w:szCs w:val="32"/>
          <w:highlight w:val="none"/>
        </w:rPr>
        <w:t>（或具备副高级以上职称）、硕士</w:t>
      </w:r>
      <w:r>
        <w:rPr>
          <w:rFonts w:hint="eastAsia" w:ascii="Times New Roman Regular" w:hAnsi="Times New Roman Regular" w:cs="Times New Roman Regular"/>
          <w:szCs w:val="32"/>
          <w:highlight w:val="none"/>
        </w:rPr>
        <w:t>学位</w:t>
      </w:r>
      <w:r>
        <w:rPr>
          <w:rFonts w:ascii="Times New Roman Regular" w:hAnsi="Times New Roman Regular" w:cs="Times New Roman Regular"/>
          <w:szCs w:val="32"/>
          <w:highlight w:val="none"/>
        </w:rPr>
        <w:t>（或具备中级职称）、学士</w:t>
      </w:r>
      <w:r>
        <w:rPr>
          <w:rFonts w:hint="eastAsia" w:ascii="Times New Roman Regular" w:hAnsi="Times New Roman Regular" w:cs="Times New Roman Regular"/>
          <w:szCs w:val="32"/>
          <w:highlight w:val="none"/>
        </w:rPr>
        <w:t>学位</w:t>
      </w:r>
      <w:r>
        <w:rPr>
          <w:rFonts w:ascii="Times New Roman Regular" w:hAnsi="Times New Roman Regular" w:cs="Times New Roman Regular"/>
          <w:szCs w:val="32"/>
          <w:highlight w:val="none"/>
        </w:rPr>
        <w:t>（或具备助理级职称）</w:t>
      </w:r>
      <w:r>
        <w:rPr>
          <w:rFonts w:hint="eastAsia" w:ascii="Times New Roman Regular" w:hAnsi="Times New Roman Regular" w:cs="Times New Roman Regular"/>
          <w:szCs w:val="32"/>
          <w:highlight w:val="none"/>
        </w:rPr>
        <w:t>的澳门青年</w:t>
      </w:r>
      <w:r>
        <w:rPr>
          <w:rFonts w:hint="eastAsia" w:ascii="Times New Roman Regular" w:hAnsi="Times New Roman Regular" w:cs="Times New Roman Regular"/>
          <w:szCs w:val="32"/>
          <w:highlight w:val="none"/>
          <w:lang w:eastAsia="zh-CN"/>
        </w:rPr>
        <w:t>可分别申请</w:t>
      </w:r>
      <w:bookmarkEnd w:id="20"/>
      <w:bookmarkStart w:id="21" w:name="_Hlk214986973"/>
      <w:r>
        <w:rPr>
          <w:rFonts w:hint="eastAsia" w:ascii="仿宋_GB2312" w:hAnsi="仿宋_GB2312" w:cs="仿宋_GB2312"/>
          <w:szCs w:val="32"/>
          <w:highlight w:val="none"/>
        </w:rPr>
        <w:t>每人二十七万元、九万元、六万元生活补贴</w:t>
      </w:r>
      <w:bookmarkEnd w:id="21"/>
      <w:r>
        <w:rPr>
          <w:rFonts w:hint="eastAsia" w:ascii="仿宋_GB2312" w:hAnsi="仿宋_GB2312" w:cs="仿宋_GB2312"/>
          <w:szCs w:val="32"/>
          <w:highlight w:val="none"/>
        </w:rPr>
        <w:t>，</w:t>
      </w:r>
      <w:bookmarkStart w:id="22" w:name="_Hlk214986979"/>
      <w:r>
        <w:rPr>
          <w:rFonts w:hint="eastAsia" w:ascii="仿宋_GB2312" w:hAnsi="仿宋_GB2312" w:cs="仿宋_GB2312"/>
          <w:szCs w:val="32"/>
          <w:highlight w:val="none"/>
        </w:rPr>
        <w:t>分三年等额发放</w:t>
      </w:r>
      <w:bookmarkEnd w:id="22"/>
      <w:r>
        <w:rPr>
          <w:rFonts w:hint="eastAsia" w:ascii="仿宋_GB2312" w:hAnsi="仿宋_GB2312" w:cs="仿宋_GB2312"/>
          <w:szCs w:val="32"/>
          <w:highlight w:val="none"/>
        </w:rPr>
        <w:t>。</w:t>
      </w:r>
    </w:p>
    <w:p w14:paraId="06FDF5E0">
      <w:pPr>
        <w:adjustRightInd w:val="0"/>
        <w:snapToGrid w:val="0"/>
        <w:ind w:firstLine="640"/>
        <w:rPr>
          <w:rFonts w:ascii="Times New Roman Regular" w:hAnsi="Times New Roman Regular" w:cs="Times New Roman Regular"/>
          <w:szCs w:val="32"/>
          <w:highlight w:val="none"/>
        </w:rPr>
      </w:pPr>
      <w:r>
        <w:rPr>
          <w:rFonts w:hint="eastAsia" w:ascii="Times New Roman Regular" w:hAnsi="Times New Roman Regular" w:cs="Times New Roman Regular"/>
          <w:szCs w:val="32"/>
          <w:highlight w:val="none"/>
        </w:rPr>
        <w:t>创业资助。对取得境内外</w:t>
      </w:r>
      <w:r>
        <w:rPr>
          <w:rFonts w:hint="eastAsia" w:ascii="Times New Roman Regular" w:hAnsi="Times New Roman Regular" w:cs="Times New Roman Regular"/>
          <w:szCs w:val="32"/>
          <w:highlight w:val="none"/>
        </w:rPr>
        <w:t>学士</w:t>
      </w:r>
      <w:r>
        <w:rPr>
          <w:rFonts w:hint="eastAsia" w:ascii="Times New Roman Regular" w:hAnsi="Times New Roman Regular" w:cs="Times New Roman Regular"/>
          <w:szCs w:val="32"/>
          <w:highlight w:val="none"/>
        </w:rPr>
        <w:t>及以上</w:t>
      </w:r>
      <w:r>
        <w:rPr>
          <w:rFonts w:hint="eastAsia" w:ascii="Times New Roman Regular" w:hAnsi="Times New Roman Regular" w:cs="Times New Roman Regular"/>
          <w:szCs w:val="32"/>
          <w:highlight w:val="none"/>
        </w:rPr>
        <w:t>学位</w:t>
      </w:r>
      <w:r>
        <w:rPr>
          <w:rFonts w:hint="eastAsia" w:ascii="Times New Roman Regular" w:hAnsi="Times New Roman Regular" w:cs="Times New Roman Regular"/>
          <w:szCs w:val="32"/>
          <w:highlight w:val="none"/>
        </w:rPr>
        <w:t>的澳门青年携项目</w:t>
      </w:r>
      <w:bookmarkStart w:id="23" w:name="_Hlk214986998"/>
      <w:r>
        <w:rPr>
          <w:rFonts w:hint="eastAsia" w:ascii="Times New Roman Regular" w:hAnsi="Times New Roman Regular" w:cs="Times New Roman Regular"/>
          <w:szCs w:val="32"/>
          <w:highlight w:val="none"/>
        </w:rPr>
        <w:t>来合作区创办科技企业，经评审给予最高一百万元资助，</w:t>
      </w:r>
      <w:bookmarkEnd w:id="23"/>
      <w:bookmarkStart w:id="24" w:name="_Hlk219278041"/>
      <w:r>
        <w:rPr>
          <w:rFonts w:hint="eastAsia" w:ascii="Times New Roman Regular" w:hAnsi="Times New Roman Regular" w:cs="Times New Roman Regular"/>
          <w:szCs w:val="32"/>
          <w:highlight w:val="none"/>
        </w:rPr>
        <w:t>支持其按合作区政府投资基金管理规定申请投资</w:t>
      </w:r>
      <w:bookmarkEnd w:id="24"/>
      <w:r>
        <w:rPr>
          <w:rFonts w:hint="eastAsia" w:ascii="Times New Roman Regular" w:hAnsi="Times New Roman Regular" w:cs="Times New Roman Regular"/>
          <w:szCs w:val="32"/>
          <w:highlight w:val="none"/>
        </w:rPr>
        <w:t>扶持</w:t>
      </w:r>
      <w:r>
        <w:rPr>
          <w:rFonts w:hint="eastAsia" w:ascii="Times New Roman Regular" w:hAnsi="Times New Roman Regular" w:cs="Times New Roman Regular"/>
          <w:szCs w:val="32"/>
          <w:highlight w:val="none"/>
        </w:rPr>
        <w:t>。</w:t>
      </w:r>
    </w:p>
    <w:p w14:paraId="22430C60">
      <w:pPr>
        <w:adjustRightInd w:val="0"/>
        <w:snapToGrid w:val="0"/>
        <w:ind w:firstLine="640"/>
        <w:rPr>
          <w:rFonts w:ascii="Times New Roman Regular" w:hAnsi="Times New Roman Regular" w:cs="Times New Roman Regular"/>
          <w:szCs w:val="32"/>
          <w:highlight w:val="none"/>
        </w:rPr>
      </w:pPr>
      <w:bookmarkStart w:id="25" w:name="_Hlk212543020"/>
      <w:r>
        <w:rPr>
          <w:rFonts w:hint="eastAsia" w:ascii="Times New Roman Regular" w:hAnsi="Times New Roman Regular" w:cs="Times New Roman Regular"/>
          <w:szCs w:val="32"/>
          <w:highlight w:val="none"/>
        </w:rPr>
        <w:t>对取得国（境）外高水平大学的</w:t>
      </w:r>
      <w:r>
        <w:rPr>
          <w:rFonts w:hint="eastAsia" w:ascii="Times New Roman Regular" w:hAnsi="Times New Roman Regular" w:cs="Times New Roman Regular"/>
          <w:szCs w:val="32"/>
          <w:highlight w:val="none"/>
        </w:rPr>
        <w:t>学士</w:t>
      </w:r>
      <w:r>
        <w:rPr>
          <w:rFonts w:hint="eastAsia" w:ascii="Times New Roman Regular" w:hAnsi="Times New Roman Regular" w:cs="Times New Roman Regular"/>
          <w:szCs w:val="32"/>
          <w:highlight w:val="none"/>
        </w:rPr>
        <w:t>及以上</w:t>
      </w:r>
      <w:r>
        <w:rPr>
          <w:rFonts w:hint="eastAsia" w:ascii="Times New Roman Regular" w:hAnsi="Times New Roman Regular" w:cs="Times New Roman Regular"/>
          <w:szCs w:val="32"/>
          <w:highlight w:val="none"/>
        </w:rPr>
        <w:t>学位</w:t>
      </w:r>
      <w:r>
        <w:rPr>
          <w:rFonts w:hint="eastAsia" w:ascii="Times New Roman Regular" w:hAnsi="Times New Roman Regular" w:cs="Times New Roman Regular"/>
          <w:szCs w:val="32"/>
          <w:highlight w:val="none"/>
        </w:rPr>
        <w:t>留学人员携项目来合作区创办科技企业，参照澳门青年创业资助给予支持。</w:t>
      </w:r>
    </w:p>
    <w:p w14:paraId="013E78B9">
      <w:pPr>
        <w:pStyle w:val="2"/>
        <w:ind w:firstLine="600"/>
        <w:rPr>
          <w:sz w:val="32"/>
          <w:szCs w:val="32"/>
          <w:highlight w:val="none"/>
        </w:rPr>
      </w:pPr>
    </w:p>
    <w:p w14:paraId="0D829394">
      <w:pPr>
        <w:adjustRightInd w:val="0"/>
        <w:snapToGrid w:val="0"/>
        <w:ind w:firstLine="643" w:firstLineChars="200"/>
        <w:jc w:val="left"/>
        <w:rPr>
          <w:sz w:val="32"/>
          <w:szCs w:val="32"/>
          <w:highlight w:val="none"/>
        </w:rPr>
      </w:pPr>
      <w:r>
        <w:rPr>
          <w:rFonts w:hint="eastAsia" w:ascii="楷体_GB2312" w:hAnsi="楷体_GB2312" w:eastAsia="楷体_GB2312" w:cs="楷体_GB2312"/>
          <w:b/>
          <w:bCs/>
          <w:szCs w:val="32"/>
          <w:highlight w:val="none"/>
        </w:rPr>
        <w:t>第六条</w:t>
      </w:r>
      <w:r>
        <w:rPr>
          <w:rFonts w:hint="eastAsia" w:ascii="楷体_GB2312" w:hAnsi="楷体_GB2312" w:eastAsia="楷体_GB2312" w:cs="楷体_GB2312"/>
          <w:b/>
          <w:bCs/>
          <w:szCs w:val="32"/>
          <w:highlight w:val="none"/>
          <w:lang w:val="en-US" w:eastAsia="zh-CN"/>
        </w:rPr>
        <w:t xml:space="preserve"> </w:t>
      </w:r>
      <w:r>
        <w:rPr>
          <w:rFonts w:hint="eastAsia" w:ascii="楷体_GB2312" w:hAnsi="楷体_GB2312" w:eastAsia="楷体_GB2312" w:cs="楷体_GB2312"/>
          <w:b/>
          <w:bCs/>
          <w:szCs w:val="32"/>
          <w:highlight w:val="none"/>
        </w:rPr>
        <w:t>支持澳门专业人才跨境执业</w:t>
      </w:r>
    </w:p>
    <w:p w14:paraId="61B12EC0">
      <w:pPr>
        <w:pStyle w:val="2"/>
        <w:adjustRightInd w:val="0"/>
        <w:snapToGrid w:val="0"/>
        <w:rPr>
          <w:rFonts w:ascii="Times New Roman Regular" w:hAnsi="Times New Roman Regular" w:cs="Times New Roman Regular"/>
          <w:sz w:val="32"/>
          <w:szCs w:val="32"/>
          <w:highlight w:val="none"/>
        </w:rPr>
      </w:pPr>
      <w:bookmarkStart w:id="26" w:name="_Hlk216509615"/>
      <w:r>
        <w:rPr>
          <w:rFonts w:hint="eastAsia"/>
          <w:sz w:val="32"/>
          <w:szCs w:val="32"/>
          <w:highlight w:val="none"/>
        </w:rPr>
        <w:t>对在合作区工作</w:t>
      </w:r>
      <w:bookmarkEnd w:id="26"/>
      <w:r>
        <w:rPr>
          <w:rFonts w:hint="eastAsia"/>
          <w:sz w:val="32"/>
          <w:szCs w:val="32"/>
          <w:highlight w:val="none"/>
        </w:rPr>
        <w:t>，提供金融、会计、税务、法律、医疗等</w:t>
      </w:r>
      <w:r>
        <w:rPr>
          <w:rFonts w:hint="eastAsia"/>
          <w:sz w:val="32"/>
          <w:szCs w:val="32"/>
          <w:highlight w:val="none"/>
        </w:rPr>
        <w:t>领域</w:t>
      </w:r>
      <w:r>
        <w:rPr>
          <w:rFonts w:hint="eastAsia"/>
          <w:sz w:val="32"/>
          <w:szCs w:val="32"/>
          <w:highlight w:val="none"/>
        </w:rPr>
        <w:t>专业服务，</w:t>
      </w:r>
      <w:bookmarkStart w:id="27" w:name="_Hlk216509629"/>
      <w:r>
        <w:rPr>
          <w:rFonts w:hint="eastAsia"/>
          <w:sz w:val="32"/>
          <w:szCs w:val="32"/>
          <w:highlight w:val="none"/>
        </w:rPr>
        <w:t>取得</w:t>
      </w:r>
      <w:r>
        <w:rPr>
          <w:rFonts w:hint="eastAsia"/>
          <w:sz w:val="32"/>
          <w:szCs w:val="32"/>
          <w:highlight w:val="none"/>
        </w:rPr>
        <w:t>《横琴粤澳深度合作区支持澳门专业人士跨境执业补贴目录清单》</w:t>
      </w:r>
      <w:r>
        <w:rPr>
          <w:rFonts w:hint="eastAsia"/>
          <w:sz w:val="32"/>
          <w:szCs w:val="32"/>
          <w:highlight w:val="none"/>
        </w:rPr>
        <w:t>内执业资格</w:t>
      </w:r>
      <w:bookmarkEnd w:id="27"/>
      <w:r>
        <w:rPr>
          <w:rFonts w:hint="eastAsia"/>
          <w:sz w:val="32"/>
          <w:szCs w:val="32"/>
          <w:highlight w:val="none"/>
        </w:rPr>
        <w:t>的</w:t>
      </w:r>
      <w:bookmarkStart w:id="28" w:name="_Hlk216509643"/>
      <w:r>
        <w:rPr>
          <w:rFonts w:hint="eastAsia"/>
          <w:sz w:val="32"/>
          <w:szCs w:val="32"/>
          <w:highlight w:val="none"/>
        </w:rPr>
        <w:t>澳门专业人才</w:t>
      </w:r>
      <w:bookmarkEnd w:id="28"/>
      <w:r>
        <w:rPr>
          <w:rFonts w:hint="eastAsia"/>
          <w:sz w:val="32"/>
          <w:szCs w:val="32"/>
          <w:highlight w:val="none"/>
        </w:rPr>
        <w:t>，一次性补贴三万元。</w:t>
      </w:r>
    </w:p>
    <w:bookmarkEnd w:id="25"/>
    <w:p w14:paraId="655B6AA4">
      <w:pPr>
        <w:pStyle w:val="19"/>
        <w:ind w:firstLine="640"/>
        <w:rPr>
          <w:rFonts w:hint="eastAsia"/>
          <w:szCs w:val="32"/>
          <w:highlight w:val="none"/>
        </w:rPr>
      </w:pPr>
    </w:p>
    <w:p w14:paraId="7F170F2F">
      <w:pPr>
        <w:adjustRightInd w:val="0"/>
        <w:snapToGrid w:val="0"/>
        <w:ind w:firstLine="0" w:firstLineChars="0"/>
        <w:jc w:val="center"/>
        <w:rPr>
          <w:rFonts w:hint="eastAsia" w:ascii="黑体" w:hAnsi="黑体" w:eastAsia="黑体" w:cs="黑体"/>
          <w:szCs w:val="32"/>
          <w:highlight w:val="none"/>
        </w:rPr>
      </w:pPr>
      <w:r>
        <w:rPr>
          <w:rFonts w:hint="eastAsia" w:ascii="黑体" w:hAnsi="黑体" w:eastAsia="黑体" w:cs="黑体"/>
          <w:szCs w:val="32"/>
          <w:highlight w:val="none"/>
        </w:rPr>
        <w:t>第三章</w:t>
      </w:r>
    </w:p>
    <w:p w14:paraId="32AE76B6">
      <w:pPr>
        <w:adjustRightInd w:val="0"/>
        <w:snapToGrid w:val="0"/>
        <w:ind w:firstLine="0" w:firstLineChars="0"/>
        <w:jc w:val="center"/>
        <w:rPr>
          <w:rFonts w:hint="eastAsia" w:ascii="黑体" w:hAnsi="黑体" w:eastAsia="黑体" w:cs="黑体"/>
          <w:szCs w:val="32"/>
          <w:highlight w:val="none"/>
        </w:rPr>
      </w:pPr>
      <w:bookmarkStart w:id="29" w:name="_Hlk214987036"/>
      <w:r>
        <w:rPr>
          <w:rFonts w:hint="eastAsia" w:ascii="黑体" w:hAnsi="黑体" w:eastAsia="黑体" w:cs="黑体"/>
          <w:szCs w:val="32"/>
          <w:highlight w:val="none"/>
        </w:rPr>
        <w:t>支持人才集聚发展</w:t>
      </w:r>
    </w:p>
    <w:bookmarkEnd w:id="29"/>
    <w:p w14:paraId="6A0CE8AD">
      <w:pPr>
        <w:adjustRightInd w:val="0"/>
        <w:snapToGrid w:val="0"/>
        <w:ind w:firstLine="0" w:firstLineChars="0"/>
        <w:rPr>
          <w:rFonts w:hint="eastAsia" w:ascii="黑体" w:hAnsi="黑体" w:eastAsia="黑体" w:cs="黑体"/>
          <w:szCs w:val="32"/>
          <w:highlight w:val="none"/>
        </w:rPr>
      </w:pPr>
    </w:p>
    <w:p w14:paraId="3A7A9907">
      <w:pPr>
        <w:adjustRightInd w:val="0"/>
        <w:snapToGrid w:val="0"/>
        <w:ind w:firstLine="643" w:firstLineChars="200"/>
        <w:jc w:val="left"/>
        <w:rPr>
          <w:highlight w:val="none"/>
        </w:rPr>
      </w:pPr>
      <w:r>
        <w:rPr>
          <w:rFonts w:hint="eastAsia" w:ascii="楷体_GB2312" w:hAnsi="楷体_GB2312" w:eastAsia="楷体_GB2312" w:cs="楷体_GB2312"/>
          <w:b/>
          <w:bCs/>
          <w:szCs w:val="32"/>
          <w:highlight w:val="none"/>
        </w:rPr>
        <w:t>第七条</w:t>
      </w:r>
      <w:r>
        <w:rPr>
          <w:rFonts w:hint="eastAsia" w:ascii="楷体_GB2312" w:hAnsi="楷体_GB2312" w:eastAsia="楷体_GB2312" w:cs="楷体_GB2312"/>
          <w:b/>
          <w:bCs/>
          <w:szCs w:val="32"/>
          <w:highlight w:val="none"/>
          <w:lang w:val="en-US" w:eastAsia="zh-CN"/>
        </w:rPr>
        <w:t xml:space="preserve"> </w:t>
      </w:r>
      <w:bookmarkStart w:id="30" w:name="_Hlk214987059"/>
      <w:r>
        <w:rPr>
          <w:rFonts w:hint="eastAsia" w:ascii="楷体_GB2312" w:hAnsi="楷体_GB2312" w:eastAsia="楷体_GB2312" w:cs="楷体_GB2312"/>
          <w:b/>
          <w:bCs/>
          <w:szCs w:val="32"/>
          <w:highlight w:val="none"/>
        </w:rPr>
        <w:t>支持引进高层次人才</w:t>
      </w:r>
      <w:bookmarkEnd w:id="30"/>
    </w:p>
    <w:p w14:paraId="45CE49EC">
      <w:pPr>
        <w:adjustRightInd w:val="0"/>
        <w:snapToGrid w:val="0"/>
        <w:ind w:firstLine="640"/>
        <w:rPr>
          <w:szCs w:val="32"/>
          <w:highlight w:val="none"/>
        </w:rPr>
      </w:pPr>
      <w:r>
        <w:rPr>
          <w:rFonts w:hint="eastAsia"/>
          <w:szCs w:val="32"/>
          <w:highlight w:val="none"/>
        </w:rPr>
        <w:t>面向海内外引进一批掌握先进技术、引领带动产业发展的人才来合作区创新创业，经评定</w:t>
      </w:r>
      <w:r>
        <w:rPr>
          <w:rFonts w:hint="eastAsia"/>
          <w:szCs w:val="32"/>
          <w:highlight w:val="none"/>
        </w:rPr>
        <w:t>的</w:t>
      </w:r>
      <w:r>
        <w:rPr>
          <w:rFonts w:hint="eastAsia"/>
          <w:szCs w:val="32"/>
          <w:highlight w:val="none"/>
        </w:rPr>
        <w:t>合作区高层次人才可享受以下政策：</w:t>
      </w:r>
    </w:p>
    <w:p w14:paraId="15F6C365">
      <w:pPr>
        <w:adjustRightInd w:val="0"/>
        <w:snapToGrid w:val="0"/>
        <w:ind w:firstLine="640"/>
        <w:rPr>
          <w:szCs w:val="32"/>
          <w:highlight w:val="none"/>
        </w:rPr>
      </w:pPr>
      <w:r>
        <w:rPr>
          <w:rFonts w:hint="eastAsia"/>
          <w:szCs w:val="32"/>
          <w:highlight w:val="none"/>
        </w:rPr>
        <w:t>（一）生活补贴。</w:t>
      </w:r>
      <w:r>
        <w:rPr>
          <w:rFonts w:hint="eastAsia"/>
          <w:szCs w:val="32"/>
          <w:highlight w:val="none"/>
          <w:lang w:val="en-US" w:eastAsia="zh-CN"/>
        </w:rPr>
        <w:t>经评定的</w:t>
      </w:r>
      <w:bookmarkStart w:id="31" w:name="_Hlk214987132"/>
      <w:r>
        <w:rPr>
          <w:rFonts w:hint="eastAsia"/>
          <w:szCs w:val="32"/>
          <w:highlight w:val="none"/>
        </w:rPr>
        <w:t>“杰出人才”“领军人才”“拔尖人才”“青年英才”</w:t>
      </w:r>
      <w:bookmarkEnd w:id="31"/>
      <w:bookmarkStart w:id="32" w:name="_Hlk214987141"/>
      <w:r>
        <w:rPr>
          <w:rFonts w:hint="eastAsia"/>
          <w:szCs w:val="32"/>
          <w:highlight w:val="none"/>
          <w:lang w:val="en-US" w:eastAsia="zh-CN"/>
        </w:rPr>
        <w:t>可分别申请</w:t>
      </w:r>
      <w:bookmarkStart w:id="33" w:name="_Hlk214466912"/>
      <w:r>
        <w:rPr>
          <w:rFonts w:hint="eastAsia"/>
          <w:szCs w:val="32"/>
          <w:highlight w:val="none"/>
        </w:rPr>
        <w:t>五百六十</w:t>
      </w:r>
      <w:r>
        <w:rPr>
          <w:rFonts w:hint="eastAsia"/>
          <w:szCs w:val="32"/>
          <w:highlight w:val="none"/>
        </w:rPr>
        <w:t>万元、</w:t>
      </w:r>
      <w:r>
        <w:rPr>
          <w:rFonts w:hint="eastAsia"/>
          <w:szCs w:val="32"/>
          <w:highlight w:val="none"/>
        </w:rPr>
        <w:t>二百一十</w:t>
      </w:r>
      <w:r>
        <w:rPr>
          <w:rFonts w:hint="eastAsia"/>
          <w:szCs w:val="32"/>
          <w:highlight w:val="none"/>
        </w:rPr>
        <w:t>万元、</w:t>
      </w:r>
      <w:r>
        <w:rPr>
          <w:rFonts w:hint="eastAsia"/>
          <w:szCs w:val="32"/>
          <w:highlight w:val="none"/>
        </w:rPr>
        <w:t>一百四十</w:t>
      </w:r>
      <w:r>
        <w:rPr>
          <w:rFonts w:hint="eastAsia"/>
          <w:szCs w:val="32"/>
          <w:highlight w:val="none"/>
        </w:rPr>
        <w:t>万元、</w:t>
      </w:r>
      <w:r>
        <w:rPr>
          <w:rFonts w:hint="eastAsia"/>
          <w:szCs w:val="32"/>
          <w:highlight w:val="none"/>
        </w:rPr>
        <w:t>一百零五</w:t>
      </w:r>
      <w:r>
        <w:rPr>
          <w:rFonts w:hint="eastAsia"/>
          <w:szCs w:val="32"/>
          <w:highlight w:val="none"/>
        </w:rPr>
        <w:t>万元</w:t>
      </w:r>
      <w:bookmarkEnd w:id="33"/>
      <w:r>
        <w:rPr>
          <w:rFonts w:hint="eastAsia"/>
          <w:szCs w:val="32"/>
          <w:highlight w:val="none"/>
        </w:rPr>
        <w:t>的生活补贴，</w:t>
      </w:r>
      <w:r>
        <w:rPr>
          <w:rFonts w:hint="eastAsia"/>
          <w:szCs w:val="32"/>
          <w:highlight w:val="none"/>
          <w:lang w:val="en-US" w:eastAsia="zh-CN"/>
        </w:rPr>
        <w:t>补贴</w:t>
      </w:r>
      <w:r>
        <w:rPr>
          <w:rFonts w:hint="eastAsia"/>
          <w:szCs w:val="32"/>
          <w:highlight w:val="none"/>
        </w:rPr>
        <w:t>分五年等额发放</w:t>
      </w:r>
      <w:bookmarkEnd w:id="32"/>
      <w:r>
        <w:rPr>
          <w:rFonts w:hint="eastAsia"/>
          <w:szCs w:val="32"/>
          <w:highlight w:val="none"/>
        </w:rPr>
        <w:t>。</w:t>
      </w:r>
    </w:p>
    <w:p w14:paraId="36B2B94E">
      <w:pPr>
        <w:adjustRightInd w:val="0"/>
        <w:snapToGrid w:val="0"/>
        <w:ind w:firstLine="640"/>
        <w:rPr>
          <w:szCs w:val="32"/>
          <w:highlight w:val="none"/>
        </w:rPr>
      </w:pPr>
      <w:r>
        <w:rPr>
          <w:rFonts w:hint="eastAsia"/>
          <w:szCs w:val="32"/>
          <w:highlight w:val="none"/>
        </w:rPr>
        <w:t>（二）住房补贴。经评定的“杰出人才”“领军人才”“拔尖人才”“青年英才”</w:t>
      </w:r>
      <w:r>
        <w:rPr>
          <w:rFonts w:hint="eastAsia"/>
          <w:szCs w:val="32"/>
          <w:highlight w:val="none"/>
          <w:lang w:val="en-US" w:eastAsia="zh-CN"/>
        </w:rPr>
        <w:t>可</w:t>
      </w:r>
      <w:r>
        <w:rPr>
          <w:rFonts w:hint="eastAsia"/>
          <w:szCs w:val="32"/>
          <w:highlight w:val="none"/>
        </w:rPr>
        <w:t>分别</w:t>
      </w:r>
      <w:r>
        <w:rPr>
          <w:rFonts w:hint="eastAsia"/>
          <w:szCs w:val="32"/>
          <w:highlight w:val="none"/>
          <w:lang w:val="en-US" w:eastAsia="zh-CN"/>
        </w:rPr>
        <w:t>申请最高</w:t>
      </w:r>
      <w:r>
        <w:rPr>
          <w:rFonts w:hint="eastAsia"/>
          <w:szCs w:val="32"/>
          <w:highlight w:val="none"/>
        </w:rPr>
        <w:t>二百四十</w:t>
      </w:r>
      <w:r>
        <w:rPr>
          <w:rFonts w:hint="eastAsia"/>
          <w:szCs w:val="32"/>
          <w:highlight w:val="none"/>
        </w:rPr>
        <w:t>万元、</w:t>
      </w:r>
      <w:r>
        <w:rPr>
          <w:rFonts w:hint="eastAsia"/>
          <w:szCs w:val="32"/>
          <w:highlight w:val="none"/>
        </w:rPr>
        <w:t>九十</w:t>
      </w:r>
      <w:r>
        <w:rPr>
          <w:rFonts w:hint="eastAsia"/>
          <w:szCs w:val="32"/>
          <w:highlight w:val="none"/>
        </w:rPr>
        <w:t>万元、</w:t>
      </w:r>
      <w:r>
        <w:rPr>
          <w:rFonts w:hint="eastAsia"/>
          <w:szCs w:val="32"/>
          <w:highlight w:val="none"/>
        </w:rPr>
        <w:t>六十</w:t>
      </w:r>
      <w:r>
        <w:rPr>
          <w:rFonts w:hint="eastAsia"/>
          <w:szCs w:val="32"/>
          <w:highlight w:val="none"/>
        </w:rPr>
        <w:t>万元、</w:t>
      </w:r>
      <w:r>
        <w:rPr>
          <w:rFonts w:hint="eastAsia"/>
          <w:szCs w:val="32"/>
          <w:highlight w:val="none"/>
        </w:rPr>
        <w:t>四十五</w:t>
      </w:r>
      <w:r>
        <w:rPr>
          <w:rFonts w:hint="eastAsia"/>
          <w:szCs w:val="32"/>
          <w:highlight w:val="none"/>
        </w:rPr>
        <w:t>万元的</w:t>
      </w:r>
      <w:bookmarkStart w:id="34" w:name="_Hlk214987156"/>
      <w:r>
        <w:rPr>
          <w:rFonts w:hint="eastAsia"/>
          <w:szCs w:val="32"/>
          <w:highlight w:val="none"/>
        </w:rPr>
        <w:t>住房补贴</w:t>
      </w:r>
      <w:bookmarkEnd w:id="34"/>
      <w:r>
        <w:rPr>
          <w:rFonts w:hint="eastAsia"/>
          <w:szCs w:val="32"/>
          <w:highlight w:val="none"/>
        </w:rPr>
        <w:t>，</w:t>
      </w:r>
      <w:r>
        <w:rPr>
          <w:rFonts w:hint="eastAsia"/>
          <w:szCs w:val="32"/>
          <w:highlight w:val="none"/>
          <w:lang w:val="en-US" w:eastAsia="zh-CN"/>
        </w:rPr>
        <w:t>补贴</w:t>
      </w:r>
      <w:r>
        <w:rPr>
          <w:rFonts w:hint="eastAsia"/>
          <w:szCs w:val="32"/>
          <w:highlight w:val="none"/>
        </w:rPr>
        <w:t>分五年发放</w:t>
      </w:r>
      <w:r>
        <w:rPr>
          <w:rFonts w:hint="eastAsia"/>
          <w:szCs w:val="32"/>
          <w:highlight w:val="none"/>
        </w:rPr>
        <w:t>。</w:t>
      </w:r>
    </w:p>
    <w:p w14:paraId="017BC759">
      <w:pPr>
        <w:adjustRightInd w:val="0"/>
        <w:snapToGrid w:val="0"/>
        <w:ind w:firstLine="640"/>
        <w:rPr>
          <w:szCs w:val="32"/>
          <w:highlight w:val="none"/>
        </w:rPr>
      </w:pPr>
      <w:r>
        <w:rPr>
          <w:rFonts w:hint="eastAsia"/>
          <w:szCs w:val="32"/>
          <w:highlight w:val="none"/>
        </w:rPr>
        <w:t>（三）项目支持。对开展战略性和前瞻性产业研究和转化的高层次人才创新团队项目，优先支持申请合作区科技创新计划项目。</w:t>
      </w:r>
    </w:p>
    <w:p w14:paraId="049B44ED">
      <w:pPr>
        <w:adjustRightInd w:val="0"/>
        <w:snapToGrid w:val="0"/>
        <w:ind w:firstLine="640"/>
        <w:rPr>
          <w:szCs w:val="32"/>
          <w:highlight w:val="none"/>
        </w:rPr>
      </w:pPr>
      <w:r>
        <w:rPr>
          <w:rFonts w:hint="eastAsia"/>
          <w:szCs w:val="32"/>
          <w:highlight w:val="none"/>
        </w:rPr>
        <w:t>（四）子女教育。对高层次人才子女就读合作区公办学前、义务教育阶段学校提供学位保障，选择就读合作区非公办学校或澳门非实施免费教育学校的，</w:t>
      </w:r>
      <w:r>
        <w:rPr>
          <w:rFonts w:hint="eastAsia" w:ascii="Times New Roman Regular" w:hAnsi="Times New Roman Regular" w:cs="Times New Roman Regular"/>
          <w:szCs w:val="32"/>
          <w:highlight w:val="none"/>
          <w:lang w:eastAsia="zh-CN"/>
        </w:rPr>
        <w:t>可</w:t>
      </w:r>
      <w:r>
        <w:rPr>
          <w:rFonts w:hint="eastAsia"/>
          <w:szCs w:val="32"/>
          <w:highlight w:val="none"/>
        </w:rPr>
        <w:t>按初中教育阶段（含）前累计缴交学费金额的百分之三十以家庭为单位</w:t>
      </w:r>
      <w:r>
        <w:rPr>
          <w:rFonts w:hint="eastAsia" w:ascii="Times New Roman Regular" w:hAnsi="Times New Roman Regular" w:cs="Times New Roman Regular"/>
          <w:szCs w:val="32"/>
          <w:highlight w:val="none"/>
          <w:lang w:eastAsia="zh-CN"/>
        </w:rPr>
        <w:t>申请</w:t>
      </w:r>
      <w:r>
        <w:rPr>
          <w:rFonts w:hint="eastAsia"/>
          <w:szCs w:val="32"/>
          <w:highlight w:val="none"/>
        </w:rPr>
        <w:t>一次性补贴，最高三十万元。</w:t>
      </w:r>
    </w:p>
    <w:p w14:paraId="53AFF64A">
      <w:pPr>
        <w:adjustRightInd w:val="0"/>
        <w:snapToGrid w:val="0"/>
        <w:ind w:firstLine="640"/>
        <w:rPr>
          <w:rFonts w:ascii="Times New Roman Regular" w:hAnsi="Times New Roman Regular" w:cs="Times New Roman Regular"/>
          <w:szCs w:val="32"/>
          <w:highlight w:val="none"/>
        </w:rPr>
      </w:pPr>
      <w:r>
        <w:rPr>
          <w:rFonts w:hint="eastAsia"/>
          <w:szCs w:val="32"/>
          <w:highlight w:val="none"/>
        </w:rPr>
        <w:t>（五）琴澳协同。对合作区评定的“杰出人才”和“领军人才”，</w:t>
      </w:r>
      <w:r>
        <w:rPr>
          <w:rFonts w:hint="eastAsia" w:ascii="Times New Roman Regular" w:hAnsi="Times New Roman Regular" w:cs="Times New Roman Regular"/>
          <w:szCs w:val="32"/>
          <w:highlight w:val="none"/>
        </w:rPr>
        <w:t>由合作区人才主管部门协助其</w:t>
      </w:r>
      <w:r>
        <w:rPr>
          <w:rFonts w:hint="eastAsia" w:ascii="Times New Roman Regular" w:hAnsi="Times New Roman Regular" w:cs="Times New Roman Regular"/>
          <w:szCs w:val="32"/>
          <w:highlight w:val="none"/>
        </w:rPr>
        <w:t>申请</w:t>
      </w:r>
      <w:r>
        <w:rPr>
          <w:rFonts w:hint="eastAsia" w:ascii="Times New Roman Regular" w:hAnsi="Times New Roman Regular" w:cs="Times New Roman Regular"/>
          <w:szCs w:val="32"/>
          <w:highlight w:val="none"/>
        </w:rPr>
        <w:t>澳门特区政府相关支持政策。</w:t>
      </w:r>
    </w:p>
    <w:p w14:paraId="20885114">
      <w:pPr>
        <w:pStyle w:val="19"/>
        <w:adjustRightInd w:val="0"/>
        <w:snapToGrid w:val="0"/>
        <w:ind w:firstLine="640"/>
        <w:rPr>
          <w:rFonts w:hint="eastAsia"/>
          <w:szCs w:val="32"/>
          <w:highlight w:val="none"/>
        </w:rPr>
      </w:pPr>
    </w:p>
    <w:p w14:paraId="5AB212DD">
      <w:pPr>
        <w:adjustRightInd w:val="0"/>
        <w:snapToGrid w:val="0"/>
        <w:ind w:firstLine="643" w:firstLineChars="200"/>
        <w:jc w:val="left"/>
        <w:rPr>
          <w:rFonts w:hint="eastAsia" w:ascii="楷体_GB2312" w:hAnsi="楷体_GB2312" w:eastAsia="楷体_GB2312" w:cs="楷体_GB2312"/>
          <w:b/>
          <w:bCs/>
          <w:szCs w:val="32"/>
          <w:highlight w:val="none"/>
        </w:rPr>
      </w:pPr>
      <w:r>
        <w:rPr>
          <w:rFonts w:hint="eastAsia" w:ascii="楷体_GB2312" w:hAnsi="楷体_GB2312" w:eastAsia="楷体_GB2312" w:cs="楷体_GB2312"/>
          <w:b/>
          <w:bCs/>
          <w:szCs w:val="32"/>
          <w:highlight w:val="none"/>
        </w:rPr>
        <w:t>第八条</w:t>
      </w:r>
      <w:r>
        <w:rPr>
          <w:rFonts w:hint="eastAsia" w:ascii="楷体_GB2312" w:hAnsi="楷体_GB2312" w:eastAsia="楷体_GB2312" w:cs="楷体_GB2312"/>
          <w:b/>
          <w:bCs/>
          <w:szCs w:val="32"/>
          <w:highlight w:val="none"/>
          <w:lang w:val="en-US" w:eastAsia="zh-CN"/>
        </w:rPr>
        <w:t xml:space="preserve"> </w:t>
      </w:r>
      <w:bookmarkStart w:id="35" w:name="_Hlk214987068"/>
      <w:r>
        <w:rPr>
          <w:rFonts w:hint="eastAsia" w:ascii="楷体_GB2312" w:hAnsi="楷体_GB2312" w:eastAsia="楷体_GB2312" w:cs="楷体_GB2312"/>
          <w:b/>
          <w:bCs/>
          <w:szCs w:val="32"/>
          <w:highlight w:val="none"/>
        </w:rPr>
        <w:t>支持引进青年人才</w:t>
      </w:r>
    </w:p>
    <w:bookmarkEnd w:id="35"/>
    <w:p w14:paraId="3C514E76">
      <w:pPr>
        <w:adjustRightInd w:val="0"/>
        <w:snapToGrid w:val="0"/>
        <w:ind w:firstLine="640"/>
        <w:rPr>
          <w:szCs w:val="32"/>
          <w:highlight w:val="none"/>
        </w:rPr>
      </w:pPr>
      <w:r>
        <w:rPr>
          <w:rFonts w:hint="eastAsia"/>
          <w:szCs w:val="32"/>
          <w:highlight w:val="none"/>
        </w:rPr>
        <w:t>生活补贴。对合作区符合条件的用人单位引进的博士（或具备副高级以上职称的人才）、硕士（或具备中级职称的人才）、学士（或具备助理级职称</w:t>
      </w:r>
      <w:bookmarkStart w:id="36" w:name="_Hlk211454776"/>
      <w:r>
        <w:rPr>
          <w:rFonts w:hint="eastAsia"/>
          <w:szCs w:val="32"/>
          <w:highlight w:val="none"/>
        </w:rPr>
        <w:t>的人才</w:t>
      </w:r>
      <w:bookmarkEnd w:id="36"/>
      <w:r>
        <w:rPr>
          <w:rFonts w:hint="eastAsia"/>
          <w:szCs w:val="32"/>
          <w:highlight w:val="none"/>
        </w:rPr>
        <w:t>）</w:t>
      </w:r>
      <w:bookmarkStart w:id="37" w:name="_Hlk214987256"/>
      <w:r>
        <w:rPr>
          <w:rFonts w:hint="eastAsia"/>
          <w:szCs w:val="32"/>
          <w:highlight w:val="none"/>
          <w:lang w:eastAsia="zh-CN"/>
        </w:rPr>
        <w:t>可分别申请</w:t>
      </w:r>
      <w:r>
        <w:rPr>
          <w:rFonts w:hint="eastAsia"/>
          <w:szCs w:val="32"/>
          <w:highlight w:val="none"/>
        </w:rPr>
        <w:t>每人十八万元、六万元、四万元生活补贴，分三年发放</w:t>
      </w:r>
      <w:bookmarkEnd w:id="37"/>
      <w:r>
        <w:rPr>
          <w:rFonts w:hint="eastAsia"/>
          <w:szCs w:val="32"/>
          <w:highlight w:val="none"/>
        </w:rPr>
        <w:t>。</w:t>
      </w:r>
    </w:p>
    <w:p w14:paraId="163BCCF3">
      <w:pPr>
        <w:adjustRightInd w:val="0"/>
        <w:snapToGrid w:val="0"/>
        <w:ind w:firstLine="640"/>
        <w:rPr>
          <w:szCs w:val="32"/>
          <w:highlight w:val="none"/>
        </w:rPr>
      </w:pPr>
      <w:r>
        <w:rPr>
          <w:rFonts w:hint="eastAsia"/>
          <w:szCs w:val="32"/>
          <w:highlight w:val="none"/>
        </w:rPr>
        <w:t>住房补贴。对合作区符合条件的用人单位引进的博士（或具备副高级以上职称的人才）、硕士（或具备中级职称的人才）、学士（或具备助理级职称的人才）</w:t>
      </w:r>
      <w:r>
        <w:rPr>
          <w:rFonts w:hint="eastAsia"/>
          <w:szCs w:val="32"/>
          <w:highlight w:val="none"/>
          <w:lang w:eastAsia="zh-CN"/>
        </w:rPr>
        <w:t>可分别申请</w:t>
      </w:r>
      <w:bookmarkStart w:id="38" w:name="_Hlk214987277"/>
      <w:r>
        <w:rPr>
          <w:rFonts w:hint="eastAsia"/>
          <w:szCs w:val="32"/>
          <w:highlight w:val="none"/>
          <w:lang w:val="en-US" w:eastAsia="zh-CN"/>
        </w:rPr>
        <w:t>最高</w:t>
      </w:r>
      <w:r>
        <w:rPr>
          <w:rFonts w:hint="eastAsia"/>
          <w:szCs w:val="32"/>
          <w:highlight w:val="none"/>
        </w:rPr>
        <w:t>九万元、三万元、两万元住房补贴</w:t>
      </w:r>
      <w:bookmarkEnd w:id="38"/>
      <w:r>
        <w:rPr>
          <w:rFonts w:hint="eastAsia"/>
          <w:szCs w:val="32"/>
          <w:highlight w:val="none"/>
        </w:rPr>
        <w:t>，分三年发放</w:t>
      </w:r>
      <w:r>
        <w:rPr>
          <w:rFonts w:hint="eastAsia"/>
          <w:szCs w:val="32"/>
          <w:highlight w:val="none"/>
        </w:rPr>
        <w:t>。</w:t>
      </w:r>
    </w:p>
    <w:p w14:paraId="0F325614">
      <w:pPr>
        <w:adjustRightInd w:val="0"/>
        <w:snapToGrid w:val="0"/>
        <w:ind w:firstLine="640"/>
        <w:rPr>
          <w:szCs w:val="32"/>
          <w:highlight w:val="none"/>
        </w:rPr>
      </w:pPr>
      <w:r>
        <w:rPr>
          <w:rFonts w:hint="eastAsia"/>
          <w:szCs w:val="32"/>
          <w:highlight w:val="none"/>
        </w:rPr>
        <w:t>澳门青年若已依据第五条第</w:t>
      </w:r>
      <w:r>
        <w:rPr>
          <w:rFonts w:hint="eastAsia"/>
          <w:szCs w:val="32"/>
          <w:highlight w:val="none"/>
          <w:lang w:val="en-US" w:eastAsia="zh-CN"/>
        </w:rPr>
        <w:t>一</w:t>
      </w:r>
      <w:r>
        <w:rPr>
          <w:rFonts w:hint="eastAsia"/>
          <w:szCs w:val="32"/>
          <w:highlight w:val="none"/>
        </w:rPr>
        <w:t>款享受生活补贴，不再适用本条补贴政策。</w:t>
      </w:r>
    </w:p>
    <w:p w14:paraId="191D01E7">
      <w:pPr>
        <w:pStyle w:val="19"/>
        <w:ind w:firstLine="640"/>
        <w:rPr>
          <w:rFonts w:hint="eastAsia"/>
          <w:szCs w:val="32"/>
          <w:highlight w:val="none"/>
        </w:rPr>
      </w:pPr>
    </w:p>
    <w:p w14:paraId="443594F9">
      <w:pPr>
        <w:adjustRightInd w:val="0"/>
        <w:snapToGrid w:val="0"/>
        <w:ind w:firstLine="643" w:firstLineChars="200"/>
        <w:jc w:val="left"/>
        <w:rPr>
          <w:rFonts w:hint="eastAsia" w:ascii="楷体_GB2312" w:hAnsi="楷体_GB2312" w:eastAsia="楷体_GB2312" w:cs="楷体_GB2312"/>
          <w:b/>
          <w:bCs/>
          <w:szCs w:val="32"/>
          <w:highlight w:val="none"/>
        </w:rPr>
      </w:pPr>
      <w:r>
        <w:rPr>
          <w:rFonts w:hint="eastAsia" w:ascii="楷体_GB2312" w:hAnsi="楷体_GB2312" w:eastAsia="楷体_GB2312" w:cs="楷体_GB2312"/>
          <w:b/>
          <w:bCs/>
          <w:szCs w:val="32"/>
          <w:highlight w:val="none"/>
        </w:rPr>
        <w:t>第九条</w:t>
      </w:r>
      <w:r>
        <w:rPr>
          <w:rFonts w:hint="eastAsia" w:ascii="楷体_GB2312" w:hAnsi="楷体_GB2312" w:eastAsia="楷体_GB2312" w:cs="楷体_GB2312"/>
          <w:b/>
          <w:bCs/>
          <w:szCs w:val="32"/>
          <w:highlight w:val="none"/>
          <w:lang w:val="en-US" w:eastAsia="zh-CN"/>
        </w:rPr>
        <w:t xml:space="preserve"> </w:t>
      </w:r>
      <w:bookmarkStart w:id="39" w:name="_Hlk214987074"/>
      <w:r>
        <w:rPr>
          <w:rFonts w:hint="eastAsia" w:ascii="楷体_GB2312" w:hAnsi="楷体_GB2312" w:eastAsia="楷体_GB2312" w:cs="楷体_GB2312"/>
          <w:b/>
          <w:bCs/>
          <w:szCs w:val="32"/>
          <w:highlight w:val="none"/>
        </w:rPr>
        <w:t>支持博士后来合作区发展</w:t>
      </w:r>
    </w:p>
    <w:bookmarkEnd w:id="39"/>
    <w:p w14:paraId="7A71F350">
      <w:pPr>
        <w:pStyle w:val="19"/>
        <w:adjustRightInd w:val="0"/>
        <w:snapToGrid w:val="0"/>
        <w:ind w:firstLine="640"/>
        <w:jc w:val="both"/>
        <w:rPr>
          <w:rFonts w:ascii="Times New Roman Regular" w:hAnsi="Times New Roman Regular" w:cs="Times New Roman Regular"/>
          <w:szCs w:val="32"/>
          <w:highlight w:val="none"/>
        </w:rPr>
      </w:pPr>
      <w:r>
        <w:rPr>
          <w:rFonts w:ascii="Times New Roman Regular" w:hAnsi="Times New Roman Regular" w:cs="Times New Roman Regular"/>
          <w:szCs w:val="32"/>
          <w:highlight w:val="none"/>
        </w:rPr>
        <w:t>生活补贴。</w:t>
      </w:r>
      <w:bookmarkStart w:id="40" w:name="_Hlk214987357"/>
      <w:r>
        <w:rPr>
          <w:rFonts w:ascii="Times New Roman Regular" w:hAnsi="Times New Roman Regular" w:cs="Times New Roman Regular"/>
          <w:szCs w:val="32"/>
          <w:highlight w:val="none"/>
        </w:rPr>
        <w:t>对在合作区博士后科研工作站、工作站分站和创新实践基地工作的博士后</w:t>
      </w:r>
      <w:r>
        <w:rPr>
          <w:rFonts w:hint="eastAsia" w:ascii="Times New Roman Regular" w:hAnsi="Times New Roman Regular" w:cs="Times New Roman Regular"/>
          <w:szCs w:val="32"/>
          <w:highlight w:val="none"/>
          <w:lang w:eastAsia="zh-CN"/>
        </w:rPr>
        <w:t>可申请</w:t>
      </w:r>
      <w:r>
        <w:rPr>
          <w:rFonts w:ascii="Times New Roman Regular" w:hAnsi="Times New Roman Regular" w:cs="Times New Roman Regular"/>
          <w:szCs w:val="32"/>
          <w:highlight w:val="none"/>
        </w:rPr>
        <w:t>每人每年</w:t>
      </w:r>
      <w:r>
        <w:rPr>
          <w:rFonts w:hint="eastAsia" w:ascii="Times New Roman Regular" w:hAnsi="Times New Roman Regular" w:cs="Times New Roman Regular"/>
          <w:szCs w:val="32"/>
          <w:highlight w:val="none"/>
        </w:rPr>
        <w:t>三十万</w:t>
      </w:r>
      <w:r>
        <w:rPr>
          <w:rFonts w:ascii="Times New Roman Regular" w:hAnsi="Times New Roman Regular" w:cs="Times New Roman Regular"/>
          <w:szCs w:val="32"/>
          <w:highlight w:val="none"/>
        </w:rPr>
        <w:t>元、连续两年的生活补贴；对出站博士后留（来）合作区</w:t>
      </w:r>
      <w:r>
        <w:rPr>
          <w:rFonts w:hint="eastAsia" w:ascii="Times New Roman Regular" w:hAnsi="Times New Roman Regular" w:cs="Times New Roman Regular"/>
          <w:szCs w:val="32"/>
          <w:highlight w:val="none"/>
        </w:rPr>
        <w:t>工作</w:t>
      </w:r>
      <w:r>
        <w:rPr>
          <w:rFonts w:ascii="Times New Roman Regular" w:hAnsi="Times New Roman Regular" w:cs="Times New Roman Regular"/>
          <w:szCs w:val="32"/>
          <w:highlight w:val="none"/>
        </w:rPr>
        <w:t>创业的，</w:t>
      </w:r>
      <w:r>
        <w:rPr>
          <w:rFonts w:hint="eastAsia" w:ascii="Times New Roman Regular" w:hAnsi="Times New Roman Regular" w:cs="Times New Roman Regular"/>
          <w:szCs w:val="32"/>
          <w:highlight w:val="none"/>
          <w:lang w:eastAsia="zh-CN"/>
        </w:rPr>
        <w:t>可申请</w:t>
      </w:r>
      <w:r>
        <w:rPr>
          <w:rFonts w:ascii="Times New Roman Regular" w:hAnsi="Times New Roman Regular" w:cs="Times New Roman Regular"/>
          <w:szCs w:val="32"/>
          <w:highlight w:val="none"/>
        </w:rPr>
        <w:t>每人每年</w:t>
      </w:r>
      <w:r>
        <w:rPr>
          <w:rFonts w:hint="eastAsia" w:ascii="Times New Roman Regular" w:hAnsi="Times New Roman Regular" w:cs="Times New Roman Regular"/>
          <w:szCs w:val="32"/>
          <w:highlight w:val="none"/>
        </w:rPr>
        <w:t>八万元</w:t>
      </w:r>
      <w:r>
        <w:rPr>
          <w:rFonts w:ascii="Times New Roman Regular" w:hAnsi="Times New Roman Regular" w:cs="Times New Roman Regular"/>
          <w:szCs w:val="32"/>
          <w:highlight w:val="none"/>
        </w:rPr>
        <w:t>、连续五年的</w:t>
      </w:r>
      <w:r>
        <w:rPr>
          <w:rFonts w:hint="eastAsia" w:ascii="Times New Roman Regular" w:hAnsi="Times New Roman Regular" w:cs="Times New Roman Regular"/>
          <w:szCs w:val="32"/>
          <w:highlight w:val="none"/>
        </w:rPr>
        <w:t>生活补贴。</w:t>
      </w:r>
      <w:bookmarkEnd w:id="40"/>
    </w:p>
    <w:p w14:paraId="0090367B">
      <w:pPr>
        <w:pStyle w:val="19"/>
        <w:adjustRightInd w:val="0"/>
        <w:snapToGrid w:val="0"/>
        <w:ind w:firstLine="640"/>
        <w:jc w:val="both"/>
        <w:rPr>
          <w:rFonts w:ascii="Times New Roman Regular" w:hAnsi="Times New Roman Regular" w:cs="Times New Roman Regular"/>
          <w:szCs w:val="32"/>
          <w:highlight w:val="none"/>
        </w:rPr>
      </w:pPr>
      <w:r>
        <w:rPr>
          <w:rFonts w:ascii="Times New Roman Regular" w:hAnsi="Times New Roman Regular" w:cs="Times New Roman Regular"/>
          <w:szCs w:val="32"/>
          <w:highlight w:val="none"/>
        </w:rPr>
        <w:t>在站博士后因承担国家重大项目获得国家自然科学基金、国家社会科学基金、中国博士后科学基金等资助项目延期出站的，第三年</w:t>
      </w:r>
      <w:r>
        <w:rPr>
          <w:rFonts w:hint="eastAsia" w:ascii="Times New Roman Regular" w:hAnsi="Times New Roman Regular" w:cs="Times New Roman Regular"/>
          <w:szCs w:val="32"/>
          <w:highlight w:val="none"/>
          <w:lang w:eastAsia="zh-CN"/>
        </w:rPr>
        <w:t>可申请</w:t>
      </w:r>
      <w:r>
        <w:rPr>
          <w:rFonts w:ascii="Times New Roman Regular" w:hAnsi="Times New Roman Regular" w:cs="Times New Roman Regular"/>
          <w:szCs w:val="32"/>
          <w:highlight w:val="none"/>
        </w:rPr>
        <w:t>一次性十万元</w:t>
      </w:r>
      <w:r>
        <w:rPr>
          <w:rFonts w:hint="eastAsia" w:ascii="Times New Roman Regular" w:hAnsi="Times New Roman Regular" w:cs="Times New Roman Regular"/>
          <w:szCs w:val="32"/>
          <w:highlight w:val="none"/>
        </w:rPr>
        <w:t>生活补贴</w:t>
      </w:r>
      <w:r>
        <w:rPr>
          <w:rFonts w:ascii="Times New Roman Regular" w:hAnsi="Times New Roman Regular" w:cs="Times New Roman Regular"/>
          <w:szCs w:val="32"/>
          <w:highlight w:val="none"/>
        </w:rPr>
        <w:t>。</w:t>
      </w:r>
    </w:p>
    <w:p w14:paraId="3786CE3F">
      <w:pPr>
        <w:pStyle w:val="19"/>
        <w:adjustRightInd w:val="0"/>
        <w:snapToGrid w:val="0"/>
        <w:ind w:firstLine="640"/>
        <w:jc w:val="both"/>
        <w:rPr>
          <w:rFonts w:ascii="Times New Roman Regular" w:hAnsi="Times New Roman Regular" w:cs="Times New Roman Regular"/>
          <w:szCs w:val="32"/>
          <w:highlight w:val="none"/>
        </w:rPr>
      </w:pPr>
      <w:bookmarkStart w:id="41" w:name="_Hlk212379829"/>
      <w:r>
        <w:rPr>
          <w:rFonts w:hint="eastAsia" w:ascii="Times New Roman Regular" w:hAnsi="Times New Roman Regular" w:cs="Times New Roman Regular"/>
          <w:szCs w:val="32"/>
          <w:highlight w:val="none"/>
        </w:rPr>
        <w:t>住房补贴。对</w:t>
      </w:r>
      <w:r>
        <w:rPr>
          <w:rFonts w:hint="eastAsia" w:ascii="仿宋_GB2312" w:hAnsi="仿宋_GB2312" w:cs="仿宋_GB2312"/>
          <w:szCs w:val="32"/>
          <w:highlight w:val="none"/>
        </w:rPr>
        <w:t>在合作区博士后科研工作站、工作站分站和创新实践基地工作的博士后，</w:t>
      </w:r>
      <w:r>
        <w:rPr>
          <w:rFonts w:hint="eastAsia" w:ascii="Times New Roman Regular" w:hAnsi="Times New Roman Regular" w:cs="Times New Roman Regular"/>
          <w:szCs w:val="32"/>
          <w:highlight w:val="none"/>
          <w:lang w:eastAsia="zh-CN"/>
        </w:rPr>
        <w:t>可申请</w:t>
      </w:r>
      <w:r>
        <w:rPr>
          <w:rFonts w:hint="eastAsia" w:ascii="仿宋_GB2312" w:hAnsi="仿宋_GB2312" w:cs="仿宋_GB2312"/>
          <w:szCs w:val="32"/>
          <w:highlight w:val="none"/>
          <w:lang w:val="en-US" w:eastAsia="zh-CN"/>
        </w:rPr>
        <w:t>最高</w:t>
      </w:r>
      <w:r>
        <w:rPr>
          <w:rFonts w:hint="eastAsia" w:ascii="仿宋_GB2312" w:hAnsi="仿宋_GB2312" w:cs="仿宋_GB2312"/>
          <w:szCs w:val="32"/>
          <w:highlight w:val="none"/>
        </w:rPr>
        <w:t>二十万元住房补贴</w:t>
      </w:r>
      <w:r>
        <w:rPr>
          <w:rFonts w:hint="eastAsia" w:ascii="仿宋_GB2312" w:hAnsi="仿宋_GB2312" w:cs="仿宋_GB2312"/>
          <w:szCs w:val="32"/>
          <w:highlight w:val="none"/>
        </w:rPr>
        <w:t>，分两年发放</w:t>
      </w:r>
      <w:r>
        <w:rPr>
          <w:rFonts w:hint="eastAsia" w:ascii="仿宋_GB2312" w:hAnsi="仿宋_GB2312" w:cs="仿宋_GB2312"/>
          <w:szCs w:val="32"/>
          <w:highlight w:val="none"/>
        </w:rPr>
        <w:t>。对出站博士后留（来）合作区</w:t>
      </w:r>
      <w:r>
        <w:rPr>
          <w:rFonts w:hint="eastAsia" w:ascii="Times New Roman Regular" w:hAnsi="Times New Roman Regular" w:cs="Times New Roman Regular"/>
          <w:szCs w:val="32"/>
          <w:highlight w:val="none"/>
        </w:rPr>
        <w:t>工作</w:t>
      </w:r>
      <w:r>
        <w:rPr>
          <w:rFonts w:ascii="Times New Roman Regular" w:hAnsi="Times New Roman Regular" w:cs="Times New Roman Regular"/>
          <w:szCs w:val="32"/>
          <w:highlight w:val="none"/>
        </w:rPr>
        <w:t>创业</w:t>
      </w:r>
      <w:r>
        <w:rPr>
          <w:rFonts w:hint="eastAsia" w:ascii="仿宋_GB2312" w:hAnsi="仿宋_GB2312" w:cs="仿宋_GB2312"/>
          <w:szCs w:val="32"/>
          <w:highlight w:val="none"/>
        </w:rPr>
        <w:t>的，</w:t>
      </w:r>
      <w:r>
        <w:rPr>
          <w:rFonts w:hint="eastAsia" w:ascii="Times New Roman Regular" w:hAnsi="Times New Roman Regular" w:cs="Times New Roman Regular"/>
          <w:szCs w:val="32"/>
          <w:highlight w:val="none"/>
          <w:lang w:eastAsia="zh-CN"/>
        </w:rPr>
        <w:t>可申请</w:t>
      </w:r>
      <w:r>
        <w:rPr>
          <w:rFonts w:hint="eastAsia" w:ascii="仿宋_GB2312" w:hAnsi="仿宋_GB2312" w:cs="仿宋_GB2312"/>
          <w:szCs w:val="32"/>
          <w:highlight w:val="none"/>
          <w:lang w:val="en-US" w:eastAsia="zh-CN"/>
        </w:rPr>
        <w:t>最高</w:t>
      </w:r>
      <w:r>
        <w:rPr>
          <w:rFonts w:hint="eastAsia" w:ascii="仿宋_GB2312" w:hAnsi="仿宋_GB2312" w:cs="仿宋_GB2312"/>
          <w:szCs w:val="32"/>
          <w:highlight w:val="none"/>
        </w:rPr>
        <w:t>二十万元住房补贴</w:t>
      </w:r>
      <w:r>
        <w:rPr>
          <w:rFonts w:hint="eastAsia" w:ascii="仿宋_GB2312" w:hAnsi="仿宋_GB2312" w:cs="仿宋_GB2312"/>
          <w:szCs w:val="32"/>
          <w:highlight w:val="none"/>
        </w:rPr>
        <w:t>，分五年发放</w:t>
      </w:r>
      <w:r>
        <w:rPr>
          <w:rFonts w:ascii="Times New Roman Regular" w:hAnsi="Times New Roman Regular" w:cs="Times New Roman Regular"/>
          <w:szCs w:val="32"/>
          <w:highlight w:val="none"/>
        </w:rPr>
        <w:t>。</w:t>
      </w:r>
      <w:bookmarkEnd w:id="41"/>
    </w:p>
    <w:p w14:paraId="49A31E41">
      <w:pPr>
        <w:adjustRightInd w:val="0"/>
        <w:snapToGrid w:val="0"/>
        <w:ind w:firstLine="0" w:firstLineChars="0"/>
        <w:jc w:val="center"/>
        <w:rPr>
          <w:rFonts w:hint="eastAsia" w:ascii="黑体" w:hAnsi="黑体" w:eastAsia="黑体" w:cs="黑体"/>
          <w:szCs w:val="32"/>
          <w:highlight w:val="none"/>
        </w:rPr>
      </w:pPr>
    </w:p>
    <w:p w14:paraId="21FFC400">
      <w:pPr>
        <w:adjustRightInd w:val="0"/>
        <w:snapToGrid w:val="0"/>
        <w:ind w:firstLine="643" w:firstLineChars="200"/>
        <w:jc w:val="left"/>
        <w:rPr>
          <w:rFonts w:hint="eastAsia" w:ascii="楷体_GB2312" w:hAnsi="楷体_GB2312" w:eastAsia="楷体_GB2312" w:cs="楷体_GB2312"/>
          <w:b/>
          <w:bCs/>
          <w:szCs w:val="32"/>
          <w:highlight w:val="none"/>
        </w:rPr>
      </w:pPr>
      <w:r>
        <w:rPr>
          <w:rFonts w:hint="eastAsia" w:ascii="楷体_GB2312" w:hAnsi="楷体_GB2312" w:eastAsia="楷体_GB2312" w:cs="楷体_GB2312"/>
          <w:b/>
          <w:bCs/>
          <w:szCs w:val="32"/>
          <w:highlight w:val="none"/>
        </w:rPr>
        <w:t>第十条</w:t>
      </w:r>
      <w:r>
        <w:rPr>
          <w:rFonts w:hint="eastAsia" w:ascii="楷体_GB2312" w:hAnsi="楷体_GB2312" w:eastAsia="楷体_GB2312" w:cs="楷体_GB2312"/>
          <w:b/>
          <w:bCs/>
          <w:szCs w:val="32"/>
          <w:highlight w:val="none"/>
          <w:lang w:val="en-US" w:eastAsia="zh-CN"/>
        </w:rPr>
        <w:t xml:space="preserve"> </w:t>
      </w:r>
      <w:bookmarkStart w:id="42" w:name="_Hlk214987080"/>
      <w:r>
        <w:rPr>
          <w:rFonts w:hint="eastAsia" w:ascii="楷体_GB2312" w:hAnsi="楷体_GB2312" w:eastAsia="楷体_GB2312" w:cs="楷体_GB2312"/>
          <w:b/>
          <w:bCs/>
          <w:szCs w:val="32"/>
          <w:highlight w:val="none"/>
        </w:rPr>
        <w:t>支持引进技能人才</w:t>
      </w:r>
    </w:p>
    <w:bookmarkEnd w:id="42"/>
    <w:p w14:paraId="62CD0865">
      <w:pPr>
        <w:adjustRightInd w:val="0"/>
        <w:snapToGrid w:val="0"/>
        <w:ind w:firstLine="640"/>
        <w:rPr>
          <w:szCs w:val="32"/>
          <w:highlight w:val="none"/>
        </w:rPr>
      </w:pPr>
      <w:r>
        <w:rPr>
          <w:szCs w:val="32"/>
          <w:highlight w:val="none"/>
        </w:rPr>
        <w:t>支持合作区引进符合产业发展方向的技能人才，对取得技能人员国家职业资格且从事本职业的技能人才，按照</w:t>
      </w:r>
      <w:bookmarkStart w:id="43" w:name="_Hlk214987424"/>
      <w:r>
        <w:rPr>
          <w:szCs w:val="32"/>
          <w:highlight w:val="none"/>
        </w:rPr>
        <w:t>高级技师（一级）及以上、技师（二级）、高级工（三级）</w:t>
      </w:r>
      <w:r>
        <w:rPr>
          <w:rFonts w:hint="eastAsia"/>
          <w:szCs w:val="32"/>
          <w:highlight w:val="none"/>
          <w:lang w:val="en-US" w:eastAsia="zh-CN"/>
        </w:rPr>
        <w:t>可</w:t>
      </w:r>
      <w:r>
        <w:rPr>
          <w:szCs w:val="32"/>
          <w:highlight w:val="none"/>
        </w:rPr>
        <w:t>分别</w:t>
      </w:r>
      <w:r>
        <w:rPr>
          <w:rFonts w:hint="eastAsia" w:ascii="Times New Roman Regular" w:hAnsi="Times New Roman Regular" w:cs="Times New Roman Regular"/>
          <w:szCs w:val="32"/>
          <w:highlight w:val="none"/>
          <w:lang w:eastAsia="zh-CN"/>
        </w:rPr>
        <w:t>申请</w:t>
      </w:r>
      <w:r>
        <w:rPr>
          <w:szCs w:val="32"/>
          <w:highlight w:val="none"/>
        </w:rPr>
        <w:t>每人</w:t>
      </w:r>
      <w:r>
        <w:rPr>
          <w:rFonts w:hint="eastAsia"/>
          <w:szCs w:val="32"/>
          <w:highlight w:val="none"/>
        </w:rPr>
        <w:t>六</w:t>
      </w:r>
      <w:r>
        <w:rPr>
          <w:szCs w:val="32"/>
          <w:highlight w:val="none"/>
        </w:rPr>
        <w:t>万元、</w:t>
      </w:r>
      <w:r>
        <w:rPr>
          <w:rFonts w:hint="eastAsia"/>
          <w:szCs w:val="32"/>
          <w:highlight w:val="none"/>
        </w:rPr>
        <w:t>三</w:t>
      </w:r>
      <w:r>
        <w:rPr>
          <w:szCs w:val="32"/>
          <w:highlight w:val="none"/>
        </w:rPr>
        <w:t>万元、</w:t>
      </w:r>
      <w:r>
        <w:rPr>
          <w:rFonts w:hint="eastAsia"/>
          <w:szCs w:val="32"/>
          <w:highlight w:val="none"/>
        </w:rPr>
        <w:t>两</w:t>
      </w:r>
      <w:r>
        <w:rPr>
          <w:szCs w:val="32"/>
          <w:highlight w:val="none"/>
        </w:rPr>
        <w:t>万元</w:t>
      </w:r>
      <w:r>
        <w:rPr>
          <w:rFonts w:hint="eastAsia"/>
          <w:szCs w:val="32"/>
          <w:highlight w:val="none"/>
        </w:rPr>
        <w:t>生活补贴</w:t>
      </w:r>
      <w:r>
        <w:rPr>
          <w:szCs w:val="32"/>
          <w:highlight w:val="none"/>
        </w:rPr>
        <w:t>，分两年等额发放</w:t>
      </w:r>
      <w:bookmarkEnd w:id="43"/>
      <w:r>
        <w:rPr>
          <w:szCs w:val="32"/>
          <w:highlight w:val="none"/>
        </w:rPr>
        <w:t>。</w:t>
      </w:r>
    </w:p>
    <w:p w14:paraId="6EC7F0BE">
      <w:pPr>
        <w:adjustRightInd w:val="0"/>
        <w:snapToGrid w:val="0"/>
        <w:ind w:firstLine="640"/>
        <w:rPr>
          <w:szCs w:val="32"/>
          <w:highlight w:val="none"/>
        </w:rPr>
      </w:pPr>
    </w:p>
    <w:p w14:paraId="2D6C8880">
      <w:pPr>
        <w:adjustRightInd w:val="0"/>
        <w:snapToGrid w:val="0"/>
        <w:ind w:firstLine="643" w:firstLineChars="200"/>
        <w:jc w:val="left"/>
        <w:rPr>
          <w:rFonts w:hint="eastAsia" w:ascii="楷体_GB2312" w:hAnsi="楷体_GB2312" w:eastAsia="楷体_GB2312" w:cs="楷体_GB2312"/>
          <w:b/>
          <w:bCs/>
          <w:szCs w:val="32"/>
          <w:highlight w:val="none"/>
        </w:rPr>
      </w:pPr>
      <w:r>
        <w:rPr>
          <w:rFonts w:hint="eastAsia" w:ascii="楷体_GB2312" w:hAnsi="楷体_GB2312" w:eastAsia="楷体_GB2312" w:cs="楷体_GB2312"/>
          <w:b/>
          <w:bCs/>
          <w:szCs w:val="32"/>
          <w:highlight w:val="none"/>
        </w:rPr>
        <w:t>第十一条</w:t>
      </w:r>
      <w:r>
        <w:rPr>
          <w:rFonts w:hint="eastAsia" w:ascii="楷体_GB2312" w:hAnsi="楷体_GB2312" w:eastAsia="楷体_GB2312" w:cs="楷体_GB2312"/>
          <w:b/>
          <w:bCs/>
          <w:szCs w:val="32"/>
          <w:highlight w:val="none"/>
          <w:lang w:val="en-US" w:eastAsia="zh-CN"/>
        </w:rPr>
        <w:t xml:space="preserve"> </w:t>
      </w:r>
      <w:bookmarkStart w:id="44" w:name="_Hlk214987086"/>
      <w:r>
        <w:rPr>
          <w:rFonts w:hint="eastAsia" w:ascii="楷体_GB2312" w:hAnsi="楷体_GB2312" w:eastAsia="楷体_GB2312" w:cs="楷体_GB2312"/>
          <w:b/>
          <w:bCs/>
          <w:szCs w:val="32"/>
          <w:highlight w:val="none"/>
        </w:rPr>
        <w:t>支持产业青年素质提升</w:t>
      </w:r>
    </w:p>
    <w:bookmarkEnd w:id="44"/>
    <w:p w14:paraId="3A2824C4">
      <w:pPr>
        <w:adjustRightInd w:val="0"/>
        <w:snapToGrid w:val="0"/>
        <w:ind w:firstLine="640"/>
        <w:rPr>
          <w:szCs w:val="32"/>
          <w:highlight w:val="none"/>
        </w:rPr>
      </w:pPr>
      <w:r>
        <w:rPr>
          <w:rFonts w:hint="eastAsia"/>
          <w:szCs w:val="32"/>
          <w:highlight w:val="none"/>
        </w:rPr>
        <w:t>支持合作区重点产业领域在职青年“不脱产、不离岗”提升学历继续深造，</w:t>
      </w:r>
      <w:bookmarkStart w:id="45" w:name="_Hlk211433588"/>
      <w:r>
        <w:rPr>
          <w:rFonts w:hint="eastAsia"/>
          <w:szCs w:val="32"/>
          <w:highlight w:val="none"/>
        </w:rPr>
        <w:t>对报读澳门高校</w:t>
      </w:r>
      <w:bookmarkStart w:id="46" w:name="_Hlk214467706"/>
      <w:r>
        <w:rPr>
          <w:rFonts w:hint="eastAsia"/>
          <w:szCs w:val="32"/>
          <w:highlight w:val="none"/>
        </w:rPr>
        <w:t>、“双一流”建设高校驻珠海市校区的</w:t>
      </w:r>
      <w:bookmarkEnd w:id="46"/>
      <w:r>
        <w:rPr>
          <w:rFonts w:hint="eastAsia"/>
          <w:szCs w:val="32"/>
          <w:highlight w:val="none"/>
        </w:rPr>
        <w:t>集成电路、生物医药大健康、人工智能、医学等专业领域并取得博士学位的在职青年，按总学费金额的百分之三十、最高补贴十五万元。</w:t>
      </w:r>
      <w:bookmarkEnd w:id="45"/>
    </w:p>
    <w:p w14:paraId="311750DE">
      <w:pPr>
        <w:pStyle w:val="19"/>
        <w:ind w:firstLine="640"/>
        <w:rPr>
          <w:rFonts w:hint="eastAsia"/>
          <w:szCs w:val="32"/>
          <w:highlight w:val="none"/>
        </w:rPr>
      </w:pPr>
    </w:p>
    <w:p w14:paraId="124D08AB">
      <w:pPr>
        <w:adjustRightInd w:val="0"/>
        <w:snapToGrid w:val="0"/>
        <w:ind w:firstLine="643" w:firstLineChars="200"/>
        <w:jc w:val="left"/>
        <w:rPr>
          <w:rFonts w:hint="eastAsia" w:ascii="楷体_GB2312" w:hAnsi="楷体_GB2312" w:eastAsia="楷体_GB2312" w:cs="楷体_GB2312"/>
          <w:b/>
          <w:bCs/>
          <w:szCs w:val="32"/>
          <w:highlight w:val="none"/>
        </w:rPr>
      </w:pPr>
      <w:r>
        <w:rPr>
          <w:rFonts w:hint="eastAsia" w:ascii="楷体_GB2312" w:hAnsi="楷体_GB2312" w:eastAsia="楷体_GB2312" w:cs="楷体_GB2312"/>
          <w:b/>
          <w:bCs/>
          <w:szCs w:val="32"/>
          <w:highlight w:val="none"/>
        </w:rPr>
        <w:t>第十二条</w:t>
      </w:r>
      <w:r>
        <w:rPr>
          <w:rFonts w:hint="eastAsia" w:ascii="楷体_GB2312" w:hAnsi="楷体_GB2312" w:eastAsia="楷体_GB2312" w:cs="楷体_GB2312"/>
          <w:b/>
          <w:bCs/>
          <w:szCs w:val="32"/>
          <w:highlight w:val="none"/>
          <w:lang w:val="en-US" w:eastAsia="zh-CN"/>
        </w:rPr>
        <w:t xml:space="preserve"> </w:t>
      </w:r>
      <w:bookmarkStart w:id="47" w:name="_Hlk214987091"/>
      <w:r>
        <w:rPr>
          <w:rFonts w:hint="eastAsia" w:ascii="楷体_GB2312" w:hAnsi="楷体_GB2312" w:eastAsia="楷体_GB2312" w:cs="楷体_GB2312"/>
          <w:b/>
          <w:bCs/>
          <w:szCs w:val="32"/>
          <w:highlight w:val="none"/>
        </w:rPr>
        <w:t>支持高级人才安居置业</w:t>
      </w:r>
    </w:p>
    <w:bookmarkEnd w:id="47"/>
    <w:p w14:paraId="0E80B06E">
      <w:pPr>
        <w:adjustRightInd w:val="0"/>
        <w:snapToGrid w:val="0"/>
        <w:ind w:firstLine="640"/>
        <w:rPr>
          <w:szCs w:val="32"/>
          <w:highlight w:val="none"/>
        </w:rPr>
      </w:pPr>
      <w:bookmarkStart w:id="48" w:name="_Hlk212380594"/>
      <w:bookmarkStart w:id="49" w:name="_Hlk212553557"/>
      <w:r>
        <w:rPr>
          <w:rFonts w:hint="eastAsia"/>
          <w:szCs w:val="32"/>
          <w:highlight w:val="none"/>
        </w:rPr>
        <w:t>支持长期扎根合作区、</w:t>
      </w:r>
      <w:r>
        <w:rPr>
          <w:szCs w:val="32"/>
          <w:highlight w:val="none"/>
        </w:rPr>
        <w:t>为区域经济发展作出高价值贡献</w:t>
      </w:r>
      <w:r>
        <w:rPr>
          <w:rFonts w:hint="eastAsia"/>
          <w:szCs w:val="32"/>
          <w:highlight w:val="none"/>
        </w:rPr>
        <w:t>的人才在合作区安居置业，</w:t>
      </w:r>
      <w:bookmarkStart w:id="50" w:name="_Hlk214987459"/>
      <w:r>
        <w:rPr>
          <w:rFonts w:hint="eastAsia"/>
          <w:szCs w:val="32"/>
          <w:highlight w:val="none"/>
        </w:rPr>
        <w:t>对连续在合作区工作五年及以上、</w:t>
      </w:r>
      <w:r>
        <w:rPr>
          <w:rFonts w:hint="eastAsia"/>
          <w:szCs w:val="32"/>
          <w:highlight w:val="none"/>
        </w:rPr>
        <w:t>最近一年度在合作区取得的计税工薪</w:t>
      </w:r>
      <w:r>
        <w:rPr>
          <w:rFonts w:hint="eastAsia"/>
          <w:szCs w:val="32"/>
          <w:highlight w:val="none"/>
        </w:rPr>
        <w:t>达到六十万元及以上的高级人才，</w:t>
      </w:r>
      <w:r>
        <w:rPr>
          <w:rFonts w:hint="eastAsia" w:ascii="Times New Roman Regular" w:hAnsi="Times New Roman Regular" w:cs="Times New Roman Regular"/>
          <w:szCs w:val="32"/>
          <w:highlight w:val="none"/>
          <w:lang w:eastAsia="zh-CN"/>
        </w:rPr>
        <w:t>可申请</w:t>
      </w:r>
      <w:r>
        <w:rPr>
          <w:rFonts w:hint="eastAsia"/>
          <w:szCs w:val="32"/>
          <w:highlight w:val="none"/>
          <w:lang w:val="en-US" w:eastAsia="zh-CN"/>
        </w:rPr>
        <w:t>最高</w:t>
      </w:r>
      <w:r>
        <w:rPr>
          <w:rFonts w:hint="eastAsia"/>
          <w:szCs w:val="32"/>
          <w:highlight w:val="none"/>
        </w:rPr>
        <w:t>二十七万元住房补贴</w:t>
      </w:r>
      <w:bookmarkEnd w:id="50"/>
      <w:r>
        <w:rPr>
          <w:rFonts w:hint="eastAsia"/>
          <w:szCs w:val="32"/>
          <w:highlight w:val="none"/>
        </w:rPr>
        <w:t>，</w:t>
      </w:r>
      <w:r>
        <w:rPr>
          <w:rFonts w:hint="eastAsia"/>
          <w:szCs w:val="32"/>
          <w:highlight w:val="none"/>
        </w:rPr>
        <w:t>补贴分三年发放</w:t>
      </w:r>
      <w:r>
        <w:rPr>
          <w:rFonts w:hint="eastAsia"/>
          <w:szCs w:val="32"/>
          <w:highlight w:val="none"/>
        </w:rPr>
        <w:t>。</w:t>
      </w:r>
      <w:bookmarkEnd w:id="48"/>
    </w:p>
    <w:bookmarkEnd w:id="49"/>
    <w:p w14:paraId="79FD3743">
      <w:pPr>
        <w:adjustRightInd w:val="0"/>
        <w:snapToGrid w:val="0"/>
        <w:ind w:firstLine="640"/>
        <w:rPr>
          <w:szCs w:val="32"/>
          <w:highlight w:val="none"/>
        </w:rPr>
      </w:pPr>
    </w:p>
    <w:p w14:paraId="3C0A9FCE">
      <w:pPr>
        <w:adjustRightInd w:val="0"/>
        <w:snapToGrid w:val="0"/>
        <w:ind w:firstLine="0" w:firstLineChars="0"/>
        <w:jc w:val="center"/>
        <w:rPr>
          <w:rFonts w:hint="eastAsia" w:ascii="黑体" w:hAnsi="黑体" w:eastAsia="黑体" w:cs="黑体"/>
          <w:szCs w:val="32"/>
          <w:highlight w:val="none"/>
        </w:rPr>
      </w:pPr>
      <w:r>
        <w:rPr>
          <w:rFonts w:hint="eastAsia" w:ascii="黑体" w:hAnsi="黑体" w:eastAsia="黑体" w:cs="黑体"/>
          <w:szCs w:val="32"/>
          <w:highlight w:val="none"/>
        </w:rPr>
        <w:t>第四章</w:t>
      </w:r>
      <w:r>
        <w:rPr>
          <w:rFonts w:hint="eastAsia" w:ascii="黑体" w:hAnsi="黑体" w:eastAsia="黑体" w:cs="黑体"/>
          <w:szCs w:val="32"/>
          <w:highlight w:val="none"/>
          <w:lang w:val="en-US" w:eastAsia="zh-CN"/>
        </w:rPr>
        <w:t xml:space="preserve"> </w:t>
      </w:r>
      <w:r>
        <w:rPr>
          <w:rFonts w:hint="eastAsia" w:ascii="黑体" w:hAnsi="黑体" w:eastAsia="黑体" w:cs="黑体"/>
          <w:szCs w:val="32"/>
          <w:highlight w:val="none"/>
        </w:rPr>
        <w:t>支持人才载体发展</w:t>
      </w:r>
    </w:p>
    <w:p w14:paraId="3AC9F945">
      <w:pPr>
        <w:adjustRightInd w:val="0"/>
        <w:snapToGrid w:val="0"/>
        <w:ind w:firstLine="0" w:firstLineChars="0"/>
        <w:rPr>
          <w:szCs w:val="32"/>
          <w:highlight w:val="none"/>
        </w:rPr>
      </w:pPr>
    </w:p>
    <w:p w14:paraId="0A019DDA">
      <w:pPr>
        <w:adjustRightInd w:val="0"/>
        <w:snapToGrid w:val="0"/>
        <w:ind w:firstLine="643" w:firstLineChars="200"/>
        <w:jc w:val="left"/>
        <w:rPr>
          <w:rFonts w:hint="eastAsia" w:ascii="楷体_GB2312" w:hAnsi="楷体_GB2312" w:eastAsia="楷体_GB2312" w:cs="楷体_GB2312"/>
          <w:b/>
          <w:bCs/>
          <w:szCs w:val="32"/>
          <w:highlight w:val="none"/>
        </w:rPr>
      </w:pPr>
      <w:r>
        <w:rPr>
          <w:rFonts w:hint="eastAsia" w:ascii="楷体_GB2312" w:hAnsi="楷体_GB2312" w:eastAsia="楷体_GB2312" w:cs="楷体_GB2312"/>
          <w:b/>
          <w:bCs/>
          <w:szCs w:val="32"/>
          <w:highlight w:val="none"/>
        </w:rPr>
        <w:t>第十三条</w:t>
      </w:r>
      <w:r>
        <w:rPr>
          <w:rFonts w:hint="eastAsia" w:ascii="楷体_GB2312" w:hAnsi="楷体_GB2312" w:eastAsia="楷体_GB2312" w:cs="楷体_GB2312"/>
          <w:b/>
          <w:bCs/>
          <w:szCs w:val="32"/>
          <w:highlight w:val="none"/>
          <w:lang w:val="en-US" w:eastAsia="zh-CN"/>
        </w:rPr>
        <w:t xml:space="preserve"> </w:t>
      </w:r>
      <w:bookmarkStart w:id="51" w:name="_Hlk214987492"/>
      <w:r>
        <w:rPr>
          <w:rFonts w:hint="eastAsia" w:ascii="楷体_GB2312" w:hAnsi="楷体_GB2312" w:eastAsia="楷体_GB2312" w:cs="楷体_GB2312"/>
          <w:b/>
          <w:bCs/>
          <w:szCs w:val="32"/>
          <w:highlight w:val="none"/>
        </w:rPr>
        <w:t>支持建设离岸创新平台</w:t>
      </w:r>
    </w:p>
    <w:bookmarkEnd w:id="51"/>
    <w:p w14:paraId="52672D56">
      <w:pPr>
        <w:adjustRightInd w:val="0"/>
        <w:snapToGrid w:val="0"/>
        <w:ind w:firstLine="640"/>
        <w:rPr>
          <w:szCs w:val="32"/>
          <w:highlight w:val="none"/>
        </w:rPr>
      </w:pPr>
      <w:r>
        <w:rPr>
          <w:rFonts w:hint="eastAsia"/>
          <w:szCs w:val="32"/>
          <w:highlight w:val="none"/>
        </w:rPr>
        <w:t>鼓励</w:t>
      </w:r>
      <w:bookmarkStart w:id="52" w:name="_Hlk214987562"/>
      <w:r>
        <w:rPr>
          <w:rFonts w:hint="eastAsia"/>
          <w:szCs w:val="32"/>
          <w:highlight w:val="none"/>
        </w:rPr>
        <w:t>合作区用人单位在澳门</w:t>
      </w:r>
      <w:bookmarkEnd w:id="52"/>
      <w:r>
        <w:rPr>
          <w:rFonts w:hint="eastAsia"/>
          <w:szCs w:val="32"/>
          <w:highlight w:val="none"/>
        </w:rPr>
        <w:t>及境外建立研发中心、孵化基地、人才交流基地等离岸创新平台，服务和引进海外人才来澳门和合作区创新创业</w:t>
      </w:r>
      <w:bookmarkStart w:id="53" w:name="_Hlk214370887"/>
      <w:r>
        <w:rPr>
          <w:rFonts w:hint="eastAsia"/>
          <w:szCs w:val="32"/>
          <w:highlight w:val="none"/>
        </w:rPr>
        <w:t>，</w:t>
      </w:r>
      <w:bookmarkStart w:id="54" w:name="_Hlk214987552"/>
      <w:r>
        <w:rPr>
          <w:rFonts w:hint="eastAsia"/>
          <w:szCs w:val="32"/>
          <w:highlight w:val="none"/>
        </w:rPr>
        <w:t>对离岸创新平台给予最高三百万元建设支持</w:t>
      </w:r>
      <w:bookmarkEnd w:id="53"/>
      <w:bookmarkEnd w:id="54"/>
      <w:r>
        <w:rPr>
          <w:rFonts w:hint="eastAsia"/>
          <w:szCs w:val="32"/>
          <w:highlight w:val="none"/>
        </w:rPr>
        <w:t>。</w:t>
      </w:r>
      <w:bookmarkStart w:id="55" w:name="_Hlk214987577"/>
      <w:bookmarkStart w:id="56" w:name="_Hlk214373953"/>
      <w:r>
        <w:rPr>
          <w:rFonts w:hint="eastAsia"/>
          <w:szCs w:val="32"/>
          <w:highlight w:val="none"/>
        </w:rPr>
        <w:t>对合作区用人单位建设的离岸创新平台引进</w:t>
      </w:r>
      <w:r>
        <w:rPr>
          <w:rFonts w:hint="eastAsia"/>
          <w:szCs w:val="32"/>
          <w:highlight w:val="none"/>
        </w:rPr>
        <w:t>的项目</w:t>
      </w:r>
      <w:r>
        <w:rPr>
          <w:rFonts w:hint="eastAsia"/>
          <w:szCs w:val="32"/>
          <w:highlight w:val="none"/>
        </w:rPr>
        <w:t>入选海外高层次人才创新创业项目</w:t>
      </w:r>
      <w:r>
        <w:rPr>
          <w:rFonts w:hint="eastAsia"/>
          <w:szCs w:val="32"/>
          <w:highlight w:val="none"/>
        </w:rPr>
        <w:t>的</w:t>
      </w:r>
      <w:r>
        <w:rPr>
          <w:rFonts w:hint="eastAsia"/>
          <w:szCs w:val="32"/>
          <w:highlight w:val="none"/>
        </w:rPr>
        <w:t>，每引进一个</w:t>
      </w:r>
      <w:r>
        <w:rPr>
          <w:rFonts w:hint="eastAsia"/>
          <w:szCs w:val="32"/>
          <w:highlight w:val="none"/>
        </w:rPr>
        <w:t>项目</w:t>
      </w:r>
      <w:r>
        <w:rPr>
          <w:rFonts w:hint="eastAsia"/>
          <w:szCs w:val="32"/>
          <w:highlight w:val="none"/>
        </w:rPr>
        <w:t>给予最高一百万元奖励</w:t>
      </w:r>
      <w:bookmarkEnd w:id="55"/>
      <w:r>
        <w:rPr>
          <w:rFonts w:hint="eastAsia"/>
          <w:szCs w:val="32"/>
          <w:highlight w:val="none"/>
        </w:rPr>
        <w:t>，单个用人单位奖励最高五百万元。</w:t>
      </w:r>
      <w:bookmarkEnd w:id="56"/>
    </w:p>
    <w:p w14:paraId="5B430DB0">
      <w:pPr>
        <w:adjustRightInd w:val="0"/>
        <w:snapToGrid w:val="0"/>
        <w:ind w:firstLine="0" w:firstLineChars="0"/>
        <w:jc w:val="center"/>
        <w:rPr>
          <w:rFonts w:hint="eastAsia" w:ascii="黑体" w:hAnsi="黑体" w:eastAsia="黑体" w:cs="黑体"/>
          <w:szCs w:val="32"/>
          <w:highlight w:val="none"/>
        </w:rPr>
      </w:pPr>
    </w:p>
    <w:p w14:paraId="1CB947CD">
      <w:pPr>
        <w:adjustRightInd w:val="0"/>
        <w:snapToGrid w:val="0"/>
        <w:ind w:firstLine="643" w:firstLineChars="200"/>
        <w:jc w:val="left"/>
        <w:rPr>
          <w:rFonts w:hint="eastAsia" w:ascii="楷体_GB2312" w:hAnsi="楷体_GB2312" w:eastAsia="楷体_GB2312" w:cs="楷体_GB2312"/>
          <w:b/>
          <w:bCs/>
          <w:szCs w:val="32"/>
          <w:highlight w:val="none"/>
        </w:rPr>
      </w:pPr>
      <w:r>
        <w:rPr>
          <w:rFonts w:hint="eastAsia" w:ascii="楷体_GB2312" w:hAnsi="楷体_GB2312" w:eastAsia="楷体_GB2312" w:cs="楷体_GB2312"/>
          <w:b/>
          <w:bCs/>
          <w:szCs w:val="32"/>
          <w:highlight w:val="none"/>
        </w:rPr>
        <w:t>第十四条</w:t>
      </w:r>
      <w:r>
        <w:rPr>
          <w:rFonts w:hint="eastAsia" w:ascii="楷体_GB2312" w:hAnsi="楷体_GB2312" w:eastAsia="楷体_GB2312" w:cs="楷体_GB2312"/>
          <w:b/>
          <w:bCs/>
          <w:szCs w:val="32"/>
          <w:highlight w:val="none"/>
          <w:lang w:val="en-US" w:eastAsia="zh-CN"/>
        </w:rPr>
        <w:t xml:space="preserve"> </w:t>
      </w:r>
      <w:bookmarkStart w:id="57" w:name="_Hlk214987498"/>
      <w:r>
        <w:rPr>
          <w:rFonts w:hint="eastAsia" w:ascii="楷体_GB2312" w:hAnsi="楷体_GB2312" w:eastAsia="楷体_GB2312" w:cs="楷体_GB2312"/>
          <w:b/>
          <w:bCs/>
          <w:szCs w:val="32"/>
          <w:highlight w:val="none"/>
        </w:rPr>
        <w:t>激励用人单位主动引才</w:t>
      </w:r>
    </w:p>
    <w:bookmarkEnd w:id="57"/>
    <w:p w14:paraId="7EBD8F83">
      <w:pPr>
        <w:adjustRightInd w:val="0"/>
        <w:snapToGrid w:val="0"/>
        <w:ind w:firstLine="640"/>
        <w:rPr>
          <w:szCs w:val="32"/>
          <w:highlight w:val="none"/>
        </w:rPr>
      </w:pPr>
      <w:r>
        <w:rPr>
          <w:rFonts w:hint="eastAsia"/>
          <w:szCs w:val="32"/>
          <w:highlight w:val="none"/>
        </w:rPr>
        <w:t>发挥</w:t>
      </w:r>
      <w:bookmarkStart w:id="58" w:name="_Hlk214987590"/>
      <w:r>
        <w:rPr>
          <w:rFonts w:hint="eastAsia"/>
          <w:szCs w:val="32"/>
          <w:highlight w:val="none"/>
        </w:rPr>
        <w:t>用人单位</w:t>
      </w:r>
      <w:bookmarkEnd w:id="58"/>
      <w:r>
        <w:rPr>
          <w:rFonts w:hint="eastAsia"/>
          <w:szCs w:val="32"/>
          <w:highlight w:val="none"/>
        </w:rPr>
        <w:t>在人才资源配置中的主导作用，对</w:t>
      </w:r>
      <w:bookmarkStart w:id="59" w:name="_Hlk214263927"/>
      <w:bookmarkStart w:id="60" w:name="_Hlk214987598"/>
      <w:r>
        <w:rPr>
          <w:rFonts w:hint="eastAsia"/>
          <w:szCs w:val="32"/>
          <w:highlight w:val="none"/>
        </w:rPr>
        <w:t>从海外引进</w:t>
      </w:r>
      <w:bookmarkEnd w:id="59"/>
      <w:r>
        <w:rPr>
          <w:rFonts w:hint="eastAsia"/>
          <w:szCs w:val="32"/>
          <w:highlight w:val="none"/>
        </w:rPr>
        <w:t>高层次人才并经合作区有效申报国家或广东省重大人才工程的</w:t>
      </w:r>
      <w:bookmarkEnd w:id="60"/>
      <w:r>
        <w:rPr>
          <w:rFonts w:hint="eastAsia"/>
          <w:szCs w:val="32"/>
          <w:highlight w:val="none"/>
        </w:rPr>
        <w:t>用人单位，分别按照国家、广东省人才工程每人次三万元、两万元的标准给予</w:t>
      </w:r>
      <w:bookmarkStart w:id="61" w:name="_Hlk214987604"/>
      <w:r>
        <w:rPr>
          <w:rFonts w:hint="eastAsia"/>
          <w:szCs w:val="32"/>
          <w:highlight w:val="none"/>
        </w:rPr>
        <w:t>申报补助</w:t>
      </w:r>
      <w:bookmarkEnd w:id="61"/>
      <w:r>
        <w:rPr>
          <w:rFonts w:hint="eastAsia"/>
          <w:szCs w:val="32"/>
          <w:highlight w:val="none"/>
        </w:rPr>
        <w:t>。同一用人单位单一人才工程单一批次申报补助，国家人才工程最高三十万元，广东省人才工程最高二十万元。同一用人单位同一年度申报补助，累计</w:t>
      </w:r>
      <w:r>
        <w:rPr>
          <w:rFonts w:hint="eastAsia"/>
          <w:szCs w:val="32"/>
          <w:highlight w:val="none"/>
          <w:lang w:eastAsia="zh-CN"/>
        </w:rPr>
        <w:t>不超过</w:t>
      </w:r>
      <w:r>
        <w:rPr>
          <w:rFonts w:hint="eastAsia"/>
          <w:szCs w:val="32"/>
          <w:highlight w:val="none"/>
        </w:rPr>
        <w:t>六十万元。</w:t>
      </w:r>
      <w:bookmarkStart w:id="62" w:name="_Hlk214987646"/>
      <w:r>
        <w:rPr>
          <w:rFonts w:hint="eastAsia" w:ascii="Times New Roman Regular" w:hAnsi="Times New Roman Regular" w:cs="Times New Roman Regular"/>
          <w:szCs w:val="32"/>
          <w:highlight w:val="none"/>
        </w:rPr>
        <w:t>对入选人才依托的用人单位，每人次分别按照国家或广东省人才工程评审单位核发生活补贴的百分之三十、百分之二十给予奖励</w:t>
      </w:r>
      <w:bookmarkEnd w:id="62"/>
      <w:r>
        <w:rPr>
          <w:rFonts w:hint="eastAsia"/>
          <w:szCs w:val="32"/>
          <w:highlight w:val="none"/>
        </w:rPr>
        <w:t>。</w:t>
      </w:r>
    </w:p>
    <w:p w14:paraId="49378CED">
      <w:pPr>
        <w:adjustRightInd w:val="0"/>
        <w:snapToGrid w:val="0"/>
        <w:ind w:firstLine="640"/>
        <w:rPr>
          <w:szCs w:val="32"/>
          <w:highlight w:val="none"/>
        </w:rPr>
      </w:pPr>
      <w:bookmarkStart w:id="63" w:name="_Hlk214987670"/>
      <w:r>
        <w:rPr>
          <w:rFonts w:hint="eastAsia"/>
          <w:szCs w:val="32"/>
          <w:highlight w:val="none"/>
        </w:rPr>
        <w:t>对列入正式入选名单的人才，按照国家或广东省人才工程评审单位核发生活补贴的额度给予1:1.5配套补贴。</w:t>
      </w:r>
      <w:r>
        <w:rPr>
          <w:rFonts w:hint="eastAsia" w:ascii="仿宋_GB2312" w:hAnsi="仿宋_GB2312" w:cs="仿宋_GB2312"/>
          <w:szCs w:val="32"/>
          <w:highlight w:val="none"/>
        </w:rPr>
        <w:t>国家级、省级人才工程的入选者可参照合作区高层次人才的评定标准，享受对应标准的生活补贴和住房补贴</w:t>
      </w:r>
      <w:bookmarkEnd w:id="63"/>
      <w:r>
        <w:rPr>
          <w:rFonts w:hint="eastAsia" w:ascii="仿宋_GB2312" w:hAnsi="仿宋_GB2312" w:cs="仿宋_GB2312"/>
          <w:szCs w:val="32"/>
          <w:highlight w:val="none"/>
        </w:rPr>
        <w:t>。</w:t>
      </w:r>
    </w:p>
    <w:p w14:paraId="73262F25">
      <w:pPr>
        <w:pStyle w:val="2"/>
        <w:rPr>
          <w:sz w:val="32"/>
          <w:szCs w:val="32"/>
          <w:highlight w:val="none"/>
        </w:rPr>
      </w:pPr>
      <w:bookmarkStart w:id="64" w:name="_Hlk214034258"/>
    </w:p>
    <w:p w14:paraId="4CA30176">
      <w:pPr>
        <w:adjustRightInd w:val="0"/>
        <w:snapToGrid w:val="0"/>
        <w:ind w:firstLine="643" w:firstLineChars="200"/>
        <w:jc w:val="left"/>
        <w:rPr>
          <w:rFonts w:hint="eastAsia" w:ascii="楷体_GB2312" w:hAnsi="楷体_GB2312" w:eastAsia="楷体_GB2312" w:cs="楷体_GB2312"/>
          <w:b/>
          <w:bCs/>
          <w:szCs w:val="32"/>
          <w:highlight w:val="none"/>
        </w:rPr>
      </w:pPr>
      <w:r>
        <w:rPr>
          <w:rFonts w:hint="eastAsia" w:ascii="楷体_GB2312" w:hAnsi="楷体_GB2312" w:eastAsia="楷体_GB2312" w:cs="楷体_GB2312"/>
          <w:b/>
          <w:bCs/>
          <w:szCs w:val="32"/>
          <w:highlight w:val="none"/>
        </w:rPr>
        <w:t>第十五条</w:t>
      </w:r>
      <w:r>
        <w:rPr>
          <w:rFonts w:hint="eastAsia" w:ascii="楷体_GB2312" w:hAnsi="楷体_GB2312" w:eastAsia="楷体_GB2312" w:cs="楷体_GB2312"/>
          <w:b/>
          <w:bCs/>
          <w:szCs w:val="32"/>
          <w:highlight w:val="none"/>
          <w:lang w:val="en-US" w:eastAsia="zh-CN"/>
        </w:rPr>
        <w:t xml:space="preserve"> </w:t>
      </w:r>
      <w:bookmarkStart w:id="65" w:name="_Hlk214987506"/>
      <w:r>
        <w:rPr>
          <w:rFonts w:hint="eastAsia" w:ascii="楷体_GB2312" w:hAnsi="楷体_GB2312" w:eastAsia="楷体_GB2312" w:cs="楷体_GB2312"/>
          <w:b/>
          <w:bCs/>
          <w:szCs w:val="32"/>
          <w:highlight w:val="none"/>
        </w:rPr>
        <w:t>凝聚社会力量引聚人才</w:t>
      </w:r>
    </w:p>
    <w:bookmarkEnd w:id="65"/>
    <w:p w14:paraId="5BECDA48">
      <w:pPr>
        <w:adjustRightInd w:val="0"/>
        <w:snapToGrid w:val="0"/>
        <w:ind w:firstLine="640"/>
        <w:rPr>
          <w:szCs w:val="32"/>
          <w:highlight w:val="none"/>
        </w:rPr>
      </w:pPr>
      <w:bookmarkStart w:id="66" w:name="_Hlk214374601"/>
      <w:r>
        <w:rPr>
          <w:rFonts w:hint="eastAsia"/>
          <w:szCs w:val="32"/>
          <w:highlight w:val="none"/>
        </w:rPr>
        <w:t>支持各类引才主体为“澳门+横琴”经济发展精准引才，鼓励海外引才工作站、投资机构、人力资源服务中介、咨询服务</w:t>
      </w:r>
      <w:r>
        <w:rPr>
          <w:rFonts w:hint="eastAsia"/>
          <w:szCs w:val="32"/>
          <w:highlight w:val="none"/>
        </w:rPr>
        <w:t>机构</w:t>
      </w:r>
      <w:r>
        <w:rPr>
          <w:rFonts w:hint="eastAsia"/>
          <w:szCs w:val="32"/>
          <w:highlight w:val="none"/>
        </w:rPr>
        <w:t>、技术转移中心、孵化中心等社会化机构在琴澳设立地区总部或分支机构，</w:t>
      </w:r>
      <w:bookmarkStart w:id="67" w:name="_Hlk214987716"/>
      <w:r>
        <w:rPr>
          <w:rFonts w:hint="eastAsia"/>
          <w:szCs w:val="32"/>
          <w:highlight w:val="none"/>
        </w:rPr>
        <w:t>对取得引才荐才成效的市场机构或个人给予奖励</w:t>
      </w:r>
      <w:bookmarkEnd w:id="67"/>
      <w:r>
        <w:rPr>
          <w:rFonts w:hint="eastAsia"/>
          <w:szCs w:val="32"/>
          <w:highlight w:val="none"/>
        </w:rPr>
        <w:t>。</w:t>
      </w:r>
    </w:p>
    <w:p w14:paraId="287ED612">
      <w:pPr>
        <w:adjustRightInd w:val="0"/>
        <w:snapToGrid w:val="0"/>
        <w:ind w:firstLine="640"/>
        <w:rPr>
          <w:szCs w:val="32"/>
          <w:highlight w:val="none"/>
        </w:rPr>
      </w:pPr>
      <w:bookmarkStart w:id="68" w:name="_Hlk214987724"/>
      <w:r>
        <w:rPr>
          <w:rFonts w:hint="eastAsia"/>
          <w:szCs w:val="32"/>
          <w:highlight w:val="none"/>
        </w:rPr>
        <w:t>对引进的项目入选合作区海外高层次人才创新创业项目的，每个项目给予引才主体最高五十万元奖励。</w:t>
      </w:r>
    </w:p>
    <w:p w14:paraId="24E7492E">
      <w:pPr>
        <w:pStyle w:val="2"/>
        <w:rPr>
          <w:sz w:val="32"/>
          <w:szCs w:val="32"/>
          <w:highlight w:val="none"/>
        </w:rPr>
      </w:pPr>
      <w:r>
        <w:rPr>
          <w:rFonts w:hint="eastAsia"/>
          <w:sz w:val="32"/>
          <w:szCs w:val="32"/>
          <w:highlight w:val="none"/>
        </w:rPr>
        <w:t>对引进的人才被评定为合作区高层次人才的，给予引才主体最高五十万元奖励。</w:t>
      </w:r>
    </w:p>
    <w:bookmarkEnd w:id="68"/>
    <w:p w14:paraId="57EF3EFA">
      <w:pPr>
        <w:pStyle w:val="2"/>
        <w:rPr>
          <w:sz w:val="32"/>
          <w:szCs w:val="32"/>
          <w:highlight w:val="none"/>
        </w:rPr>
      </w:pPr>
      <w:r>
        <w:rPr>
          <w:rFonts w:hint="eastAsia"/>
          <w:sz w:val="32"/>
          <w:szCs w:val="32"/>
          <w:highlight w:val="none"/>
        </w:rPr>
        <w:t>对</w:t>
      </w:r>
      <w:bookmarkStart w:id="69" w:name="_Hlk214264012"/>
      <w:bookmarkStart w:id="70" w:name="_Hlk214987740"/>
      <w:r>
        <w:rPr>
          <w:rFonts w:hint="eastAsia"/>
          <w:sz w:val="32"/>
          <w:szCs w:val="32"/>
          <w:highlight w:val="none"/>
        </w:rPr>
        <w:t>从海外引进的</w:t>
      </w:r>
      <w:bookmarkEnd w:id="69"/>
      <w:r>
        <w:rPr>
          <w:rFonts w:hint="eastAsia"/>
          <w:sz w:val="32"/>
          <w:szCs w:val="32"/>
          <w:highlight w:val="none"/>
        </w:rPr>
        <w:t>高层次人才经合作区有效申报国家或广东省重大人才工程的</w:t>
      </w:r>
      <w:bookmarkEnd w:id="70"/>
      <w:r>
        <w:rPr>
          <w:rFonts w:hint="eastAsia"/>
          <w:sz w:val="32"/>
          <w:szCs w:val="32"/>
          <w:highlight w:val="none"/>
        </w:rPr>
        <w:t>，分别按照国家、广东省人才工程每人次两万元、一万元的标准给予引才主体申报补助。</w:t>
      </w:r>
      <w:bookmarkEnd w:id="64"/>
    </w:p>
    <w:bookmarkEnd w:id="66"/>
    <w:p w14:paraId="104FF1C9">
      <w:pPr>
        <w:adjustRightInd w:val="0"/>
        <w:snapToGrid w:val="0"/>
        <w:ind w:firstLine="0" w:firstLineChars="0"/>
        <w:jc w:val="center"/>
        <w:rPr>
          <w:rFonts w:hint="eastAsia" w:ascii="黑体" w:hAnsi="黑体" w:eastAsia="黑体" w:cs="黑体"/>
          <w:szCs w:val="32"/>
          <w:highlight w:val="none"/>
        </w:rPr>
      </w:pPr>
    </w:p>
    <w:p w14:paraId="2A101559">
      <w:pPr>
        <w:adjustRightInd w:val="0"/>
        <w:snapToGrid w:val="0"/>
        <w:ind w:firstLine="643" w:firstLineChars="200"/>
        <w:jc w:val="left"/>
        <w:rPr>
          <w:rFonts w:hint="eastAsia" w:ascii="楷体_GB2312" w:hAnsi="楷体_GB2312" w:eastAsia="楷体_GB2312" w:cs="楷体_GB2312"/>
          <w:b/>
          <w:bCs/>
          <w:szCs w:val="32"/>
          <w:highlight w:val="none"/>
        </w:rPr>
      </w:pPr>
      <w:r>
        <w:rPr>
          <w:rFonts w:hint="eastAsia" w:ascii="楷体_GB2312" w:hAnsi="楷体_GB2312" w:eastAsia="楷体_GB2312" w:cs="楷体_GB2312"/>
          <w:b/>
          <w:bCs/>
          <w:szCs w:val="32"/>
          <w:highlight w:val="none"/>
        </w:rPr>
        <w:t>第十六条</w:t>
      </w:r>
      <w:r>
        <w:rPr>
          <w:rFonts w:hint="eastAsia" w:ascii="楷体_GB2312" w:hAnsi="楷体_GB2312" w:eastAsia="楷体_GB2312" w:cs="楷体_GB2312"/>
          <w:b/>
          <w:bCs/>
          <w:szCs w:val="32"/>
          <w:highlight w:val="none"/>
          <w:lang w:val="en-US" w:eastAsia="zh-CN"/>
        </w:rPr>
        <w:t xml:space="preserve"> </w:t>
      </w:r>
      <w:bookmarkStart w:id="71" w:name="_Hlk214987513"/>
      <w:r>
        <w:rPr>
          <w:rFonts w:hint="eastAsia" w:ascii="楷体_GB2312" w:hAnsi="楷体_GB2312" w:eastAsia="楷体_GB2312" w:cs="楷体_GB2312"/>
          <w:b/>
          <w:bCs/>
          <w:szCs w:val="32"/>
          <w:highlight w:val="none"/>
        </w:rPr>
        <w:t>支持设立科研工作站</w:t>
      </w:r>
    </w:p>
    <w:bookmarkEnd w:id="71"/>
    <w:p w14:paraId="71F11965">
      <w:pPr>
        <w:adjustRightInd w:val="0"/>
        <w:snapToGrid w:val="0"/>
        <w:ind w:firstLine="640"/>
        <w:rPr>
          <w:szCs w:val="32"/>
          <w:highlight w:val="none"/>
        </w:rPr>
      </w:pPr>
      <w:r>
        <w:rPr>
          <w:rFonts w:hint="eastAsia"/>
          <w:szCs w:val="32"/>
          <w:highlight w:val="none"/>
        </w:rPr>
        <w:t>支持合作区用人单位设立院士工作站，</w:t>
      </w:r>
      <w:r>
        <w:rPr>
          <w:rFonts w:ascii="Times New Roman Regular" w:hAnsi="Times New Roman Regular" w:cs="Times New Roman Regular"/>
          <w:szCs w:val="32"/>
          <w:highlight w:val="none"/>
        </w:rPr>
        <w:t>对设立院士工作站的建站单位</w:t>
      </w:r>
      <w:r>
        <w:rPr>
          <w:rFonts w:hint="eastAsia" w:ascii="Times New Roman Regular" w:hAnsi="Times New Roman Regular" w:cs="Times New Roman Regular"/>
          <w:szCs w:val="32"/>
          <w:highlight w:val="none"/>
        </w:rPr>
        <w:t>给予一次性最高两百万元资助</w:t>
      </w:r>
      <w:r>
        <w:rPr>
          <w:rFonts w:hint="eastAsia"/>
          <w:szCs w:val="32"/>
          <w:highlight w:val="none"/>
        </w:rPr>
        <w:t>。</w:t>
      </w:r>
    </w:p>
    <w:p w14:paraId="49682756">
      <w:pPr>
        <w:pStyle w:val="2"/>
        <w:adjustRightInd w:val="0"/>
        <w:snapToGrid w:val="0"/>
        <w:rPr>
          <w:rFonts w:ascii="Times New Roman Regular" w:hAnsi="Times New Roman Regular" w:cs="Times New Roman Regular"/>
          <w:sz w:val="32"/>
          <w:szCs w:val="32"/>
          <w:highlight w:val="none"/>
        </w:rPr>
      </w:pPr>
      <w:bookmarkStart w:id="72" w:name="_Hlk214468810"/>
      <w:r>
        <w:rPr>
          <w:rFonts w:hint="eastAsia" w:ascii="Times New Roman Regular" w:hAnsi="Times New Roman Regular" w:cs="Times New Roman Regular"/>
          <w:sz w:val="32"/>
          <w:szCs w:val="32"/>
          <w:highlight w:val="none"/>
        </w:rPr>
        <w:t>支持合作区用人单位设立外籍院士工作站，对设立外籍院士工作站的建站单位给予一次性最高一百万元资助</w:t>
      </w:r>
      <w:bookmarkEnd w:id="72"/>
      <w:r>
        <w:rPr>
          <w:rFonts w:hint="eastAsia" w:ascii="Times New Roman Regular" w:hAnsi="Times New Roman Regular" w:cs="Times New Roman Regular"/>
          <w:sz w:val="32"/>
          <w:szCs w:val="32"/>
          <w:highlight w:val="none"/>
        </w:rPr>
        <w:t>。</w:t>
      </w:r>
    </w:p>
    <w:p w14:paraId="3BB9DA98">
      <w:pPr>
        <w:adjustRightInd w:val="0"/>
        <w:snapToGrid w:val="0"/>
        <w:ind w:firstLine="640"/>
        <w:rPr>
          <w:szCs w:val="32"/>
          <w:highlight w:val="none"/>
        </w:rPr>
      </w:pPr>
      <w:r>
        <w:rPr>
          <w:rFonts w:hint="eastAsia"/>
          <w:szCs w:val="32"/>
          <w:highlight w:val="none"/>
        </w:rPr>
        <w:t>对新设立的博士后</w:t>
      </w:r>
      <w:bookmarkStart w:id="73" w:name="_Hlk214987824"/>
      <w:r>
        <w:rPr>
          <w:rFonts w:hint="eastAsia"/>
          <w:szCs w:val="32"/>
          <w:highlight w:val="none"/>
        </w:rPr>
        <w:t>科研工作站、工作站分站、创新实践基地以及博士工作站</w:t>
      </w:r>
      <w:bookmarkEnd w:id="73"/>
      <w:r>
        <w:rPr>
          <w:rFonts w:hint="eastAsia"/>
          <w:szCs w:val="32"/>
          <w:highlight w:val="none"/>
        </w:rPr>
        <w:t>，分别给予一百万元、七十万元、五十万元、五十万元建站补贴。</w:t>
      </w:r>
    </w:p>
    <w:p w14:paraId="6403D694">
      <w:pPr>
        <w:adjustRightInd w:val="0"/>
        <w:snapToGrid w:val="0"/>
        <w:ind w:firstLine="0" w:firstLineChars="0"/>
        <w:jc w:val="center"/>
        <w:rPr>
          <w:rFonts w:hint="eastAsia" w:ascii="黑体" w:hAnsi="黑体" w:eastAsia="黑体" w:cs="黑体"/>
          <w:szCs w:val="32"/>
          <w:highlight w:val="none"/>
        </w:rPr>
      </w:pPr>
    </w:p>
    <w:p w14:paraId="1955C397">
      <w:pPr>
        <w:adjustRightInd w:val="0"/>
        <w:snapToGrid w:val="0"/>
        <w:ind w:firstLine="0" w:firstLineChars="0"/>
        <w:jc w:val="center"/>
        <w:rPr>
          <w:rFonts w:hint="eastAsia" w:ascii="黑体" w:hAnsi="黑体" w:eastAsia="黑体" w:cs="黑体"/>
          <w:szCs w:val="32"/>
          <w:highlight w:val="none"/>
        </w:rPr>
      </w:pPr>
      <w:r>
        <w:rPr>
          <w:rFonts w:hint="eastAsia" w:ascii="黑体" w:hAnsi="黑体" w:eastAsia="黑体" w:cs="黑体"/>
          <w:szCs w:val="32"/>
          <w:highlight w:val="none"/>
        </w:rPr>
        <w:t>第五章</w:t>
      </w:r>
      <w:r>
        <w:rPr>
          <w:rFonts w:hint="eastAsia" w:ascii="黑体" w:hAnsi="黑体" w:eastAsia="黑体" w:cs="黑体"/>
          <w:szCs w:val="32"/>
          <w:highlight w:val="none"/>
          <w:lang w:val="en-US" w:eastAsia="zh-CN"/>
        </w:rPr>
        <w:t xml:space="preserve"> </w:t>
      </w:r>
      <w:r>
        <w:rPr>
          <w:rFonts w:hint="eastAsia" w:ascii="黑体" w:hAnsi="黑体" w:eastAsia="黑体" w:cs="黑体"/>
          <w:szCs w:val="32"/>
          <w:highlight w:val="none"/>
        </w:rPr>
        <w:t>优化人才发展环境</w:t>
      </w:r>
    </w:p>
    <w:p w14:paraId="0B83CC6E">
      <w:pPr>
        <w:adjustRightInd w:val="0"/>
        <w:snapToGrid w:val="0"/>
        <w:ind w:firstLine="0" w:firstLineChars="0"/>
        <w:rPr>
          <w:szCs w:val="32"/>
          <w:highlight w:val="none"/>
        </w:rPr>
      </w:pPr>
    </w:p>
    <w:p w14:paraId="0FBD7791">
      <w:pPr>
        <w:adjustRightInd w:val="0"/>
        <w:snapToGrid w:val="0"/>
        <w:ind w:firstLine="643" w:firstLineChars="200"/>
        <w:jc w:val="left"/>
        <w:rPr>
          <w:rFonts w:hint="eastAsia" w:ascii="楷体_GB2312" w:hAnsi="楷体_GB2312" w:eastAsia="楷体_GB2312" w:cs="楷体_GB2312"/>
          <w:b/>
          <w:bCs/>
          <w:szCs w:val="32"/>
          <w:highlight w:val="none"/>
        </w:rPr>
      </w:pPr>
      <w:r>
        <w:rPr>
          <w:rFonts w:hint="eastAsia" w:ascii="楷体_GB2312" w:hAnsi="楷体_GB2312" w:eastAsia="楷体_GB2312" w:cs="楷体_GB2312"/>
          <w:b/>
          <w:bCs/>
          <w:szCs w:val="32"/>
          <w:highlight w:val="none"/>
        </w:rPr>
        <w:t>第十七条</w:t>
      </w:r>
      <w:r>
        <w:rPr>
          <w:rFonts w:hint="eastAsia" w:ascii="楷体_GB2312" w:hAnsi="楷体_GB2312" w:eastAsia="楷体_GB2312" w:cs="楷体_GB2312"/>
          <w:b/>
          <w:bCs/>
          <w:szCs w:val="32"/>
          <w:highlight w:val="none"/>
          <w:lang w:val="en-US" w:eastAsia="zh-CN"/>
        </w:rPr>
        <w:t xml:space="preserve"> </w:t>
      </w:r>
      <w:bookmarkStart w:id="74" w:name="_Hlk214987849"/>
      <w:r>
        <w:rPr>
          <w:rFonts w:hint="eastAsia" w:ascii="楷体_GB2312" w:hAnsi="楷体_GB2312" w:eastAsia="楷体_GB2312" w:cs="楷体_GB2312"/>
          <w:b/>
          <w:bCs/>
          <w:szCs w:val="32"/>
          <w:highlight w:val="none"/>
        </w:rPr>
        <w:t>强化政府投资基金引导作用</w:t>
      </w:r>
    </w:p>
    <w:bookmarkEnd w:id="74"/>
    <w:p w14:paraId="67470C45">
      <w:pPr>
        <w:adjustRightInd w:val="0"/>
        <w:snapToGrid w:val="0"/>
        <w:ind w:firstLine="640"/>
        <w:rPr>
          <w:rFonts w:ascii="Times New Roman Regular" w:hAnsi="Times New Roman Regular" w:cs="Times New Roman Regular"/>
          <w:szCs w:val="32"/>
          <w:highlight w:val="none"/>
        </w:rPr>
      </w:pPr>
      <w:r>
        <w:rPr>
          <w:rFonts w:ascii="Times New Roman Regular" w:hAnsi="Times New Roman Regular" w:cs="Times New Roman Regular"/>
          <w:szCs w:val="32"/>
          <w:highlight w:val="none"/>
        </w:rPr>
        <w:t>发挥合作区政府</w:t>
      </w:r>
      <w:r>
        <w:rPr>
          <w:rFonts w:hint="eastAsia" w:ascii="Times New Roman Regular" w:hAnsi="Times New Roman Regular" w:cs="Times New Roman Regular"/>
          <w:szCs w:val="32"/>
          <w:highlight w:val="none"/>
        </w:rPr>
        <w:t>资金</w:t>
      </w:r>
      <w:r>
        <w:rPr>
          <w:rFonts w:ascii="Times New Roman Regular" w:hAnsi="Times New Roman Regular" w:cs="Times New Roman Regular"/>
          <w:szCs w:val="32"/>
          <w:highlight w:val="none"/>
        </w:rPr>
        <w:t>引导作用，吸引社会资本和社会力量参与</w:t>
      </w:r>
      <w:bookmarkStart w:id="75" w:name="_Hlk214987985"/>
      <w:r>
        <w:rPr>
          <w:rFonts w:ascii="Times New Roman Regular" w:hAnsi="Times New Roman Regular" w:cs="Times New Roman Regular"/>
          <w:szCs w:val="32"/>
          <w:highlight w:val="none"/>
        </w:rPr>
        <w:t>，</w:t>
      </w:r>
      <w:r>
        <w:rPr>
          <w:rFonts w:hint="eastAsia" w:ascii="Times New Roman Regular" w:hAnsi="Times New Roman Regular" w:cs="Times New Roman Regular"/>
          <w:szCs w:val="32"/>
          <w:highlight w:val="none"/>
        </w:rPr>
        <w:t>联动澳门引进和</w:t>
      </w:r>
      <w:r>
        <w:rPr>
          <w:rFonts w:ascii="Times New Roman Regular" w:hAnsi="Times New Roman Regular" w:cs="Times New Roman Regular"/>
          <w:szCs w:val="32"/>
          <w:highlight w:val="none"/>
        </w:rPr>
        <w:t>支持海内外人才携项目在合作区创新创业</w:t>
      </w:r>
      <w:bookmarkEnd w:id="75"/>
      <w:r>
        <w:rPr>
          <w:rFonts w:ascii="Times New Roman Regular" w:hAnsi="Times New Roman Regular" w:cs="Times New Roman Regular"/>
          <w:szCs w:val="32"/>
          <w:highlight w:val="none"/>
        </w:rPr>
        <w:t>，培育更多创新生态，推动四新产业加速发展。</w:t>
      </w:r>
    </w:p>
    <w:p w14:paraId="2BAE9FCA">
      <w:pPr>
        <w:pStyle w:val="19"/>
        <w:adjustRightInd w:val="0"/>
        <w:snapToGrid w:val="0"/>
        <w:ind w:firstLine="640"/>
        <w:rPr>
          <w:rFonts w:ascii="Times New Roman Regular" w:hAnsi="Times New Roman Regular" w:cs="Times New Roman Regular"/>
          <w:szCs w:val="32"/>
          <w:highlight w:val="none"/>
        </w:rPr>
      </w:pPr>
    </w:p>
    <w:p w14:paraId="0E0BFBEE">
      <w:pPr>
        <w:adjustRightInd w:val="0"/>
        <w:snapToGrid w:val="0"/>
        <w:ind w:firstLine="643" w:firstLineChars="200"/>
        <w:jc w:val="left"/>
        <w:rPr>
          <w:rFonts w:hint="eastAsia" w:ascii="楷体_GB2312" w:hAnsi="楷体_GB2312" w:eastAsia="楷体_GB2312" w:cs="楷体_GB2312"/>
          <w:b/>
          <w:bCs/>
          <w:szCs w:val="32"/>
          <w:highlight w:val="none"/>
        </w:rPr>
      </w:pPr>
      <w:r>
        <w:rPr>
          <w:rFonts w:hint="eastAsia" w:ascii="楷体_GB2312" w:hAnsi="楷体_GB2312" w:eastAsia="楷体_GB2312" w:cs="楷体_GB2312"/>
          <w:b/>
          <w:bCs/>
          <w:szCs w:val="32"/>
          <w:highlight w:val="none"/>
        </w:rPr>
        <w:t>第十八条</w:t>
      </w:r>
      <w:r>
        <w:rPr>
          <w:rFonts w:hint="eastAsia" w:ascii="楷体_GB2312" w:hAnsi="楷体_GB2312" w:eastAsia="楷体_GB2312" w:cs="楷体_GB2312"/>
          <w:b/>
          <w:bCs/>
          <w:szCs w:val="32"/>
          <w:highlight w:val="none"/>
          <w:lang w:val="en-US" w:eastAsia="zh-CN"/>
        </w:rPr>
        <w:t xml:space="preserve"> </w:t>
      </w:r>
      <w:bookmarkStart w:id="76" w:name="_Hlk214987855"/>
      <w:r>
        <w:rPr>
          <w:rFonts w:hint="eastAsia" w:ascii="楷体_GB2312" w:hAnsi="楷体_GB2312" w:eastAsia="楷体_GB2312" w:cs="楷体_GB2312"/>
          <w:b/>
          <w:bCs/>
          <w:szCs w:val="32"/>
          <w:highlight w:val="none"/>
        </w:rPr>
        <w:t>完善人才住房保障</w:t>
      </w:r>
    </w:p>
    <w:bookmarkEnd w:id="76"/>
    <w:p w14:paraId="5BDAB117">
      <w:pPr>
        <w:pStyle w:val="19"/>
        <w:adjustRightInd w:val="0"/>
        <w:snapToGrid w:val="0"/>
        <w:ind w:firstLine="640"/>
        <w:jc w:val="both"/>
        <w:rPr>
          <w:rFonts w:ascii="Times New Roman Regular" w:hAnsi="Times New Roman Regular" w:cs="Times New Roman Regular"/>
          <w:szCs w:val="32"/>
          <w:highlight w:val="none"/>
        </w:rPr>
      </w:pPr>
      <w:bookmarkStart w:id="77" w:name="_Hlk214988006"/>
      <w:r>
        <w:rPr>
          <w:rFonts w:hint="eastAsia" w:ascii="Times New Roman Regular" w:hAnsi="Times New Roman Regular" w:cs="Times New Roman Regular"/>
          <w:szCs w:val="32"/>
          <w:highlight w:val="none"/>
        </w:rPr>
        <w:t>支持</w:t>
      </w:r>
      <w:r>
        <w:rPr>
          <w:rFonts w:ascii="Times New Roman Regular" w:hAnsi="Times New Roman Regular" w:cs="Times New Roman Regular"/>
          <w:szCs w:val="32"/>
          <w:highlight w:val="none"/>
        </w:rPr>
        <w:t>合作区国有企业加快人才房源收储</w:t>
      </w:r>
      <w:r>
        <w:rPr>
          <w:rFonts w:hint="eastAsia" w:ascii="Times New Roman Regular" w:hAnsi="Times New Roman Regular" w:cs="Times New Roman Regular"/>
          <w:szCs w:val="32"/>
          <w:highlight w:val="none"/>
        </w:rPr>
        <w:t>工作</w:t>
      </w:r>
      <w:bookmarkEnd w:id="77"/>
      <w:r>
        <w:rPr>
          <w:rFonts w:ascii="Times New Roman Regular" w:hAnsi="Times New Roman Regular" w:cs="Times New Roman Regular"/>
          <w:szCs w:val="32"/>
          <w:highlight w:val="none"/>
        </w:rPr>
        <w:t>，强化合作区人才房供给保障</w:t>
      </w:r>
      <w:r>
        <w:rPr>
          <w:rFonts w:hint="eastAsia" w:ascii="Times New Roman Regular" w:hAnsi="Times New Roman Regular" w:cs="Times New Roman Regular"/>
          <w:szCs w:val="32"/>
          <w:highlight w:val="none"/>
        </w:rPr>
        <w:t>，</w:t>
      </w:r>
      <w:bookmarkStart w:id="78" w:name="_Hlk214988012"/>
      <w:r>
        <w:rPr>
          <w:rFonts w:ascii="Times New Roman Regular" w:hAnsi="Times New Roman Regular" w:cs="Times New Roman Regular"/>
          <w:szCs w:val="32"/>
          <w:highlight w:val="none"/>
        </w:rPr>
        <w:t>引入</w:t>
      </w:r>
      <w:r>
        <w:rPr>
          <w:rFonts w:hint="eastAsia" w:ascii="Times New Roman Regular" w:hAnsi="Times New Roman Regular" w:cs="Times New Roman Regular"/>
          <w:szCs w:val="32"/>
          <w:highlight w:val="none"/>
        </w:rPr>
        <w:t>人才房</w:t>
      </w:r>
      <w:r>
        <w:rPr>
          <w:rFonts w:ascii="Times New Roman Regular" w:hAnsi="Times New Roman Regular" w:cs="Times New Roman Regular"/>
          <w:szCs w:val="32"/>
          <w:highlight w:val="none"/>
        </w:rPr>
        <w:t>市场评估价机制</w:t>
      </w:r>
      <w:bookmarkEnd w:id="78"/>
      <w:r>
        <w:rPr>
          <w:rFonts w:ascii="Times New Roman Regular" w:hAnsi="Times New Roman Regular" w:cs="Times New Roman Regular"/>
          <w:szCs w:val="32"/>
          <w:highlight w:val="none"/>
        </w:rPr>
        <w:t>，</w:t>
      </w:r>
      <w:r>
        <w:rPr>
          <w:rFonts w:hint="eastAsia" w:ascii="Times New Roman Regular" w:hAnsi="Times New Roman Regular" w:cs="Times New Roman Regular"/>
          <w:szCs w:val="32"/>
          <w:highlight w:val="none"/>
        </w:rPr>
        <w:t>建立与岛外周边地区同等租金水平。</w:t>
      </w:r>
      <w:bookmarkStart w:id="79" w:name="_Hlk214988020"/>
      <w:r>
        <w:rPr>
          <w:rFonts w:hint="eastAsia" w:ascii="Times New Roman Regular" w:hAnsi="Times New Roman Regular" w:cs="Times New Roman Regular"/>
          <w:szCs w:val="32"/>
          <w:highlight w:val="none"/>
        </w:rPr>
        <w:t>搭建</w:t>
      </w:r>
      <w:r>
        <w:rPr>
          <w:rFonts w:hint="eastAsia"/>
          <w:szCs w:val="32"/>
          <w:highlight w:val="none"/>
        </w:rPr>
        <w:t>人才住房数字化管理平台</w:t>
      </w:r>
      <w:bookmarkEnd w:id="79"/>
      <w:r>
        <w:rPr>
          <w:rFonts w:hint="eastAsia"/>
          <w:szCs w:val="32"/>
          <w:highlight w:val="none"/>
        </w:rPr>
        <w:t>，</w:t>
      </w:r>
      <w:r>
        <w:rPr>
          <w:szCs w:val="32"/>
          <w:highlight w:val="none"/>
        </w:rPr>
        <w:t>整合</w:t>
      </w:r>
      <w:r>
        <w:rPr>
          <w:rFonts w:hint="eastAsia"/>
          <w:szCs w:val="32"/>
          <w:highlight w:val="none"/>
        </w:rPr>
        <w:t>人才住房</w:t>
      </w:r>
      <w:r>
        <w:rPr>
          <w:szCs w:val="32"/>
          <w:highlight w:val="none"/>
        </w:rPr>
        <w:t>供给端与需求端</w:t>
      </w:r>
      <w:r>
        <w:rPr>
          <w:rFonts w:hint="eastAsia"/>
          <w:szCs w:val="32"/>
          <w:highlight w:val="none"/>
        </w:rPr>
        <w:t>信息，</w:t>
      </w:r>
      <w:r>
        <w:rPr>
          <w:szCs w:val="32"/>
          <w:highlight w:val="none"/>
        </w:rPr>
        <w:t>便利人才</w:t>
      </w:r>
      <w:r>
        <w:rPr>
          <w:rFonts w:hint="eastAsia"/>
          <w:szCs w:val="32"/>
          <w:highlight w:val="none"/>
        </w:rPr>
        <w:t>住房</w:t>
      </w:r>
      <w:r>
        <w:rPr>
          <w:szCs w:val="32"/>
          <w:highlight w:val="none"/>
        </w:rPr>
        <w:t>补贴</w:t>
      </w:r>
      <w:r>
        <w:rPr>
          <w:rFonts w:hint="eastAsia"/>
          <w:szCs w:val="32"/>
          <w:highlight w:val="none"/>
        </w:rPr>
        <w:t>申请及</w:t>
      </w:r>
      <w:r>
        <w:rPr>
          <w:szCs w:val="32"/>
          <w:highlight w:val="none"/>
        </w:rPr>
        <w:t>发放</w:t>
      </w:r>
      <w:r>
        <w:rPr>
          <w:rFonts w:hint="eastAsia"/>
          <w:szCs w:val="32"/>
          <w:highlight w:val="none"/>
        </w:rPr>
        <w:t>。</w:t>
      </w:r>
    </w:p>
    <w:p w14:paraId="6FC8A435">
      <w:pPr>
        <w:adjustRightInd w:val="0"/>
        <w:snapToGrid w:val="0"/>
        <w:ind w:firstLine="640"/>
        <w:rPr>
          <w:rFonts w:ascii="Times New Roman Regular" w:hAnsi="Times New Roman Regular" w:cs="Times New Roman Regular"/>
          <w:szCs w:val="32"/>
          <w:highlight w:val="none"/>
        </w:rPr>
      </w:pPr>
    </w:p>
    <w:p w14:paraId="03ECC763">
      <w:pPr>
        <w:adjustRightInd w:val="0"/>
        <w:snapToGrid w:val="0"/>
        <w:ind w:firstLine="643" w:firstLineChars="200"/>
        <w:jc w:val="left"/>
        <w:rPr>
          <w:rFonts w:hint="eastAsia" w:ascii="楷体_GB2312" w:hAnsi="楷体_GB2312" w:eastAsia="楷体_GB2312" w:cs="楷体_GB2312"/>
          <w:b/>
          <w:bCs/>
          <w:szCs w:val="32"/>
          <w:highlight w:val="none"/>
        </w:rPr>
      </w:pPr>
      <w:r>
        <w:rPr>
          <w:rFonts w:hint="eastAsia" w:ascii="楷体_GB2312" w:hAnsi="楷体_GB2312" w:eastAsia="楷体_GB2312" w:cs="楷体_GB2312"/>
          <w:b/>
          <w:bCs/>
          <w:szCs w:val="32"/>
          <w:highlight w:val="none"/>
        </w:rPr>
        <w:t>第十九条</w:t>
      </w:r>
      <w:r>
        <w:rPr>
          <w:rFonts w:hint="eastAsia" w:ascii="楷体_GB2312" w:hAnsi="楷体_GB2312" w:eastAsia="楷体_GB2312" w:cs="楷体_GB2312"/>
          <w:b/>
          <w:bCs/>
          <w:szCs w:val="32"/>
          <w:highlight w:val="none"/>
          <w:lang w:val="en-US" w:eastAsia="zh-CN"/>
        </w:rPr>
        <w:t xml:space="preserve"> </w:t>
      </w:r>
      <w:bookmarkStart w:id="80" w:name="_Hlk214987860"/>
      <w:r>
        <w:rPr>
          <w:rFonts w:hint="eastAsia" w:ascii="楷体_GB2312" w:hAnsi="楷体_GB2312" w:eastAsia="楷体_GB2312" w:cs="楷体_GB2312"/>
          <w:b/>
          <w:bCs/>
          <w:szCs w:val="32"/>
          <w:highlight w:val="none"/>
        </w:rPr>
        <w:t>设立澳琴人才卡</w:t>
      </w:r>
    </w:p>
    <w:bookmarkEnd w:id="80"/>
    <w:p w14:paraId="44A17386">
      <w:pPr>
        <w:adjustRightInd w:val="0"/>
        <w:snapToGrid w:val="0"/>
        <w:ind w:firstLine="640"/>
        <w:rPr>
          <w:rFonts w:ascii="Times New Roman Regular" w:hAnsi="Times New Roman Regular" w:cs="Times New Roman Regular"/>
          <w:szCs w:val="32"/>
          <w:highlight w:val="none"/>
        </w:rPr>
      </w:pPr>
      <w:bookmarkStart w:id="81" w:name="_Hlk214988051"/>
      <w:r>
        <w:rPr>
          <w:rFonts w:hint="eastAsia" w:ascii="Times New Roman Regular" w:hAnsi="Times New Roman Regular" w:cs="Times New Roman Regular"/>
          <w:szCs w:val="32"/>
          <w:highlight w:val="none"/>
        </w:rPr>
        <w:t>设立</w:t>
      </w:r>
      <w:r>
        <w:rPr>
          <w:rFonts w:hint="eastAsia" w:ascii="Times New Roman Regular" w:hAnsi="Times New Roman Regular" w:cs="Times New Roman Regular"/>
          <w:szCs w:val="32"/>
          <w:highlight w:val="none"/>
        </w:rPr>
        <w:t>“澳琴人才卡”</w:t>
      </w:r>
      <w:bookmarkEnd w:id="81"/>
      <w:r>
        <w:rPr>
          <w:rFonts w:hint="eastAsia" w:ascii="Times New Roman Regular" w:hAnsi="Times New Roman Regular" w:cs="Times New Roman Regular"/>
          <w:szCs w:val="32"/>
          <w:highlight w:val="none"/>
        </w:rPr>
        <w:t>，按照</w:t>
      </w:r>
      <w:bookmarkStart w:id="82" w:name="_Hlk214988040"/>
      <w:r>
        <w:rPr>
          <w:rFonts w:hint="eastAsia" w:ascii="Times New Roman Regular" w:hAnsi="Times New Roman Regular" w:cs="Times New Roman Regular"/>
          <w:szCs w:val="32"/>
          <w:highlight w:val="none"/>
        </w:rPr>
        <w:t>A、B不同类别</w:t>
      </w:r>
      <w:bookmarkEnd w:id="82"/>
      <w:r>
        <w:rPr>
          <w:rFonts w:hint="eastAsia" w:ascii="Times New Roman Regular" w:hAnsi="Times New Roman Regular" w:cs="Times New Roman Regular"/>
          <w:szCs w:val="32"/>
          <w:highlight w:val="none"/>
        </w:rPr>
        <w:t>提供</w:t>
      </w:r>
      <w:r>
        <w:rPr>
          <w:rFonts w:hint="eastAsia" w:ascii="Times New Roman Regular" w:hAnsi="Times New Roman Regular" w:cs="Times New Roman Regular"/>
          <w:szCs w:val="32"/>
          <w:highlight w:val="none"/>
        </w:rPr>
        <w:t>对应的</w:t>
      </w:r>
      <w:bookmarkStart w:id="83" w:name="_Hlk214988069"/>
      <w:r>
        <w:rPr>
          <w:rFonts w:hint="eastAsia" w:ascii="Times New Roman Regular" w:hAnsi="Times New Roman Regular" w:cs="Times New Roman Regular"/>
          <w:szCs w:val="32"/>
          <w:highlight w:val="none"/>
        </w:rPr>
        <w:t>医疗服务、子女入学</w:t>
      </w:r>
      <w:bookmarkEnd w:id="83"/>
      <w:r>
        <w:rPr>
          <w:rFonts w:hint="eastAsia" w:ascii="Times New Roman Regular" w:hAnsi="Times New Roman Regular" w:cs="Times New Roman Regular"/>
          <w:szCs w:val="32"/>
          <w:highlight w:val="none"/>
        </w:rPr>
        <w:t>、居留和出入境便利、住房保障、创新创业、公共文化等</w:t>
      </w:r>
      <w:bookmarkStart w:id="84" w:name="_Hlk214988075"/>
      <w:r>
        <w:rPr>
          <w:rFonts w:hint="eastAsia" w:ascii="Times New Roman Regular" w:hAnsi="Times New Roman Regular" w:cs="Times New Roman Regular"/>
          <w:szCs w:val="32"/>
          <w:highlight w:val="none"/>
        </w:rPr>
        <w:t>高品质</w:t>
      </w:r>
      <w:r>
        <w:rPr>
          <w:rFonts w:hint="eastAsia"/>
          <w:szCs w:val="32"/>
          <w:highlight w:val="none"/>
        </w:rPr>
        <w:t>服务保障</w:t>
      </w:r>
      <w:bookmarkEnd w:id="84"/>
      <w:r>
        <w:rPr>
          <w:rFonts w:hint="eastAsia" w:ascii="Times New Roman Regular" w:hAnsi="Times New Roman Regular" w:cs="Times New Roman Regular"/>
          <w:szCs w:val="32"/>
          <w:highlight w:val="none"/>
        </w:rPr>
        <w:t>。</w:t>
      </w:r>
    </w:p>
    <w:p w14:paraId="00D9A5A3">
      <w:pPr>
        <w:pStyle w:val="19"/>
        <w:ind w:firstLine="640"/>
        <w:jc w:val="both"/>
        <w:rPr>
          <w:rFonts w:hint="eastAsia"/>
          <w:szCs w:val="32"/>
          <w:highlight w:val="none"/>
        </w:rPr>
      </w:pPr>
      <w:bookmarkStart w:id="85" w:name="_Hlk214988057"/>
      <w:r>
        <w:rPr>
          <w:rFonts w:hint="eastAsia"/>
          <w:szCs w:val="32"/>
          <w:highlight w:val="none"/>
        </w:rPr>
        <w:t>设立国际人才“一站式”服务窗口</w:t>
      </w:r>
      <w:bookmarkEnd w:id="85"/>
      <w:r>
        <w:rPr>
          <w:rFonts w:hint="eastAsia"/>
          <w:szCs w:val="32"/>
          <w:highlight w:val="none"/>
        </w:rPr>
        <w:t>，</w:t>
      </w:r>
      <w:r>
        <w:rPr>
          <w:rFonts w:hint="eastAsia"/>
          <w:szCs w:val="32"/>
          <w:highlight w:val="none"/>
          <w:lang w:bidi="ar"/>
        </w:rPr>
        <w:t>提供与高层次人才及国际人才有关的政务服务、社会服务、市场服务等“一站式”服务保障。</w:t>
      </w:r>
    </w:p>
    <w:p w14:paraId="38B41C68">
      <w:pPr>
        <w:pStyle w:val="19"/>
        <w:adjustRightInd w:val="0"/>
        <w:snapToGrid w:val="0"/>
        <w:ind w:firstLine="640"/>
        <w:rPr>
          <w:rFonts w:hint="eastAsia"/>
          <w:szCs w:val="32"/>
          <w:highlight w:val="none"/>
        </w:rPr>
      </w:pPr>
    </w:p>
    <w:p w14:paraId="7010A7D7">
      <w:pPr>
        <w:adjustRightInd w:val="0"/>
        <w:snapToGrid w:val="0"/>
        <w:ind w:firstLine="643" w:firstLineChars="200"/>
        <w:jc w:val="left"/>
        <w:rPr>
          <w:rFonts w:hint="eastAsia" w:ascii="黑体" w:hAnsi="黑体" w:eastAsia="黑体" w:cs="黑体"/>
          <w:szCs w:val="32"/>
          <w:highlight w:val="none"/>
        </w:rPr>
      </w:pPr>
      <w:r>
        <w:rPr>
          <w:rFonts w:hint="eastAsia" w:ascii="楷体_GB2312" w:hAnsi="楷体_GB2312" w:eastAsia="楷体_GB2312" w:cs="楷体_GB2312"/>
          <w:b/>
          <w:bCs/>
          <w:szCs w:val="32"/>
          <w:highlight w:val="none"/>
        </w:rPr>
        <w:t>第二十条</w:t>
      </w:r>
      <w:r>
        <w:rPr>
          <w:rFonts w:hint="eastAsia" w:ascii="楷体_GB2312" w:hAnsi="楷体_GB2312" w:eastAsia="楷体_GB2312" w:cs="楷体_GB2312"/>
          <w:b/>
          <w:bCs/>
          <w:szCs w:val="32"/>
          <w:highlight w:val="none"/>
          <w:lang w:val="en-US" w:eastAsia="zh-CN"/>
        </w:rPr>
        <w:t xml:space="preserve"> </w:t>
      </w:r>
      <w:bookmarkStart w:id="86" w:name="_Hlk214987865"/>
      <w:r>
        <w:rPr>
          <w:rFonts w:hint="eastAsia" w:ascii="楷体_GB2312" w:hAnsi="楷体_GB2312" w:eastAsia="楷体_GB2312" w:cs="楷体_GB2312"/>
          <w:b/>
          <w:bCs/>
          <w:szCs w:val="32"/>
          <w:highlight w:val="none"/>
        </w:rPr>
        <w:t>建设国际人才驿站</w:t>
      </w:r>
      <w:bookmarkEnd w:id="86"/>
    </w:p>
    <w:p w14:paraId="21056E1D">
      <w:pPr>
        <w:adjustRightInd w:val="0"/>
        <w:snapToGrid w:val="0"/>
        <w:ind w:firstLine="640"/>
        <w:rPr>
          <w:szCs w:val="32"/>
          <w:highlight w:val="none"/>
        </w:rPr>
      </w:pPr>
      <w:r>
        <w:rPr>
          <w:rFonts w:hint="eastAsia"/>
          <w:szCs w:val="32"/>
          <w:highlight w:val="none"/>
        </w:rPr>
        <w:t>坚持人才为本、产业为基、项目为要的基本理念，围绕“产业引领+乐居生活”，打造集公共服务、科创服务、生活服务于一体的</w:t>
      </w:r>
      <w:bookmarkStart w:id="87" w:name="_Hlk214988094"/>
      <w:r>
        <w:rPr>
          <w:rFonts w:hint="eastAsia"/>
          <w:szCs w:val="32"/>
          <w:highlight w:val="none"/>
        </w:rPr>
        <w:t>“一站式”国际人才流动中转服务平台</w:t>
      </w:r>
      <w:bookmarkEnd w:id="87"/>
      <w:r>
        <w:rPr>
          <w:rFonts w:hint="eastAsia"/>
          <w:szCs w:val="32"/>
          <w:highlight w:val="none"/>
        </w:rPr>
        <w:t>。</w:t>
      </w:r>
    </w:p>
    <w:p w14:paraId="685E0A67">
      <w:pPr>
        <w:adjustRightInd w:val="0"/>
        <w:snapToGrid w:val="0"/>
        <w:ind w:firstLine="640"/>
        <w:rPr>
          <w:szCs w:val="32"/>
          <w:highlight w:val="none"/>
        </w:rPr>
      </w:pPr>
      <w:bookmarkStart w:id="88" w:name="_Hlk214988101"/>
      <w:r>
        <w:rPr>
          <w:rFonts w:hint="eastAsia"/>
          <w:szCs w:val="32"/>
          <w:highlight w:val="none"/>
        </w:rPr>
        <w:t>建立“全球人才访澳琴”常态化邀请机制</w:t>
      </w:r>
      <w:bookmarkEnd w:id="88"/>
      <w:r>
        <w:rPr>
          <w:rFonts w:hint="eastAsia"/>
          <w:szCs w:val="32"/>
          <w:highlight w:val="none"/>
        </w:rPr>
        <w:t>，推出澳琴考察体验券，为集成电路、生物医药、人工智能等领域</w:t>
      </w:r>
      <w:r>
        <w:rPr>
          <w:szCs w:val="32"/>
          <w:highlight w:val="none"/>
        </w:rPr>
        <w:t>全球顶尖人才赴</w:t>
      </w:r>
      <w:r>
        <w:rPr>
          <w:rFonts w:hint="eastAsia"/>
          <w:szCs w:val="32"/>
          <w:highlight w:val="none"/>
        </w:rPr>
        <w:t>澳琴</w:t>
      </w:r>
      <w:r>
        <w:rPr>
          <w:szCs w:val="32"/>
          <w:highlight w:val="none"/>
        </w:rPr>
        <w:t>实地考察</w:t>
      </w:r>
      <w:r>
        <w:rPr>
          <w:rFonts w:hint="eastAsia"/>
          <w:szCs w:val="32"/>
          <w:highlight w:val="none"/>
        </w:rPr>
        <w:t>提供机票、酒店、优质岗位对接机会等一系列服务。</w:t>
      </w:r>
    </w:p>
    <w:p w14:paraId="7AC1F046">
      <w:pPr>
        <w:pStyle w:val="2"/>
        <w:ind w:firstLine="600"/>
        <w:rPr>
          <w:sz w:val="32"/>
          <w:szCs w:val="32"/>
          <w:highlight w:val="none"/>
        </w:rPr>
      </w:pPr>
    </w:p>
    <w:p w14:paraId="09B80629">
      <w:pPr>
        <w:adjustRightInd w:val="0"/>
        <w:snapToGrid w:val="0"/>
        <w:ind w:firstLine="0" w:firstLineChars="0"/>
        <w:jc w:val="center"/>
        <w:rPr>
          <w:rFonts w:hint="eastAsia" w:ascii="黑体" w:hAnsi="黑体" w:eastAsia="黑体" w:cs="黑体"/>
          <w:szCs w:val="32"/>
          <w:highlight w:val="none"/>
        </w:rPr>
      </w:pPr>
      <w:r>
        <w:rPr>
          <w:rFonts w:hint="eastAsia" w:ascii="黑体" w:hAnsi="黑体" w:eastAsia="黑体" w:cs="黑体"/>
          <w:szCs w:val="32"/>
          <w:highlight w:val="none"/>
        </w:rPr>
        <w:t>第六章</w:t>
      </w:r>
      <w:r>
        <w:rPr>
          <w:rFonts w:hint="eastAsia" w:ascii="黑体" w:hAnsi="黑体" w:eastAsia="黑体" w:cs="黑体"/>
          <w:szCs w:val="32"/>
          <w:highlight w:val="none"/>
          <w:lang w:val="en-US" w:eastAsia="zh-CN"/>
        </w:rPr>
        <w:t xml:space="preserve"> </w:t>
      </w:r>
      <w:bookmarkStart w:id="89" w:name="_Hlk214988113"/>
      <w:r>
        <w:rPr>
          <w:rFonts w:hint="eastAsia" w:ascii="黑体" w:hAnsi="黑体" w:eastAsia="黑体" w:cs="黑体"/>
          <w:szCs w:val="32"/>
          <w:highlight w:val="none"/>
        </w:rPr>
        <w:t>附则</w:t>
      </w:r>
    </w:p>
    <w:bookmarkEnd w:id="89"/>
    <w:p w14:paraId="1824416C">
      <w:pPr>
        <w:adjustRightInd w:val="0"/>
        <w:snapToGrid w:val="0"/>
        <w:ind w:firstLine="640"/>
        <w:rPr>
          <w:rFonts w:hint="eastAsia" w:ascii="黑体" w:hAnsi="黑体" w:eastAsia="黑体" w:cs="黑体"/>
          <w:szCs w:val="32"/>
          <w:highlight w:val="none"/>
        </w:rPr>
      </w:pPr>
    </w:p>
    <w:p w14:paraId="04191BFD">
      <w:pPr>
        <w:adjustRightInd w:val="0"/>
        <w:snapToGrid w:val="0"/>
        <w:ind w:firstLine="643" w:firstLineChars="200"/>
        <w:jc w:val="left"/>
        <w:rPr>
          <w:rFonts w:hint="eastAsia" w:ascii="楷体_GB2312" w:hAnsi="楷体_GB2312" w:eastAsia="楷体_GB2312" w:cs="楷体_GB2312"/>
          <w:b/>
          <w:bCs/>
          <w:szCs w:val="32"/>
          <w:highlight w:val="none"/>
        </w:rPr>
      </w:pPr>
      <w:r>
        <w:rPr>
          <w:rFonts w:hint="eastAsia" w:ascii="楷体_GB2312" w:hAnsi="楷体_GB2312" w:eastAsia="楷体_GB2312" w:cs="楷体_GB2312"/>
          <w:b/>
          <w:bCs/>
          <w:szCs w:val="32"/>
          <w:highlight w:val="none"/>
        </w:rPr>
        <w:t>第二十一条</w:t>
      </w:r>
      <w:r>
        <w:rPr>
          <w:rFonts w:hint="eastAsia" w:ascii="楷体_GB2312" w:hAnsi="楷体_GB2312" w:eastAsia="楷体_GB2312" w:cs="楷体_GB2312"/>
          <w:b/>
          <w:bCs/>
          <w:szCs w:val="32"/>
          <w:highlight w:val="none"/>
          <w:lang w:val="en-US" w:eastAsia="zh-CN"/>
        </w:rPr>
        <w:t xml:space="preserve"> </w:t>
      </w:r>
      <w:r>
        <w:rPr>
          <w:rFonts w:hint="eastAsia" w:ascii="楷体_GB2312" w:hAnsi="楷体_GB2312" w:eastAsia="楷体_GB2312" w:cs="楷体_GB2312"/>
          <w:b/>
          <w:bCs/>
          <w:szCs w:val="32"/>
          <w:highlight w:val="none"/>
        </w:rPr>
        <w:t>政策有效期</w:t>
      </w:r>
    </w:p>
    <w:p w14:paraId="6A933417">
      <w:pPr>
        <w:adjustRightInd w:val="0"/>
        <w:snapToGrid w:val="0"/>
        <w:ind w:firstLine="640"/>
        <w:rPr>
          <w:szCs w:val="32"/>
          <w:highlight w:val="none"/>
        </w:rPr>
      </w:pPr>
      <w:bookmarkStart w:id="90" w:name="_Hlk214988166"/>
      <w:r>
        <w:rPr>
          <w:rFonts w:hint="eastAsia"/>
          <w:szCs w:val="32"/>
          <w:highlight w:val="none"/>
        </w:rPr>
        <w:t>本措施自2026年1月1日起实施，有效期至2029年12月31日</w:t>
      </w:r>
      <w:bookmarkEnd w:id="90"/>
      <w:r>
        <w:rPr>
          <w:rFonts w:hint="eastAsia"/>
          <w:szCs w:val="32"/>
          <w:highlight w:val="none"/>
        </w:rPr>
        <w:t>。有效期届满或有关法律政策依据变化，将根据实施情况予以评估修订。有效期届满而相关资金应当支付而尚未支付完毕的，应继续执行至全部完毕。</w:t>
      </w:r>
    </w:p>
    <w:p w14:paraId="2C425031">
      <w:pPr>
        <w:adjustRightInd w:val="0"/>
        <w:snapToGrid w:val="0"/>
        <w:ind w:firstLine="0" w:firstLineChars="0"/>
        <w:jc w:val="center"/>
        <w:rPr>
          <w:rFonts w:hint="eastAsia" w:ascii="黑体" w:hAnsi="黑体" w:eastAsia="黑体" w:cs="黑体"/>
          <w:szCs w:val="32"/>
          <w:highlight w:val="none"/>
        </w:rPr>
      </w:pPr>
    </w:p>
    <w:p w14:paraId="72E6A13F">
      <w:pPr>
        <w:adjustRightInd w:val="0"/>
        <w:snapToGrid w:val="0"/>
        <w:ind w:firstLine="643" w:firstLineChars="200"/>
        <w:jc w:val="left"/>
        <w:rPr>
          <w:rFonts w:hint="eastAsia" w:ascii="楷体_GB2312" w:hAnsi="楷体_GB2312" w:eastAsia="楷体_GB2312" w:cs="楷体_GB2312"/>
          <w:b/>
          <w:bCs/>
          <w:szCs w:val="32"/>
          <w:highlight w:val="none"/>
        </w:rPr>
      </w:pPr>
      <w:r>
        <w:rPr>
          <w:rFonts w:hint="eastAsia" w:ascii="楷体_GB2312" w:hAnsi="楷体_GB2312" w:eastAsia="楷体_GB2312" w:cs="楷体_GB2312"/>
          <w:b/>
          <w:bCs/>
          <w:szCs w:val="32"/>
          <w:highlight w:val="none"/>
        </w:rPr>
        <w:t>第二十二条</w:t>
      </w:r>
      <w:r>
        <w:rPr>
          <w:rFonts w:hint="eastAsia" w:ascii="楷体_GB2312" w:hAnsi="楷体_GB2312" w:eastAsia="楷体_GB2312" w:cs="楷体_GB2312"/>
          <w:b/>
          <w:bCs/>
          <w:szCs w:val="32"/>
          <w:highlight w:val="none"/>
          <w:lang w:val="en-US" w:eastAsia="zh-CN"/>
        </w:rPr>
        <w:t xml:space="preserve"> </w:t>
      </w:r>
      <w:bookmarkStart w:id="91" w:name="_Hlk214988141"/>
      <w:r>
        <w:rPr>
          <w:rFonts w:hint="eastAsia" w:ascii="楷体_GB2312" w:hAnsi="楷体_GB2312" w:eastAsia="楷体_GB2312" w:cs="楷体_GB2312"/>
          <w:b/>
          <w:bCs/>
          <w:szCs w:val="32"/>
          <w:highlight w:val="none"/>
        </w:rPr>
        <w:t>其他事项</w:t>
      </w:r>
    </w:p>
    <w:bookmarkEnd w:id="91"/>
    <w:p w14:paraId="41490014">
      <w:pPr>
        <w:adjustRightInd w:val="0"/>
        <w:snapToGrid w:val="0"/>
        <w:ind w:firstLine="640"/>
        <w:rPr>
          <w:szCs w:val="32"/>
          <w:highlight w:val="none"/>
        </w:rPr>
      </w:pPr>
      <w:r>
        <w:rPr>
          <w:rFonts w:hint="eastAsia"/>
          <w:szCs w:val="32"/>
          <w:highlight w:val="none"/>
        </w:rPr>
        <w:t>本措施执行过程中，与国家法律法规和广东省有关规定有冲突的，以国家法律法规和广东省有关规定为准。</w:t>
      </w:r>
    </w:p>
    <w:p w14:paraId="2894E47F">
      <w:pPr>
        <w:adjustRightInd w:val="0"/>
        <w:snapToGrid w:val="0"/>
        <w:ind w:firstLine="640"/>
        <w:rPr>
          <w:szCs w:val="32"/>
          <w:highlight w:val="none"/>
        </w:rPr>
      </w:pPr>
      <w:bookmarkStart w:id="92" w:name="_Hlk214988193"/>
      <w:r>
        <w:rPr>
          <w:rFonts w:hint="eastAsia"/>
          <w:szCs w:val="32"/>
          <w:highlight w:val="none"/>
        </w:rPr>
        <w:t>本措施由合作区</w:t>
      </w:r>
      <w:r>
        <w:rPr>
          <w:rFonts w:hint="eastAsia"/>
          <w:szCs w:val="32"/>
          <w:highlight w:val="none"/>
          <w:lang w:eastAsia="zh-CN"/>
        </w:rPr>
        <w:t>经济发展局</w:t>
      </w:r>
      <w:r>
        <w:rPr>
          <w:rFonts w:hint="eastAsia"/>
          <w:szCs w:val="32"/>
          <w:highlight w:val="none"/>
        </w:rPr>
        <w:t>解释，制定实施细则并组织实施。本政策与合作区同级财政发放的同类补贴、珠海市其他相关政策存在重复或交叉情形的，除另有明确规定外，按照就高、不重复原则执行。</w:t>
      </w:r>
      <w:bookmarkEnd w:id="92"/>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Times New Roman Regular">
    <w:altName w:val="Times New Roman"/>
    <w:panose1 w:val="00000000000000000000"/>
    <w:charset w:val="00"/>
    <w:family w:val="auto"/>
    <w:pitch w:val="default"/>
    <w:sig w:usb0="00000000" w:usb1="00000000" w:usb2="00000001" w:usb3="00000000" w:csb0="4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31508394"/>
    </w:sdtPr>
    <w:sdtEndPr>
      <w:rPr>
        <w:sz w:val="28"/>
        <w:szCs w:val="28"/>
      </w:rPr>
    </w:sdtEndPr>
    <w:sdtContent>
      <w:p w14:paraId="6FE25C67">
        <w:pPr>
          <w:pStyle w:val="15"/>
          <w:ind w:firstLine="360"/>
          <w:jc w:val="center"/>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05A0C">
    <w:pPr>
      <w:pStyle w:val="15"/>
      <w:ind w:firstLine="360"/>
    </w:pPr>
  </w:p>
  <w:p w14:paraId="3E7B446B">
    <w:pPr>
      <w:ind w:firstLine="640"/>
    </w:pPr>
  </w:p>
  <w:p w14:paraId="19FC9058">
    <w:pPr>
      <w:ind w:firstLine="64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03909">
    <w:pPr>
      <w:pStyle w:val="1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F7DAD">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4C48B">
    <w:pPr>
      <w:pStyle w:val="16"/>
      <w:ind w:firstLine="360"/>
    </w:pPr>
  </w:p>
  <w:p w14:paraId="7164F524">
    <w:pPr>
      <w:ind w:firstLine="640"/>
    </w:pPr>
  </w:p>
  <w:p w14:paraId="491D4E74">
    <w:pPr>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F17DA">
    <w:pPr>
      <w:pStyle w:val="1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BE8"/>
    <w:rsid w:val="0000296A"/>
    <w:rsid w:val="00006D35"/>
    <w:rsid w:val="0001298D"/>
    <w:rsid w:val="00014052"/>
    <w:rsid w:val="000177D8"/>
    <w:rsid w:val="0002054E"/>
    <w:rsid w:val="00024A99"/>
    <w:rsid w:val="00031CBE"/>
    <w:rsid w:val="000431DB"/>
    <w:rsid w:val="00052FF8"/>
    <w:rsid w:val="00054E0F"/>
    <w:rsid w:val="0005551E"/>
    <w:rsid w:val="00055B09"/>
    <w:rsid w:val="00064727"/>
    <w:rsid w:val="00065E57"/>
    <w:rsid w:val="00071208"/>
    <w:rsid w:val="00083015"/>
    <w:rsid w:val="00085DC7"/>
    <w:rsid w:val="00097DB1"/>
    <w:rsid w:val="000A1416"/>
    <w:rsid w:val="000A2E77"/>
    <w:rsid w:val="000A3376"/>
    <w:rsid w:val="000A613F"/>
    <w:rsid w:val="000B2094"/>
    <w:rsid w:val="000C0BA5"/>
    <w:rsid w:val="000C4EF0"/>
    <w:rsid w:val="000C6A01"/>
    <w:rsid w:val="000D686F"/>
    <w:rsid w:val="000D7EB9"/>
    <w:rsid w:val="000E0C30"/>
    <w:rsid w:val="000F57E0"/>
    <w:rsid w:val="000F74CB"/>
    <w:rsid w:val="00104CEA"/>
    <w:rsid w:val="001175C6"/>
    <w:rsid w:val="00130D7E"/>
    <w:rsid w:val="0013170D"/>
    <w:rsid w:val="00136F41"/>
    <w:rsid w:val="001408B3"/>
    <w:rsid w:val="0014504C"/>
    <w:rsid w:val="001504DD"/>
    <w:rsid w:val="00153EE0"/>
    <w:rsid w:val="00156C8C"/>
    <w:rsid w:val="00156D61"/>
    <w:rsid w:val="001579BE"/>
    <w:rsid w:val="00185C14"/>
    <w:rsid w:val="001954D9"/>
    <w:rsid w:val="001A4286"/>
    <w:rsid w:val="001B3A45"/>
    <w:rsid w:val="001C0FF1"/>
    <w:rsid w:val="001C10BE"/>
    <w:rsid w:val="001E469E"/>
    <w:rsid w:val="00202EC1"/>
    <w:rsid w:val="002040E3"/>
    <w:rsid w:val="00207692"/>
    <w:rsid w:val="00216385"/>
    <w:rsid w:val="00236B90"/>
    <w:rsid w:val="00236D23"/>
    <w:rsid w:val="00237FD8"/>
    <w:rsid w:val="00240D92"/>
    <w:rsid w:val="00244225"/>
    <w:rsid w:val="00245DE7"/>
    <w:rsid w:val="00253E6E"/>
    <w:rsid w:val="00260F16"/>
    <w:rsid w:val="00266387"/>
    <w:rsid w:val="00270FC0"/>
    <w:rsid w:val="0027189D"/>
    <w:rsid w:val="00276B95"/>
    <w:rsid w:val="00277986"/>
    <w:rsid w:val="00277A42"/>
    <w:rsid w:val="00282DB6"/>
    <w:rsid w:val="002C08E9"/>
    <w:rsid w:val="002C0DFB"/>
    <w:rsid w:val="002C1FFB"/>
    <w:rsid w:val="002C3ED0"/>
    <w:rsid w:val="002C54D1"/>
    <w:rsid w:val="002C5F01"/>
    <w:rsid w:val="002D0B27"/>
    <w:rsid w:val="002D2A6D"/>
    <w:rsid w:val="002D34D2"/>
    <w:rsid w:val="002D6D77"/>
    <w:rsid w:val="002E2357"/>
    <w:rsid w:val="002F0376"/>
    <w:rsid w:val="002F5A33"/>
    <w:rsid w:val="00302044"/>
    <w:rsid w:val="0030380E"/>
    <w:rsid w:val="00311BBF"/>
    <w:rsid w:val="00316C40"/>
    <w:rsid w:val="00324BE8"/>
    <w:rsid w:val="00340BC2"/>
    <w:rsid w:val="00346D73"/>
    <w:rsid w:val="00371FBF"/>
    <w:rsid w:val="00374B3F"/>
    <w:rsid w:val="00374E4C"/>
    <w:rsid w:val="00377E70"/>
    <w:rsid w:val="00381F9D"/>
    <w:rsid w:val="003901FD"/>
    <w:rsid w:val="00393B06"/>
    <w:rsid w:val="0039766B"/>
    <w:rsid w:val="003A0203"/>
    <w:rsid w:val="003A0331"/>
    <w:rsid w:val="003A0859"/>
    <w:rsid w:val="003A1B35"/>
    <w:rsid w:val="003A2382"/>
    <w:rsid w:val="003B02C4"/>
    <w:rsid w:val="003E55AA"/>
    <w:rsid w:val="003E714E"/>
    <w:rsid w:val="003F0473"/>
    <w:rsid w:val="003F2272"/>
    <w:rsid w:val="003F2C46"/>
    <w:rsid w:val="003F6F78"/>
    <w:rsid w:val="00413AF9"/>
    <w:rsid w:val="00414EFB"/>
    <w:rsid w:val="00415DF8"/>
    <w:rsid w:val="00420B59"/>
    <w:rsid w:val="00420CE5"/>
    <w:rsid w:val="00434A8C"/>
    <w:rsid w:val="0043554D"/>
    <w:rsid w:val="00436702"/>
    <w:rsid w:val="00457B1F"/>
    <w:rsid w:val="00457D74"/>
    <w:rsid w:val="00476677"/>
    <w:rsid w:val="0049072E"/>
    <w:rsid w:val="00496C68"/>
    <w:rsid w:val="004A1C0C"/>
    <w:rsid w:val="004A51F7"/>
    <w:rsid w:val="004A58BF"/>
    <w:rsid w:val="004A5AFD"/>
    <w:rsid w:val="004A672A"/>
    <w:rsid w:val="004B0989"/>
    <w:rsid w:val="004B5214"/>
    <w:rsid w:val="004B5C13"/>
    <w:rsid w:val="004B6FCC"/>
    <w:rsid w:val="004B726A"/>
    <w:rsid w:val="004C4488"/>
    <w:rsid w:val="004D33C8"/>
    <w:rsid w:val="004E0AA7"/>
    <w:rsid w:val="004E752A"/>
    <w:rsid w:val="004F078C"/>
    <w:rsid w:val="004F439C"/>
    <w:rsid w:val="004F6A9F"/>
    <w:rsid w:val="00503361"/>
    <w:rsid w:val="00505E4A"/>
    <w:rsid w:val="00506549"/>
    <w:rsid w:val="00521A74"/>
    <w:rsid w:val="00526740"/>
    <w:rsid w:val="00536B6C"/>
    <w:rsid w:val="00536E22"/>
    <w:rsid w:val="00541587"/>
    <w:rsid w:val="00546F87"/>
    <w:rsid w:val="00560D21"/>
    <w:rsid w:val="00561A3F"/>
    <w:rsid w:val="00561EDC"/>
    <w:rsid w:val="0057083D"/>
    <w:rsid w:val="00573B81"/>
    <w:rsid w:val="00587E0F"/>
    <w:rsid w:val="00590295"/>
    <w:rsid w:val="005B025D"/>
    <w:rsid w:val="005B35A1"/>
    <w:rsid w:val="005B35A6"/>
    <w:rsid w:val="005B67CC"/>
    <w:rsid w:val="005C2F6D"/>
    <w:rsid w:val="005D1CA3"/>
    <w:rsid w:val="005D7AF9"/>
    <w:rsid w:val="005E0A99"/>
    <w:rsid w:val="005E28E3"/>
    <w:rsid w:val="005E551F"/>
    <w:rsid w:val="005E7853"/>
    <w:rsid w:val="005F04D7"/>
    <w:rsid w:val="005F43DD"/>
    <w:rsid w:val="00604671"/>
    <w:rsid w:val="006069D3"/>
    <w:rsid w:val="00613B9E"/>
    <w:rsid w:val="00617E84"/>
    <w:rsid w:val="00632B3F"/>
    <w:rsid w:val="006354DE"/>
    <w:rsid w:val="0063631B"/>
    <w:rsid w:val="00636B36"/>
    <w:rsid w:val="006434D7"/>
    <w:rsid w:val="0065110E"/>
    <w:rsid w:val="00655309"/>
    <w:rsid w:val="0066005A"/>
    <w:rsid w:val="00671970"/>
    <w:rsid w:val="0067394F"/>
    <w:rsid w:val="00675D7C"/>
    <w:rsid w:val="00676DB9"/>
    <w:rsid w:val="006827FF"/>
    <w:rsid w:val="00682CAD"/>
    <w:rsid w:val="00692BD9"/>
    <w:rsid w:val="006A70BF"/>
    <w:rsid w:val="006D49C2"/>
    <w:rsid w:val="006E321B"/>
    <w:rsid w:val="006E7799"/>
    <w:rsid w:val="006F381A"/>
    <w:rsid w:val="007076F4"/>
    <w:rsid w:val="00710149"/>
    <w:rsid w:val="007161BA"/>
    <w:rsid w:val="00724CA5"/>
    <w:rsid w:val="0072797B"/>
    <w:rsid w:val="00740B76"/>
    <w:rsid w:val="007464B5"/>
    <w:rsid w:val="00750928"/>
    <w:rsid w:val="007551D6"/>
    <w:rsid w:val="00760171"/>
    <w:rsid w:val="0076566E"/>
    <w:rsid w:val="00776443"/>
    <w:rsid w:val="007A283B"/>
    <w:rsid w:val="007B034E"/>
    <w:rsid w:val="007C31FE"/>
    <w:rsid w:val="007D1162"/>
    <w:rsid w:val="007E073D"/>
    <w:rsid w:val="007F3CC0"/>
    <w:rsid w:val="007F46A1"/>
    <w:rsid w:val="007F4A35"/>
    <w:rsid w:val="007F4ED6"/>
    <w:rsid w:val="00811DB6"/>
    <w:rsid w:val="0081326D"/>
    <w:rsid w:val="00813DC9"/>
    <w:rsid w:val="008176CE"/>
    <w:rsid w:val="00820257"/>
    <w:rsid w:val="0084305D"/>
    <w:rsid w:val="00843345"/>
    <w:rsid w:val="00843F4C"/>
    <w:rsid w:val="008533CB"/>
    <w:rsid w:val="00857895"/>
    <w:rsid w:val="00860027"/>
    <w:rsid w:val="00860FF2"/>
    <w:rsid w:val="00862694"/>
    <w:rsid w:val="00864840"/>
    <w:rsid w:val="0088473E"/>
    <w:rsid w:val="00884D7F"/>
    <w:rsid w:val="00885B89"/>
    <w:rsid w:val="008877FE"/>
    <w:rsid w:val="00897C8C"/>
    <w:rsid w:val="008C1774"/>
    <w:rsid w:val="008C4244"/>
    <w:rsid w:val="008C56B8"/>
    <w:rsid w:val="008D6F58"/>
    <w:rsid w:val="008E0A9F"/>
    <w:rsid w:val="008E1D84"/>
    <w:rsid w:val="008E5BAD"/>
    <w:rsid w:val="008E7558"/>
    <w:rsid w:val="008F205A"/>
    <w:rsid w:val="00901B6F"/>
    <w:rsid w:val="00905947"/>
    <w:rsid w:val="009061BF"/>
    <w:rsid w:val="009107D3"/>
    <w:rsid w:val="00914712"/>
    <w:rsid w:val="00916350"/>
    <w:rsid w:val="00917EAE"/>
    <w:rsid w:val="00934DAD"/>
    <w:rsid w:val="009375FC"/>
    <w:rsid w:val="0094468C"/>
    <w:rsid w:val="0094647A"/>
    <w:rsid w:val="00952D2E"/>
    <w:rsid w:val="0095643B"/>
    <w:rsid w:val="00967156"/>
    <w:rsid w:val="00967FC2"/>
    <w:rsid w:val="00976D42"/>
    <w:rsid w:val="00990CDE"/>
    <w:rsid w:val="009A05B4"/>
    <w:rsid w:val="009B0363"/>
    <w:rsid w:val="009B18FD"/>
    <w:rsid w:val="009B68ED"/>
    <w:rsid w:val="009C12EA"/>
    <w:rsid w:val="009C37D9"/>
    <w:rsid w:val="009D20E0"/>
    <w:rsid w:val="009D35DF"/>
    <w:rsid w:val="009D36E4"/>
    <w:rsid w:val="009D5765"/>
    <w:rsid w:val="009D7DDE"/>
    <w:rsid w:val="009E6896"/>
    <w:rsid w:val="00A01C5C"/>
    <w:rsid w:val="00A045F3"/>
    <w:rsid w:val="00A0669B"/>
    <w:rsid w:val="00A0717E"/>
    <w:rsid w:val="00A10C72"/>
    <w:rsid w:val="00A13300"/>
    <w:rsid w:val="00A145A9"/>
    <w:rsid w:val="00A17789"/>
    <w:rsid w:val="00A4610C"/>
    <w:rsid w:val="00A50A36"/>
    <w:rsid w:val="00A55340"/>
    <w:rsid w:val="00A61AD9"/>
    <w:rsid w:val="00A74926"/>
    <w:rsid w:val="00A770C4"/>
    <w:rsid w:val="00A80571"/>
    <w:rsid w:val="00A96C1F"/>
    <w:rsid w:val="00AA069D"/>
    <w:rsid w:val="00AB686F"/>
    <w:rsid w:val="00AC3F83"/>
    <w:rsid w:val="00AD3F2F"/>
    <w:rsid w:val="00AE17A3"/>
    <w:rsid w:val="00AE2030"/>
    <w:rsid w:val="00AE5AEF"/>
    <w:rsid w:val="00AF55C4"/>
    <w:rsid w:val="00B01D50"/>
    <w:rsid w:val="00B02F07"/>
    <w:rsid w:val="00B125F7"/>
    <w:rsid w:val="00B2055A"/>
    <w:rsid w:val="00B253D5"/>
    <w:rsid w:val="00B414A6"/>
    <w:rsid w:val="00B436A8"/>
    <w:rsid w:val="00B43AFD"/>
    <w:rsid w:val="00B4669C"/>
    <w:rsid w:val="00B47568"/>
    <w:rsid w:val="00B53A73"/>
    <w:rsid w:val="00B63089"/>
    <w:rsid w:val="00B65189"/>
    <w:rsid w:val="00B82DCA"/>
    <w:rsid w:val="00B8628F"/>
    <w:rsid w:val="00B86A07"/>
    <w:rsid w:val="00B87103"/>
    <w:rsid w:val="00B92B54"/>
    <w:rsid w:val="00B95A54"/>
    <w:rsid w:val="00B95CF8"/>
    <w:rsid w:val="00B96090"/>
    <w:rsid w:val="00BD1257"/>
    <w:rsid w:val="00BE7422"/>
    <w:rsid w:val="00BE7B09"/>
    <w:rsid w:val="00BF0BFC"/>
    <w:rsid w:val="00BF1500"/>
    <w:rsid w:val="00BF7D85"/>
    <w:rsid w:val="00C07B0A"/>
    <w:rsid w:val="00C13CFE"/>
    <w:rsid w:val="00C15DC5"/>
    <w:rsid w:val="00C202CB"/>
    <w:rsid w:val="00C2194C"/>
    <w:rsid w:val="00C219A4"/>
    <w:rsid w:val="00C259C8"/>
    <w:rsid w:val="00C26D21"/>
    <w:rsid w:val="00C32128"/>
    <w:rsid w:val="00C44E9B"/>
    <w:rsid w:val="00C46A6D"/>
    <w:rsid w:val="00C50845"/>
    <w:rsid w:val="00C512E0"/>
    <w:rsid w:val="00C5563C"/>
    <w:rsid w:val="00C57E74"/>
    <w:rsid w:val="00C7439A"/>
    <w:rsid w:val="00C75527"/>
    <w:rsid w:val="00C8027B"/>
    <w:rsid w:val="00C80418"/>
    <w:rsid w:val="00C8355C"/>
    <w:rsid w:val="00C9344B"/>
    <w:rsid w:val="00C94A5B"/>
    <w:rsid w:val="00C97196"/>
    <w:rsid w:val="00CA4586"/>
    <w:rsid w:val="00CA635D"/>
    <w:rsid w:val="00CB6E3F"/>
    <w:rsid w:val="00CD4B77"/>
    <w:rsid w:val="00CE1AAB"/>
    <w:rsid w:val="00CF0B65"/>
    <w:rsid w:val="00CF111C"/>
    <w:rsid w:val="00CF6500"/>
    <w:rsid w:val="00D00178"/>
    <w:rsid w:val="00D004DB"/>
    <w:rsid w:val="00D013CE"/>
    <w:rsid w:val="00D13730"/>
    <w:rsid w:val="00D15869"/>
    <w:rsid w:val="00D24E85"/>
    <w:rsid w:val="00D25787"/>
    <w:rsid w:val="00D42313"/>
    <w:rsid w:val="00D469D4"/>
    <w:rsid w:val="00D52AF2"/>
    <w:rsid w:val="00D56ABF"/>
    <w:rsid w:val="00D623D2"/>
    <w:rsid w:val="00D72F0E"/>
    <w:rsid w:val="00D73759"/>
    <w:rsid w:val="00D829F9"/>
    <w:rsid w:val="00D8462F"/>
    <w:rsid w:val="00D847A4"/>
    <w:rsid w:val="00D86C55"/>
    <w:rsid w:val="00DA089C"/>
    <w:rsid w:val="00DB2516"/>
    <w:rsid w:val="00DB4173"/>
    <w:rsid w:val="00DC2D05"/>
    <w:rsid w:val="00DC3B23"/>
    <w:rsid w:val="00DC4AAB"/>
    <w:rsid w:val="00DD2A8C"/>
    <w:rsid w:val="00DD4AC2"/>
    <w:rsid w:val="00DE3483"/>
    <w:rsid w:val="00DF710F"/>
    <w:rsid w:val="00E03ED0"/>
    <w:rsid w:val="00E15F71"/>
    <w:rsid w:val="00E2555A"/>
    <w:rsid w:val="00E27AD7"/>
    <w:rsid w:val="00E33348"/>
    <w:rsid w:val="00E5513A"/>
    <w:rsid w:val="00E564D1"/>
    <w:rsid w:val="00E57B27"/>
    <w:rsid w:val="00E623B9"/>
    <w:rsid w:val="00E729F3"/>
    <w:rsid w:val="00E739B9"/>
    <w:rsid w:val="00E868FD"/>
    <w:rsid w:val="00E92B27"/>
    <w:rsid w:val="00E97CC1"/>
    <w:rsid w:val="00EA55D9"/>
    <w:rsid w:val="00EC2EEF"/>
    <w:rsid w:val="00EC4B77"/>
    <w:rsid w:val="00EC4F50"/>
    <w:rsid w:val="00EC6EF5"/>
    <w:rsid w:val="00ED22E2"/>
    <w:rsid w:val="00ED3893"/>
    <w:rsid w:val="00EE1FF5"/>
    <w:rsid w:val="00EE2B22"/>
    <w:rsid w:val="00EE399B"/>
    <w:rsid w:val="00EE41A5"/>
    <w:rsid w:val="00EE41DD"/>
    <w:rsid w:val="00EE4A1A"/>
    <w:rsid w:val="00EF45D9"/>
    <w:rsid w:val="00F175C9"/>
    <w:rsid w:val="00F20584"/>
    <w:rsid w:val="00F25088"/>
    <w:rsid w:val="00F274D2"/>
    <w:rsid w:val="00F30963"/>
    <w:rsid w:val="00F30A79"/>
    <w:rsid w:val="00F33169"/>
    <w:rsid w:val="00F348CA"/>
    <w:rsid w:val="00F35894"/>
    <w:rsid w:val="00F40A40"/>
    <w:rsid w:val="00F47F29"/>
    <w:rsid w:val="00F5356C"/>
    <w:rsid w:val="00F567FF"/>
    <w:rsid w:val="00F57C18"/>
    <w:rsid w:val="00F75B68"/>
    <w:rsid w:val="00F81494"/>
    <w:rsid w:val="00F81CAC"/>
    <w:rsid w:val="00F82F9D"/>
    <w:rsid w:val="00FA79AD"/>
    <w:rsid w:val="00FB2634"/>
    <w:rsid w:val="00FB617F"/>
    <w:rsid w:val="00FC1691"/>
    <w:rsid w:val="00FC2598"/>
    <w:rsid w:val="00FC3F9A"/>
    <w:rsid w:val="00FC44F4"/>
    <w:rsid w:val="00FC6977"/>
    <w:rsid w:val="00FD189A"/>
    <w:rsid w:val="00FE1CD7"/>
    <w:rsid w:val="00FE1DDC"/>
    <w:rsid w:val="00FE5874"/>
    <w:rsid w:val="00FF3B41"/>
    <w:rsid w:val="00FF6826"/>
    <w:rsid w:val="04712406"/>
    <w:rsid w:val="07BB301E"/>
    <w:rsid w:val="096F86F4"/>
    <w:rsid w:val="0BEFB0BA"/>
    <w:rsid w:val="0C431296"/>
    <w:rsid w:val="0DBF2477"/>
    <w:rsid w:val="113C09B4"/>
    <w:rsid w:val="17AF86B2"/>
    <w:rsid w:val="18C47F0A"/>
    <w:rsid w:val="19035F9E"/>
    <w:rsid w:val="1C3F0C6E"/>
    <w:rsid w:val="1C8C3773"/>
    <w:rsid w:val="1CE57585"/>
    <w:rsid w:val="1F773466"/>
    <w:rsid w:val="1FF977FF"/>
    <w:rsid w:val="225C11F8"/>
    <w:rsid w:val="291E1134"/>
    <w:rsid w:val="29DB4AC6"/>
    <w:rsid w:val="29DBD986"/>
    <w:rsid w:val="2E4A2B83"/>
    <w:rsid w:val="2F5D29D4"/>
    <w:rsid w:val="2FDF226D"/>
    <w:rsid w:val="333BA9F9"/>
    <w:rsid w:val="340D6CBE"/>
    <w:rsid w:val="34FC447A"/>
    <w:rsid w:val="370320F8"/>
    <w:rsid w:val="378F1181"/>
    <w:rsid w:val="37EF0EDA"/>
    <w:rsid w:val="37FFCC75"/>
    <w:rsid w:val="38F1010A"/>
    <w:rsid w:val="397DD871"/>
    <w:rsid w:val="3AFB1303"/>
    <w:rsid w:val="3BF47BCE"/>
    <w:rsid w:val="3CFED3D8"/>
    <w:rsid w:val="3D692BD7"/>
    <w:rsid w:val="3DF7D161"/>
    <w:rsid w:val="3E7B84DE"/>
    <w:rsid w:val="3EDF3845"/>
    <w:rsid w:val="3EFAD86A"/>
    <w:rsid w:val="3EFF76D3"/>
    <w:rsid w:val="3F7F1877"/>
    <w:rsid w:val="3FBE0928"/>
    <w:rsid w:val="3FD50D5C"/>
    <w:rsid w:val="3FDF84A0"/>
    <w:rsid w:val="3FE859A8"/>
    <w:rsid w:val="3FFF0BA9"/>
    <w:rsid w:val="45AD639A"/>
    <w:rsid w:val="475F2E62"/>
    <w:rsid w:val="47D79047"/>
    <w:rsid w:val="49E31A9E"/>
    <w:rsid w:val="4E2DDCB2"/>
    <w:rsid w:val="4E4501B2"/>
    <w:rsid w:val="4EEFC75B"/>
    <w:rsid w:val="4F771428"/>
    <w:rsid w:val="4FB7FB40"/>
    <w:rsid w:val="4FDBDAE6"/>
    <w:rsid w:val="4FE68AAB"/>
    <w:rsid w:val="4FEF85C5"/>
    <w:rsid w:val="4FFBBEDE"/>
    <w:rsid w:val="4FFBF350"/>
    <w:rsid w:val="4FFF5E48"/>
    <w:rsid w:val="52FF8C77"/>
    <w:rsid w:val="53BF8713"/>
    <w:rsid w:val="53EEDE28"/>
    <w:rsid w:val="543F381A"/>
    <w:rsid w:val="545F8814"/>
    <w:rsid w:val="55FFC947"/>
    <w:rsid w:val="59FD5850"/>
    <w:rsid w:val="59FF4886"/>
    <w:rsid w:val="59FFCDCD"/>
    <w:rsid w:val="5A7FDDE9"/>
    <w:rsid w:val="5B78D2C4"/>
    <w:rsid w:val="5B7F78B2"/>
    <w:rsid w:val="5BDEEE2B"/>
    <w:rsid w:val="5BE743B8"/>
    <w:rsid w:val="5D092527"/>
    <w:rsid w:val="5D6F88C5"/>
    <w:rsid w:val="5DCB542F"/>
    <w:rsid w:val="5E9C153C"/>
    <w:rsid w:val="5EEA8A5E"/>
    <w:rsid w:val="5EFA8C12"/>
    <w:rsid w:val="5EFF525D"/>
    <w:rsid w:val="5EFFFF35"/>
    <w:rsid w:val="5F37807C"/>
    <w:rsid w:val="5F6E86CA"/>
    <w:rsid w:val="5F6F709D"/>
    <w:rsid w:val="5F7763E9"/>
    <w:rsid w:val="5F9FC138"/>
    <w:rsid w:val="5FEB73CF"/>
    <w:rsid w:val="5FEC915B"/>
    <w:rsid w:val="5FEDE3DB"/>
    <w:rsid w:val="5FF1C08F"/>
    <w:rsid w:val="5FFCF397"/>
    <w:rsid w:val="5FFDD40B"/>
    <w:rsid w:val="5FFF2A7C"/>
    <w:rsid w:val="6329176A"/>
    <w:rsid w:val="633C54D8"/>
    <w:rsid w:val="637E1C97"/>
    <w:rsid w:val="63DFED47"/>
    <w:rsid w:val="64C9649C"/>
    <w:rsid w:val="64F7E82B"/>
    <w:rsid w:val="657F1CDE"/>
    <w:rsid w:val="65AFD280"/>
    <w:rsid w:val="65D51ECA"/>
    <w:rsid w:val="65FFD513"/>
    <w:rsid w:val="662849DB"/>
    <w:rsid w:val="66EA58D7"/>
    <w:rsid w:val="67977B94"/>
    <w:rsid w:val="679FA821"/>
    <w:rsid w:val="67B7668B"/>
    <w:rsid w:val="683D0ADB"/>
    <w:rsid w:val="696BA239"/>
    <w:rsid w:val="699677CD"/>
    <w:rsid w:val="69BB425D"/>
    <w:rsid w:val="69BB4838"/>
    <w:rsid w:val="69FE1942"/>
    <w:rsid w:val="6A749FFB"/>
    <w:rsid w:val="6AFF7BAB"/>
    <w:rsid w:val="6B7F2890"/>
    <w:rsid w:val="6BF4EDF8"/>
    <w:rsid w:val="6BFF6C94"/>
    <w:rsid w:val="6DEB07D1"/>
    <w:rsid w:val="6DEBE999"/>
    <w:rsid w:val="6DF8650D"/>
    <w:rsid w:val="6E6EBBFA"/>
    <w:rsid w:val="6E9F0893"/>
    <w:rsid w:val="6EFBDAAE"/>
    <w:rsid w:val="6EFDB440"/>
    <w:rsid w:val="6F251B22"/>
    <w:rsid w:val="6F7D33F6"/>
    <w:rsid w:val="6F7D62FA"/>
    <w:rsid w:val="6F97B477"/>
    <w:rsid w:val="6FBF6CB7"/>
    <w:rsid w:val="6FC50CEB"/>
    <w:rsid w:val="6FDB8945"/>
    <w:rsid w:val="6FDF0A74"/>
    <w:rsid w:val="6FE6895C"/>
    <w:rsid w:val="6FE94011"/>
    <w:rsid w:val="6FF3B44A"/>
    <w:rsid w:val="6FF78C1F"/>
    <w:rsid w:val="6FF7CEF5"/>
    <w:rsid w:val="6FFF9D9B"/>
    <w:rsid w:val="7123501A"/>
    <w:rsid w:val="717F619B"/>
    <w:rsid w:val="72B4C35A"/>
    <w:rsid w:val="73DCE1F6"/>
    <w:rsid w:val="73FF107A"/>
    <w:rsid w:val="752D23E4"/>
    <w:rsid w:val="757BBC38"/>
    <w:rsid w:val="766E880A"/>
    <w:rsid w:val="769DAFCF"/>
    <w:rsid w:val="76C53CB3"/>
    <w:rsid w:val="76EA9A9E"/>
    <w:rsid w:val="76F35150"/>
    <w:rsid w:val="76F6346D"/>
    <w:rsid w:val="76FB57EC"/>
    <w:rsid w:val="773F0666"/>
    <w:rsid w:val="7753E39D"/>
    <w:rsid w:val="77562139"/>
    <w:rsid w:val="778F42CA"/>
    <w:rsid w:val="77B998D3"/>
    <w:rsid w:val="77DFBF12"/>
    <w:rsid w:val="77F77EA3"/>
    <w:rsid w:val="77FFD903"/>
    <w:rsid w:val="790528CF"/>
    <w:rsid w:val="796BC76F"/>
    <w:rsid w:val="79BE480C"/>
    <w:rsid w:val="79EFE59B"/>
    <w:rsid w:val="79FB0535"/>
    <w:rsid w:val="79FE81F3"/>
    <w:rsid w:val="7A2FCD21"/>
    <w:rsid w:val="7A7E6443"/>
    <w:rsid w:val="7ABFBE5C"/>
    <w:rsid w:val="7AF38A4B"/>
    <w:rsid w:val="7AFD58F8"/>
    <w:rsid w:val="7BAE567C"/>
    <w:rsid w:val="7BBF8535"/>
    <w:rsid w:val="7BDE8A52"/>
    <w:rsid w:val="7BDF3E48"/>
    <w:rsid w:val="7BFD4D64"/>
    <w:rsid w:val="7BFF333A"/>
    <w:rsid w:val="7BFF850E"/>
    <w:rsid w:val="7C582C85"/>
    <w:rsid w:val="7C5D153E"/>
    <w:rsid w:val="7C97E489"/>
    <w:rsid w:val="7D2D6542"/>
    <w:rsid w:val="7DAB349A"/>
    <w:rsid w:val="7DAF366D"/>
    <w:rsid w:val="7DBBEF88"/>
    <w:rsid w:val="7DC45C53"/>
    <w:rsid w:val="7DD3F4E3"/>
    <w:rsid w:val="7DDFC2A6"/>
    <w:rsid w:val="7DF54196"/>
    <w:rsid w:val="7DFEFE8F"/>
    <w:rsid w:val="7DFF4BFA"/>
    <w:rsid w:val="7DFFDD45"/>
    <w:rsid w:val="7E1F3EB1"/>
    <w:rsid w:val="7E2F57D1"/>
    <w:rsid w:val="7EAD4FC1"/>
    <w:rsid w:val="7EBD0BCF"/>
    <w:rsid w:val="7EEE39F2"/>
    <w:rsid w:val="7EF5926D"/>
    <w:rsid w:val="7EFF691A"/>
    <w:rsid w:val="7EFF88DD"/>
    <w:rsid w:val="7F1A5ACC"/>
    <w:rsid w:val="7F379741"/>
    <w:rsid w:val="7F44F4A9"/>
    <w:rsid w:val="7F675D29"/>
    <w:rsid w:val="7F6E6FFA"/>
    <w:rsid w:val="7F7E6566"/>
    <w:rsid w:val="7F7F1C23"/>
    <w:rsid w:val="7F7FA53D"/>
    <w:rsid w:val="7F9FFC61"/>
    <w:rsid w:val="7FAF1CA7"/>
    <w:rsid w:val="7FD053B4"/>
    <w:rsid w:val="7FD70618"/>
    <w:rsid w:val="7FDAD6D4"/>
    <w:rsid w:val="7FDD514C"/>
    <w:rsid w:val="7FDFE70E"/>
    <w:rsid w:val="7FDFE81B"/>
    <w:rsid w:val="7FE765FF"/>
    <w:rsid w:val="7FEE2925"/>
    <w:rsid w:val="7FF5B977"/>
    <w:rsid w:val="7FF5F3B3"/>
    <w:rsid w:val="7FF7E7C2"/>
    <w:rsid w:val="7FFD345F"/>
    <w:rsid w:val="7FFE56A6"/>
    <w:rsid w:val="7FFF7163"/>
    <w:rsid w:val="7FFFB582"/>
    <w:rsid w:val="86FB73C1"/>
    <w:rsid w:val="92FB9F0F"/>
    <w:rsid w:val="96F9FAAD"/>
    <w:rsid w:val="9F7FDA4F"/>
    <w:rsid w:val="9F9B77AF"/>
    <w:rsid w:val="A2BD8D16"/>
    <w:rsid w:val="A59F35BF"/>
    <w:rsid w:val="A5FF870A"/>
    <w:rsid w:val="A7EFF57C"/>
    <w:rsid w:val="A87D4E78"/>
    <w:rsid w:val="AD6EB6E1"/>
    <w:rsid w:val="AE23B7D3"/>
    <w:rsid w:val="AF67050B"/>
    <w:rsid w:val="AF6DBEEC"/>
    <w:rsid w:val="AFB30FFC"/>
    <w:rsid w:val="AFDEF381"/>
    <w:rsid w:val="B5CD9221"/>
    <w:rsid w:val="B5F7AA3D"/>
    <w:rsid w:val="B6ED1565"/>
    <w:rsid w:val="B7B8BC3E"/>
    <w:rsid w:val="B7DF5A13"/>
    <w:rsid w:val="B7F9315C"/>
    <w:rsid w:val="B7FF2830"/>
    <w:rsid w:val="BABF48F0"/>
    <w:rsid w:val="BB5F55B8"/>
    <w:rsid w:val="BBAF05AD"/>
    <w:rsid w:val="BBEAFB2A"/>
    <w:rsid w:val="BC678F2C"/>
    <w:rsid w:val="BCD78203"/>
    <w:rsid w:val="BCEFBA7E"/>
    <w:rsid w:val="BDBD6EB6"/>
    <w:rsid w:val="BDE729FD"/>
    <w:rsid w:val="BDFDCAD2"/>
    <w:rsid w:val="BE878AF0"/>
    <w:rsid w:val="BEFBBE31"/>
    <w:rsid w:val="BEFDA47B"/>
    <w:rsid w:val="BFBDFCC0"/>
    <w:rsid w:val="BFF7FF99"/>
    <w:rsid w:val="BFFBA793"/>
    <w:rsid w:val="BFFC9F84"/>
    <w:rsid w:val="BFFE00C9"/>
    <w:rsid w:val="C37F088D"/>
    <w:rsid w:val="C6DF9FB3"/>
    <w:rsid w:val="C6EE1AD9"/>
    <w:rsid w:val="CB7F872C"/>
    <w:rsid w:val="CE6A5B67"/>
    <w:rsid w:val="CF741D73"/>
    <w:rsid w:val="CF87E393"/>
    <w:rsid w:val="CFDF242C"/>
    <w:rsid w:val="CFFE3947"/>
    <w:rsid w:val="D17F1B62"/>
    <w:rsid w:val="D1FFDF7E"/>
    <w:rsid w:val="D47EC2C6"/>
    <w:rsid w:val="D7BF56CC"/>
    <w:rsid w:val="D7FBFC09"/>
    <w:rsid w:val="D857F29E"/>
    <w:rsid w:val="D97B55BF"/>
    <w:rsid w:val="DAE7E322"/>
    <w:rsid w:val="DBB745F5"/>
    <w:rsid w:val="DBD7A5B4"/>
    <w:rsid w:val="DBF29F22"/>
    <w:rsid w:val="DCA7C197"/>
    <w:rsid w:val="DD5E670E"/>
    <w:rsid w:val="DDFB0185"/>
    <w:rsid w:val="DE56FA5F"/>
    <w:rsid w:val="DEEEC4F4"/>
    <w:rsid w:val="DEFDFEB4"/>
    <w:rsid w:val="DEFF2B58"/>
    <w:rsid w:val="DEFFA4CE"/>
    <w:rsid w:val="DF864283"/>
    <w:rsid w:val="DFB72046"/>
    <w:rsid w:val="DFCFD99C"/>
    <w:rsid w:val="DFD35716"/>
    <w:rsid w:val="DFFD5AB9"/>
    <w:rsid w:val="E2FEED3E"/>
    <w:rsid w:val="E777D549"/>
    <w:rsid w:val="E7ACF435"/>
    <w:rsid w:val="E7DD92EC"/>
    <w:rsid w:val="EAAF1721"/>
    <w:rsid w:val="EB56544A"/>
    <w:rsid w:val="EBCB2F88"/>
    <w:rsid w:val="EBCE466F"/>
    <w:rsid w:val="ED4D2592"/>
    <w:rsid w:val="EDD6C72D"/>
    <w:rsid w:val="EDFEBAD4"/>
    <w:rsid w:val="EEDACBA1"/>
    <w:rsid w:val="EEE34AEC"/>
    <w:rsid w:val="EEFD3F25"/>
    <w:rsid w:val="EEFEAC0E"/>
    <w:rsid w:val="EF133809"/>
    <w:rsid w:val="EF36B17D"/>
    <w:rsid w:val="EF3767AA"/>
    <w:rsid w:val="EF7ED4A6"/>
    <w:rsid w:val="EFCFB671"/>
    <w:rsid w:val="EFE8651A"/>
    <w:rsid w:val="EFEB0FC2"/>
    <w:rsid w:val="EFEF2E6C"/>
    <w:rsid w:val="EFFBD420"/>
    <w:rsid w:val="EFFEF394"/>
    <w:rsid w:val="F1DF2254"/>
    <w:rsid w:val="F2AFD03B"/>
    <w:rsid w:val="F35D5945"/>
    <w:rsid w:val="F3966556"/>
    <w:rsid w:val="F3EE030A"/>
    <w:rsid w:val="F3FB9E03"/>
    <w:rsid w:val="F53771A4"/>
    <w:rsid w:val="F5C9DC86"/>
    <w:rsid w:val="F5CD288E"/>
    <w:rsid w:val="F65F2DEF"/>
    <w:rsid w:val="F6AB367B"/>
    <w:rsid w:val="F6BF1A0B"/>
    <w:rsid w:val="F6DBA298"/>
    <w:rsid w:val="F76D94F6"/>
    <w:rsid w:val="F77F6FBB"/>
    <w:rsid w:val="F785568B"/>
    <w:rsid w:val="F7AEF5D9"/>
    <w:rsid w:val="F7DD0FF0"/>
    <w:rsid w:val="F8FFB585"/>
    <w:rsid w:val="F93FA193"/>
    <w:rsid w:val="F9AFEC85"/>
    <w:rsid w:val="F9DF6ECA"/>
    <w:rsid w:val="F9DFA542"/>
    <w:rsid w:val="F9FB5E00"/>
    <w:rsid w:val="F9FEF542"/>
    <w:rsid w:val="FAB31635"/>
    <w:rsid w:val="FAFD27F7"/>
    <w:rsid w:val="FAFEC01E"/>
    <w:rsid w:val="FAFEF401"/>
    <w:rsid w:val="FB1D5858"/>
    <w:rsid w:val="FB7DFB6E"/>
    <w:rsid w:val="FBCF65D5"/>
    <w:rsid w:val="FBEFFA9F"/>
    <w:rsid w:val="FBFBAED0"/>
    <w:rsid w:val="FBFBC173"/>
    <w:rsid w:val="FBFFF36A"/>
    <w:rsid w:val="FC7D6A8E"/>
    <w:rsid w:val="FC7F3E96"/>
    <w:rsid w:val="FCAFDE60"/>
    <w:rsid w:val="FCE3FBD0"/>
    <w:rsid w:val="FCF384DF"/>
    <w:rsid w:val="FD372E6F"/>
    <w:rsid w:val="FD4DAC92"/>
    <w:rsid w:val="FD5FB088"/>
    <w:rsid w:val="FD7F2959"/>
    <w:rsid w:val="FD7FD6F3"/>
    <w:rsid w:val="FDBDA6A9"/>
    <w:rsid w:val="FDDF346F"/>
    <w:rsid w:val="FDF71823"/>
    <w:rsid w:val="FDF7E1A5"/>
    <w:rsid w:val="FDFAF3A3"/>
    <w:rsid w:val="FDFFA6BD"/>
    <w:rsid w:val="FE313CA6"/>
    <w:rsid w:val="FE7E18A7"/>
    <w:rsid w:val="FEBAFC77"/>
    <w:rsid w:val="FEF01EB7"/>
    <w:rsid w:val="FEFF68A4"/>
    <w:rsid w:val="FF3C378B"/>
    <w:rsid w:val="FF4B28DD"/>
    <w:rsid w:val="FF5F5DAC"/>
    <w:rsid w:val="FF67745E"/>
    <w:rsid w:val="FFB75602"/>
    <w:rsid w:val="FFD73FCC"/>
    <w:rsid w:val="FFDBEF0B"/>
    <w:rsid w:val="FFE7B848"/>
    <w:rsid w:val="FFEF6FD7"/>
    <w:rsid w:val="FFEF79A3"/>
    <w:rsid w:val="FFF233FB"/>
    <w:rsid w:val="FFF3DB39"/>
    <w:rsid w:val="FFF4C089"/>
    <w:rsid w:val="FFF62FB3"/>
    <w:rsid w:val="FFF7D121"/>
    <w:rsid w:val="FFFD9746"/>
    <w:rsid w:val="FFFDC1CB"/>
    <w:rsid w:val="FFFFA6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79" w:lineRule="exact"/>
      <w:ind w:firstLine="200" w:firstLineChars="200"/>
      <w:jc w:val="both"/>
    </w:pPr>
    <w:rPr>
      <w:rFonts w:ascii="Times New Roman" w:hAnsi="Times New Roman" w:eastAsia="仿宋_GB2312" w:cstheme="minorBidi"/>
      <w:kern w:val="2"/>
      <w:sz w:val="32"/>
      <w:szCs w:val="21"/>
      <w:lang w:val="en-US" w:eastAsia="zh-CN" w:bidi="ar-SA"/>
    </w:rPr>
  </w:style>
  <w:style w:type="paragraph" w:styleId="4">
    <w:name w:val="heading 1"/>
    <w:basedOn w:val="1"/>
    <w:next w:val="1"/>
    <w:link w:val="34"/>
    <w:qFormat/>
    <w:uiPriority w:val="9"/>
    <w:pPr>
      <w:keepNext/>
      <w:keepLines/>
      <w:ind w:firstLine="640" w:firstLineChars="0"/>
      <w:contextualSpacing/>
      <w:outlineLvl w:val="0"/>
    </w:pPr>
    <w:rPr>
      <w:rFonts w:eastAsia="黑体"/>
      <w:bCs/>
      <w:kern w:val="44"/>
      <w:szCs w:val="44"/>
    </w:rPr>
  </w:style>
  <w:style w:type="paragraph" w:styleId="5">
    <w:name w:val="heading 2"/>
    <w:basedOn w:val="1"/>
    <w:next w:val="1"/>
    <w:link w:val="35"/>
    <w:unhideWhenUsed/>
    <w:qFormat/>
    <w:uiPriority w:val="9"/>
    <w:pPr>
      <w:keepNext/>
      <w:keepLines/>
      <w:ind w:firstLine="643"/>
      <w:outlineLvl w:val="1"/>
    </w:pPr>
    <w:rPr>
      <w:rFonts w:eastAsia="楷体_GB2312" w:cstheme="majorBidi"/>
      <w:b/>
      <w:bCs/>
      <w:kern w:val="0"/>
      <w:szCs w:val="32"/>
    </w:rPr>
  </w:style>
  <w:style w:type="paragraph" w:styleId="6">
    <w:name w:val="heading 3"/>
    <w:basedOn w:val="1"/>
    <w:next w:val="1"/>
    <w:link w:val="36"/>
    <w:unhideWhenUsed/>
    <w:qFormat/>
    <w:uiPriority w:val="9"/>
    <w:pPr>
      <w:keepNext/>
      <w:keepLines/>
      <w:ind w:firstLine="643"/>
      <w:outlineLvl w:val="2"/>
    </w:pPr>
    <w:rPr>
      <w:b/>
      <w:bCs/>
      <w:kern w:val="0"/>
      <w:szCs w:val="32"/>
    </w:rPr>
  </w:style>
  <w:style w:type="paragraph" w:styleId="7">
    <w:name w:val="heading 4"/>
    <w:basedOn w:val="1"/>
    <w:next w:val="1"/>
    <w:link w:val="37"/>
    <w:unhideWhenUsed/>
    <w:qFormat/>
    <w:uiPriority w:val="9"/>
    <w:pPr>
      <w:keepNext/>
      <w:keepLines/>
      <w:outlineLvl w:val="3"/>
    </w:pPr>
    <w:rPr>
      <w:b/>
      <w:kern w:val="0"/>
    </w:rPr>
  </w:style>
  <w:style w:type="paragraph" w:styleId="8">
    <w:name w:val="heading 5"/>
    <w:basedOn w:val="1"/>
    <w:next w:val="1"/>
    <w:link w:val="38"/>
    <w:unhideWhenUsed/>
    <w:qFormat/>
    <w:uiPriority w:val="9"/>
    <w:pPr>
      <w:keepNext/>
      <w:keepLines/>
      <w:spacing w:before="280" w:after="290" w:line="376" w:lineRule="atLeast"/>
      <w:outlineLvl w:val="4"/>
    </w:pPr>
    <w:rPr>
      <w:b/>
      <w:bCs/>
      <w:sz w:val="28"/>
      <w:szCs w:val="28"/>
    </w:rPr>
  </w:style>
  <w:style w:type="paragraph" w:styleId="9">
    <w:name w:val="heading 6"/>
    <w:basedOn w:val="1"/>
    <w:next w:val="1"/>
    <w:link w:val="66"/>
    <w:semiHidden/>
    <w:unhideWhenUsed/>
    <w:qFormat/>
    <w:uiPriority w:val="9"/>
    <w:pPr>
      <w:keepNext/>
      <w:keepLines/>
      <w:spacing w:before="40"/>
      <w:outlineLvl w:val="5"/>
    </w:pPr>
    <w:rPr>
      <w:rFonts w:asciiTheme="minorHAnsi" w:hAnsiTheme="minorHAnsi" w:eastAsiaTheme="minorEastAsia" w:cstheme="majorBidi"/>
      <w:b/>
      <w:bCs/>
      <w:color w:val="104862" w:themeColor="accent1" w:themeShade="BF"/>
    </w:rPr>
  </w:style>
  <w:style w:type="paragraph" w:styleId="10">
    <w:name w:val="heading 7"/>
    <w:basedOn w:val="1"/>
    <w:next w:val="1"/>
    <w:link w:val="67"/>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11">
    <w:name w:val="heading 8"/>
    <w:basedOn w:val="1"/>
    <w:next w:val="1"/>
    <w:link w:val="68"/>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2">
    <w:name w:val="heading 9"/>
    <w:basedOn w:val="1"/>
    <w:next w:val="1"/>
    <w:link w:val="69"/>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3"/>
    <w:qFormat/>
    <w:uiPriority w:val="0"/>
    <w:pPr>
      <w:ind w:firstLine="640" w:firstLineChars="200"/>
    </w:pPr>
    <w:rPr>
      <w:rFonts w:ascii="Calibri" w:cs="Times New Roman"/>
    </w:rPr>
  </w:style>
  <w:style w:type="paragraph" w:customStyle="1" w:styleId="3">
    <w:name w:val="正文1"/>
    <w:basedOn w:val="1"/>
    <w:qFormat/>
    <w:uiPriority w:val="0"/>
    <w:pPr>
      <w:ind w:firstLine="708" w:firstLineChars="236"/>
    </w:pPr>
    <w:rPr>
      <w:rFonts w:ascii="仿宋_GB2312" w:cs="仿宋_GB2312"/>
      <w:sz w:val="30"/>
      <w:szCs w:val="30"/>
    </w:rPr>
  </w:style>
  <w:style w:type="paragraph" w:styleId="13">
    <w:name w:val="caption"/>
    <w:basedOn w:val="1"/>
    <w:next w:val="1"/>
    <w:unhideWhenUsed/>
    <w:qFormat/>
    <w:uiPriority w:val="35"/>
    <w:pPr>
      <w:ind w:firstLine="0" w:firstLineChars="0"/>
      <w:jc w:val="center"/>
    </w:pPr>
    <w:rPr>
      <w:rFonts w:cstheme="majorBidi"/>
      <w:b/>
      <w:sz w:val="28"/>
      <w:szCs w:val="20"/>
    </w:rPr>
  </w:style>
  <w:style w:type="paragraph" w:styleId="14">
    <w:name w:val="annotation text"/>
    <w:basedOn w:val="1"/>
    <w:link w:val="73"/>
    <w:unhideWhenUsed/>
    <w:qFormat/>
    <w:uiPriority w:val="99"/>
    <w:pPr>
      <w:jc w:val="left"/>
    </w:pPr>
  </w:style>
  <w:style w:type="paragraph" w:styleId="15">
    <w:name w:val="footer"/>
    <w:basedOn w:val="1"/>
    <w:link w:val="58"/>
    <w:unhideWhenUsed/>
    <w:qFormat/>
    <w:uiPriority w:val="99"/>
    <w:pPr>
      <w:tabs>
        <w:tab w:val="center" w:pos="4153"/>
        <w:tab w:val="right" w:pos="8306"/>
      </w:tabs>
      <w:snapToGrid w:val="0"/>
      <w:jc w:val="left"/>
    </w:pPr>
    <w:rPr>
      <w:sz w:val="18"/>
      <w:szCs w:val="18"/>
    </w:rPr>
  </w:style>
  <w:style w:type="paragraph" w:styleId="16">
    <w:name w:val="header"/>
    <w:basedOn w:val="1"/>
    <w:link w:val="59"/>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Subtitle"/>
    <w:basedOn w:val="1"/>
    <w:next w:val="1"/>
    <w:link w:val="45"/>
    <w:qFormat/>
    <w:uiPriority w:val="11"/>
    <w:pPr>
      <w:spacing w:before="240" w:after="60" w:line="312" w:lineRule="atLeast"/>
      <w:jc w:val="center"/>
      <w:outlineLvl w:val="1"/>
    </w:pPr>
    <w:rPr>
      <w:rFonts w:asciiTheme="minorHAnsi" w:hAnsiTheme="minorHAnsi" w:eastAsiaTheme="minorEastAsia"/>
      <w:b/>
      <w:bCs/>
      <w:kern w:val="28"/>
      <w:szCs w:val="32"/>
    </w:rPr>
  </w:style>
  <w:style w:type="paragraph" w:styleId="18">
    <w:name w:val="footnote text"/>
    <w:basedOn w:val="1"/>
    <w:link w:val="47"/>
    <w:unhideWhenUsed/>
    <w:qFormat/>
    <w:uiPriority w:val="99"/>
    <w:pPr>
      <w:snapToGrid w:val="0"/>
      <w:spacing w:line="240" w:lineRule="auto"/>
      <w:ind w:firstLine="0" w:firstLineChars="0"/>
      <w:jc w:val="left"/>
    </w:pPr>
    <w:rPr>
      <w:kern w:val="0"/>
      <w:sz w:val="20"/>
      <w:szCs w:val="18"/>
    </w:rPr>
  </w:style>
  <w:style w:type="paragraph" w:styleId="19">
    <w:name w:val="Body Text 2"/>
    <w:basedOn w:val="1"/>
    <w:qFormat/>
    <w:uiPriority w:val="0"/>
    <w:pPr>
      <w:jc w:val="center"/>
    </w:pPr>
    <w:rPr>
      <w:rFonts w:ascii="宋体" w:hAnsi="宋体"/>
      <w:szCs w:val="20"/>
    </w:rPr>
  </w:style>
  <w:style w:type="paragraph" w:styleId="20">
    <w:name w:val="Normal (Web)"/>
    <w:basedOn w:val="1"/>
    <w:semiHidden/>
    <w:unhideWhenUsed/>
    <w:qFormat/>
    <w:uiPriority w:val="99"/>
    <w:rPr>
      <w:rFonts w:cs="Times New Roman"/>
      <w:sz w:val="24"/>
      <w:szCs w:val="24"/>
    </w:rPr>
  </w:style>
  <w:style w:type="paragraph" w:styleId="21">
    <w:name w:val="Title"/>
    <w:basedOn w:val="1"/>
    <w:next w:val="1"/>
    <w:link w:val="39"/>
    <w:qFormat/>
    <w:uiPriority w:val="10"/>
    <w:pPr>
      <w:ind w:firstLine="0" w:firstLineChars="0"/>
      <w:jc w:val="center"/>
      <w:outlineLvl w:val="0"/>
    </w:pPr>
    <w:rPr>
      <w:rFonts w:eastAsia="方正小标宋简体" w:cstheme="majorBidi"/>
      <w:bCs/>
      <w:kern w:val="0"/>
      <w:sz w:val="44"/>
      <w:szCs w:val="32"/>
    </w:rPr>
  </w:style>
  <w:style w:type="paragraph" w:styleId="22">
    <w:name w:val="annotation subject"/>
    <w:basedOn w:val="14"/>
    <w:next w:val="14"/>
    <w:link w:val="74"/>
    <w:semiHidden/>
    <w:unhideWhenUsed/>
    <w:qFormat/>
    <w:uiPriority w:val="99"/>
    <w:rPr>
      <w:b/>
      <w:bCs/>
    </w:rPr>
  </w:style>
  <w:style w:type="table" w:styleId="24">
    <w:name w:val="Table Grid"/>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bCs/>
    </w:rPr>
  </w:style>
  <w:style w:type="character" w:styleId="27">
    <w:name w:val="FollowedHyperlink"/>
    <w:basedOn w:val="25"/>
    <w:semiHidden/>
    <w:unhideWhenUsed/>
    <w:qFormat/>
    <w:uiPriority w:val="99"/>
    <w:rPr>
      <w:color w:val="96607D" w:themeColor="followedHyperlink"/>
      <w:u w:val="single"/>
      <w14:textFill>
        <w14:solidFill>
          <w14:schemeClr w14:val="folHlink"/>
        </w14:solidFill>
      </w14:textFill>
    </w:rPr>
  </w:style>
  <w:style w:type="character" w:styleId="28">
    <w:name w:val="Emphasis"/>
    <w:basedOn w:val="25"/>
    <w:qFormat/>
    <w:uiPriority w:val="20"/>
    <w:rPr>
      <w:i/>
      <w:iCs/>
    </w:rPr>
  </w:style>
  <w:style w:type="character" w:styleId="29">
    <w:name w:val="Hyperlink"/>
    <w:basedOn w:val="25"/>
    <w:unhideWhenUsed/>
    <w:qFormat/>
    <w:uiPriority w:val="99"/>
    <w:rPr>
      <w:color w:val="467886" w:themeColor="hyperlink"/>
      <w:u w:val="single"/>
      <w14:textFill>
        <w14:solidFill>
          <w14:schemeClr w14:val="hlink"/>
        </w14:solidFill>
      </w14:textFill>
    </w:rPr>
  </w:style>
  <w:style w:type="character" w:styleId="30">
    <w:name w:val="annotation reference"/>
    <w:basedOn w:val="25"/>
    <w:semiHidden/>
    <w:unhideWhenUsed/>
    <w:qFormat/>
    <w:uiPriority w:val="99"/>
    <w:rPr>
      <w:sz w:val="21"/>
      <w:szCs w:val="21"/>
    </w:rPr>
  </w:style>
  <w:style w:type="character" w:styleId="31">
    <w:name w:val="footnote reference"/>
    <w:basedOn w:val="25"/>
    <w:semiHidden/>
    <w:unhideWhenUsed/>
    <w:qFormat/>
    <w:uiPriority w:val="99"/>
    <w:rPr>
      <w:vertAlign w:val="superscript"/>
    </w:rPr>
  </w:style>
  <w:style w:type="paragraph" w:customStyle="1" w:styleId="32">
    <w:name w:val="报告正文"/>
    <w:link w:val="33"/>
    <w:qFormat/>
    <w:uiPriority w:val="0"/>
    <w:pPr>
      <w:spacing w:line="579" w:lineRule="exact"/>
    </w:pPr>
    <w:rPr>
      <w:rFonts w:asciiTheme="minorHAnsi" w:hAnsiTheme="minorHAnsi" w:eastAsiaTheme="minorEastAsia" w:cstheme="minorBidi"/>
      <w:sz w:val="32"/>
      <w:szCs w:val="28"/>
      <w:lang w:val="en-US" w:eastAsia="zh-CN" w:bidi="ar-SA"/>
    </w:rPr>
  </w:style>
  <w:style w:type="character" w:customStyle="1" w:styleId="33">
    <w:name w:val="报告正文 Char"/>
    <w:link w:val="32"/>
    <w:qFormat/>
    <w:uiPriority w:val="0"/>
    <w:rPr>
      <w:kern w:val="0"/>
      <w:sz w:val="32"/>
      <w:szCs w:val="28"/>
      <w14:ligatures w14:val="none"/>
    </w:rPr>
  </w:style>
  <w:style w:type="character" w:customStyle="1" w:styleId="34">
    <w:name w:val="标题 1 字符"/>
    <w:basedOn w:val="25"/>
    <w:link w:val="4"/>
    <w:qFormat/>
    <w:uiPriority w:val="9"/>
    <w:rPr>
      <w:rFonts w:ascii="Times New Roman" w:hAnsi="Times New Roman" w:eastAsia="黑体"/>
      <w:bCs/>
      <w:kern w:val="44"/>
      <w:sz w:val="32"/>
      <w:szCs w:val="44"/>
      <w14:ligatures w14:val="none"/>
    </w:rPr>
  </w:style>
  <w:style w:type="character" w:customStyle="1" w:styleId="35">
    <w:name w:val="标题 2 字符"/>
    <w:basedOn w:val="25"/>
    <w:link w:val="5"/>
    <w:qFormat/>
    <w:uiPriority w:val="9"/>
    <w:rPr>
      <w:rFonts w:ascii="Times New Roman" w:hAnsi="Times New Roman" w:eastAsia="楷体_GB2312" w:cstheme="majorBidi"/>
      <w:b/>
      <w:bCs/>
      <w:kern w:val="0"/>
      <w:sz w:val="32"/>
      <w:szCs w:val="32"/>
      <w14:ligatures w14:val="none"/>
    </w:rPr>
  </w:style>
  <w:style w:type="character" w:customStyle="1" w:styleId="36">
    <w:name w:val="标题 3 字符"/>
    <w:basedOn w:val="25"/>
    <w:link w:val="6"/>
    <w:qFormat/>
    <w:uiPriority w:val="9"/>
    <w:rPr>
      <w:rFonts w:ascii="Times New Roman" w:hAnsi="Times New Roman" w:eastAsia="仿宋_GB2312"/>
      <w:b/>
      <w:bCs/>
      <w:kern w:val="0"/>
      <w:sz w:val="32"/>
      <w:szCs w:val="32"/>
      <w14:ligatures w14:val="none"/>
    </w:rPr>
  </w:style>
  <w:style w:type="character" w:customStyle="1" w:styleId="37">
    <w:name w:val="标题 4 字符"/>
    <w:basedOn w:val="25"/>
    <w:link w:val="7"/>
    <w:qFormat/>
    <w:uiPriority w:val="9"/>
    <w:rPr>
      <w:rFonts w:ascii="Times New Roman" w:hAnsi="Times New Roman" w:eastAsia="仿宋_GB2312"/>
      <w:b/>
      <w:kern w:val="0"/>
      <w:sz w:val="32"/>
      <w:szCs w:val="21"/>
      <w14:ligatures w14:val="none"/>
    </w:rPr>
  </w:style>
  <w:style w:type="character" w:customStyle="1" w:styleId="38">
    <w:name w:val="标题 5 字符"/>
    <w:basedOn w:val="25"/>
    <w:link w:val="8"/>
    <w:qFormat/>
    <w:uiPriority w:val="9"/>
    <w:rPr>
      <w:rFonts w:ascii="Times New Roman" w:hAnsi="Times New Roman" w:eastAsia="仿宋_GB2312"/>
      <w:b/>
      <w:bCs/>
      <w:sz w:val="28"/>
      <w:szCs w:val="28"/>
      <w14:ligatures w14:val="none"/>
    </w:rPr>
  </w:style>
  <w:style w:type="character" w:customStyle="1" w:styleId="39">
    <w:name w:val="标题 字符"/>
    <w:basedOn w:val="25"/>
    <w:link w:val="21"/>
    <w:qFormat/>
    <w:uiPriority w:val="10"/>
    <w:rPr>
      <w:rFonts w:ascii="Times New Roman" w:hAnsi="Times New Roman" w:eastAsia="方正小标宋简体" w:cstheme="majorBidi"/>
      <w:bCs/>
      <w:kern w:val="0"/>
      <w:sz w:val="44"/>
      <w:szCs w:val="32"/>
      <w14:ligatures w14:val="none"/>
    </w:rPr>
  </w:style>
  <w:style w:type="paragraph" w:customStyle="1" w:styleId="40">
    <w:name w:val="表格内容"/>
    <w:basedOn w:val="1"/>
    <w:qFormat/>
    <w:uiPriority w:val="0"/>
    <w:pPr>
      <w:pBdr>
        <w:top w:val="none" w:color="auto" w:sz="0" w:space="1"/>
        <w:left w:val="none" w:color="auto" w:sz="0" w:space="4"/>
        <w:bottom w:val="none" w:color="auto" w:sz="0" w:space="1"/>
        <w:right w:val="none" w:color="auto" w:sz="0" w:space="4"/>
      </w:pBdr>
      <w:adjustRightInd w:val="0"/>
      <w:snapToGrid w:val="0"/>
      <w:spacing w:line="288" w:lineRule="auto"/>
      <w:ind w:firstLine="0" w:firstLineChars="0"/>
    </w:pPr>
    <w:rPr>
      <w:rFonts w:hint="eastAsia"/>
      <w:bCs/>
      <w:kern w:val="44"/>
      <w:sz w:val="24"/>
      <w:szCs w:val="32"/>
    </w:rPr>
  </w:style>
  <w:style w:type="table" w:customStyle="1" w:styleId="41">
    <w:name w:val="表格首行"/>
    <w:basedOn w:val="23"/>
    <w:qFormat/>
    <w:uiPriority w:val="99"/>
    <w:rPr>
      <w:sz w:val="21"/>
      <w:szCs w:val="22"/>
    </w:rPr>
    <w:tblStylePr w:type="firstRow">
      <w:pPr>
        <w:wordWrap/>
        <w:spacing w:line="288" w:lineRule="auto"/>
        <w:ind w:firstLine="0" w:firstLineChars="0"/>
      </w:pPr>
      <w:rPr>
        <w:rFonts w:ascii="Times New Roman" w:hAnsi="Times New Roman" w:eastAsia="仿宋_GB2312"/>
        <w:b/>
        <w:i w:val="0"/>
        <w:sz w:val="24"/>
      </w:rPr>
    </w:tblStylePr>
  </w:style>
  <w:style w:type="paragraph" w:customStyle="1" w:styleId="42">
    <w:name w:val="表头"/>
    <w:basedOn w:val="1"/>
    <w:qFormat/>
    <w:uiPriority w:val="0"/>
    <w:pPr>
      <w:pBdr>
        <w:top w:val="none" w:color="auto" w:sz="0" w:space="1"/>
        <w:left w:val="none" w:color="auto" w:sz="0" w:space="4"/>
        <w:bottom w:val="none" w:color="auto" w:sz="0" w:space="1"/>
        <w:right w:val="none" w:color="auto" w:sz="0" w:space="4"/>
      </w:pBdr>
      <w:adjustRightInd w:val="0"/>
      <w:snapToGrid w:val="0"/>
      <w:spacing w:line="288" w:lineRule="auto"/>
      <w:ind w:firstLine="0" w:firstLineChars="0"/>
      <w:jc w:val="center"/>
    </w:pPr>
    <w:rPr>
      <w:rFonts w:hint="eastAsia"/>
      <w:bCs/>
      <w:kern w:val="44"/>
      <w:sz w:val="24"/>
      <w:szCs w:val="32"/>
    </w:rPr>
  </w:style>
  <w:style w:type="character" w:customStyle="1" w:styleId="43">
    <w:name w:val="不明显参考1"/>
    <w:basedOn w:val="25"/>
    <w:qFormat/>
    <w:uiPriority w:val="31"/>
    <w:rPr>
      <w:smallCaps/>
      <w:color w:val="595959" w:themeColor="text1" w:themeTint="A6"/>
      <w14:textFill>
        <w14:solidFill>
          <w14:schemeClr w14:val="tx1">
            <w14:lumMod w14:val="65000"/>
            <w14:lumOff w14:val="35000"/>
          </w14:schemeClr>
        </w14:solidFill>
      </w14:textFill>
    </w:rPr>
  </w:style>
  <w:style w:type="character" w:customStyle="1" w:styleId="44">
    <w:name w:val="不明显强调1"/>
    <w:basedOn w:val="25"/>
    <w:qFormat/>
    <w:uiPriority w:val="19"/>
    <w:rPr>
      <w:i/>
      <w:iCs/>
      <w:color w:val="404040" w:themeColor="text1" w:themeTint="BF"/>
      <w14:textFill>
        <w14:solidFill>
          <w14:schemeClr w14:val="tx1">
            <w14:lumMod w14:val="75000"/>
            <w14:lumOff w14:val="25000"/>
          </w14:schemeClr>
        </w14:solidFill>
      </w14:textFill>
    </w:rPr>
  </w:style>
  <w:style w:type="character" w:customStyle="1" w:styleId="45">
    <w:name w:val="副标题 字符"/>
    <w:basedOn w:val="25"/>
    <w:link w:val="17"/>
    <w:qFormat/>
    <w:uiPriority w:val="11"/>
    <w:rPr>
      <w:b/>
      <w:bCs/>
      <w:kern w:val="28"/>
      <w:sz w:val="32"/>
      <w:szCs w:val="32"/>
      <w14:ligatures w14:val="none"/>
    </w:rPr>
  </w:style>
  <w:style w:type="paragraph" w:customStyle="1" w:styleId="46">
    <w:name w:val="公文正文"/>
    <w:basedOn w:val="1"/>
    <w:qFormat/>
    <w:uiPriority w:val="0"/>
    <w:pPr>
      <w:ind w:firstLine="640"/>
    </w:pPr>
  </w:style>
  <w:style w:type="character" w:customStyle="1" w:styleId="47">
    <w:name w:val="脚注文本 字符"/>
    <w:basedOn w:val="25"/>
    <w:link w:val="18"/>
    <w:qFormat/>
    <w:uiPriority w:val="99"/>
    <w:rPr>
      <w:rFonts w:ascii="Times New Roman" w:hAnsi="Times New Roman" w:eastAsia="仿宋_GB2312"/>
      <w:kern w:val="0"/>
      <w:sz w:val="20"/>
      <w:szCs w:val="18"/>
      <w14:ligatures w14:val="none"/>
    </w:rPr>
  </w:style>
  <w:style w:type="character" w:customStyle="1" w:styleId="48">
    <w:name w:val="明显强调1"/>
    <w:basedOn w:val="25"/>
    <w:qFormat/>
    <w:uiPriority w:val="21"/>
    <w:rPr>
      <w:i/>
      <w:iCs/>
      <w:color w:val="156082" w:themeColor="accent1"/>
      <w14:textFill>
        <w14:solidFill>
          <w14:schemeClr w14:val="accent1"/>
        </w14:solidFill>
      </w14:textFill>
    </w:rPr>
  </w:style>
  <w:style w:type="paragraph" w:styleId="49">
    <w:name w:val="Intense Quote"/>
    <w:basedOn w:val="1"/>
    <w:next w:val="1"/>
    <w:link w:val="50"/>
    <w:qFormat/>
    <w:uiPriority w:val="30"/>
    <w:pPr>
      <w:pBdr>
        <w:top w:val="single" w:color="156082" w:themeColor="accent1" w:sz="4" w:space="10"/>
        <w:bottom w:val="single" w:color="156082" w:themeColor="accent1" w:sz="4" w:space="10"/>
      </w:pBdr>
      <w:spacing w:before="360" w:after="360"/>
      <w:ind w:left="864" w:right="864"/>
      <w:jc w:val="center"/>
    </w:pPr>
    <w:rPr>
      <w:i/>
      <w:iCs/>
      <w:color w:val="156082" w:themeColor="accent1"/>
      <w14:textFill>
        <w14:solidFill>
          <w14:schemeClr w14:val="accent1"/>
        </w14:solidFill>
      </w14:textFill>
    </w:rPr>
  </w:style>
  <w:style w:type="character" w:customStyle="1" w:styleId="50">
    <w:name w:val="明显引用 字符"/>
    <w:basedOn w:val="25"/>
    <w:link w:val="49"/>
    <w:qFormat/>
    <w:uiPriority w:val="30"/>
    <w:rPr>
      <w:rFonts w:ascii="Times New Roman" w:hAnsi="Times New Roman" w:eastAsia="仿宋_GB2312"/>
      <w:i/>
      <w:iCs/>
      <w:color w:val="156082" w:themeColor="accent1"/>
      <w:sz w:val="32"/>
      <w:szCs w:val="21"/>
      <w14:textFill>
        <w14:solidFill>
          <w14:schemeClr w14:val="accent1"/>
        </w14:solidFill>
      </w14:textFill>
      <w14:ligatures w14:val="none"/>
    </w:rPr>
  </w:style>
  <w:style w:type="character" w:customStyle="1" w:styleId="51">
    <w:name w:val="书籍标题1"/>
    <w:basedOn w:val="25"/>
    <w:qFormat/>
    <w:uiPriority w:val="33"/>
    <w:rPr>
      <w:b/>
      <w:bCs/>
      <w:i/>
      <w:iCs/>
      <w:spacing w:val="5"/>
    </w:rPr>
  </w:style>
  <w:style w:type="paragraph" w:customStyle="1" w:styleId="52">
    <w:name w:val="图表"/>
    <w:basedOn w:val="1"/>
    <w:qFormat/>
    <w:uiPriority w:val="0"/>
    <w:pPr>
      <w:pBdr>
        <w:top w:val="none" w:color="auto" w:sz="0" w:space="1"/>
        <w:left w:val="none" w:color="auto" w:sz="0" w:space="4"/>
        <w:bottom w:val="none" w:color="auto" w:sz="0" w:space="1"/>
        <w:right w:val="none" w:color="auto" w:sz="0" w:space="4"/>
      </w:pBdr>
      <w:adjustRightInd w:val="0"/>
      <w:snapToGrid w:val="0"/>
      <w:spacing w:line="276" w:lineRule="auto"/>
      <w:ind w:firstLine="0" w:firstLineChars="0"/>
      <w:jc w:val="center"/>
    </w:pPr>
    <w:rPr>
      <w:rFonts w:hint="eastAsia"/>
      <w:b/>
      <w:bCs/>
      <w:kern w:val="44"/>
      <w:sz w:val="28"/>
      <w:szCs w:val="32"/>
    </w:rPr>
  </w:style>
  <w:style w:type="paragraph" w:customStyle="1" w:styleId="53">
    <w:name w:val="图表标题"/>
    <w:basedOn w:val="1"/>
    <w:next w:val="32"/>
    <w:link w:val="54"/>
    <w:qFormat/>
    <w:uiPriority w:val="0"/>
    <w:pPr>
      <w:pBdr>
        <w:top w:val="none" w:color="auto" w:sz="0" w:space="1"/>
        <w:left w:val="none" w:color="auto" w:sz="0" w:space="4"/>
        <w:bottom w:val="none" w:color="auto" w:sz="0" w:space="1"/>
        <w:right w:val="none" w:color="auto" w:sz="0" w:space="4"/>
      </w:pBdr>
      <w:adjustRightInd w:val="0"/>
      <w:snapToGrid w:val="0"/>
      <w:spacing w:line="276" w:lineRule="auto"/>
      <w:ind w:firstLine="0" w:firstLineChars="0"/>
      <w:jc w:val="center"/>
    </w:pPr>
    <w:rPr>
      <w:b/>
      <w:bCs/>
      <w:kern w:val="44"/>
      <w:sz w:val="28"/>
      <w:szCs w:val="32"/>
    </w:rPr>
  </w:style>
  <w:style w:type="character" w:customStyle="1" w:styleId="54">
    <w:name w:val="图表标题 字符"/>
    <w:basedOn w:val="25"/>
    <w:link w:val="53"/>
    <w:qFormat/>
    <w:uiPriority w:val="0"/>
    <w:rPr>
      <w:rFonts w:ascii="Times New Roman" w:hAnsi="Times New Roman" w:eastAsia="仿宋_GB2312"/>
      <w:b/>
      <w:bCs/>
      <w:kern w:val="44"/>
      <w:sz w:val="28"/>
      <w:szCs w:val="32"/>
      <w14:ligatures w14:val="none"/>
    </w:rPr>
  </w:style>
  <w:style w:type="paragraph" w:customStyle="1" w:styleId="55">
    <w:name w:val="图片"/>
    <w:basedOn w:val="53"/>
    <w:link w:val="56"/>
    <w:qFormat/>
    <w:uiPriority w:val="0"/>
    <w:pPr>
      <w:spacing w:line="240" w:lineRule="auto"/>
    </w:pPr>
    <w:rPr>
      <w:b w:val="0"/>
      <w:sz w:val="24"/>
    </w:rPr>
  </w:style>
  <w:style w:type="character" w:customStyle="1" w:styleId="56">
    <w:name w:val="图片 字符"/>
    <w:basedOn w:val="25"/>
    <w:link w:val="55"/>
    <w:qFormat/>
    <w:uiPriority w:val="0"/>
    <w:rPr>
      <w:rFonts w:ascii="Times New Roman" w:hAnsi="Times New Roman" w:eastAsia="仿宋_GB2312"/>
      <w:bCs/>
      <w:kern w:val="44"/>
      <w:sz w:val="24"/>
      <w:szCs w:val="32"/>
      <w14:ligatures w14:val="none"/>
    </w:rPr>
  </w:style>
  <w:style w:type="paragraph" w:styleId="57">
    <w:name w:val="No Spacing"/>
    <w:qFormat/>
    <w:uiPriority w:val="1"/>
    <w:pPr>
      <w:widowControl w:val="0"/>
      <w:ind w:firstLine="200" w:firstLineChars="200"/>
      <w:jc w:val="both"/>
    </w:pPr>
    <w:rPr>
      <w:rFonts w:ascii="Times New Roman" w:hAnsi="Times New Roman" w:eastAsia="仿宋_GB2312" w:cstheme="minorBidi"/>
      <w:kern w:val="2"/>
      <w:sz w:val="32"/>
      <w:szCs w:val="21"/>
      <w:lang w:val="en-US" w:eastAsia="zh-CN" w:bidi="ar-SA"/>
    </w:rPr>
  </w:style>
  <w:style w:type="character" w:customStyle="1" w:styleId="58">
    <w:name w:val="页脚 字符"/>
    <w:basedOn w:val="25"/>
    <w:link w:val="15"/>
    <w:qFormat/>
    <w:uiPriority w:val="99"/>
    <w:rPr>
      <w:rFonts w:ascii="Times New Roman" w:hAnsi="Times New Roman" w:eastAsia="仿宋_GB2312"/>
      <w:sz w:val="18"/>
      <w:szCs w:val="18"/>
      <w14:ligatures w14:val="none"/>
    </w:rPr>
  </w:style>
  <w:style w:type="character" w:customStyle="1" w:styleId="59">
    <w:name w:val="页眉 字符"/>
    <w:basedOn w:val="25"/>
    <w:link w:val="16"/>
    <w:qFormat/>
    <w:uiPriority w:val="99"/>
    <w:rPr>
      <w:rFonts w:ascii="Times New Roman" w:hAnsi="Times New Roman" w:eastAsia="仿宋_GB2312"/>
      <w:sz w:val="18"/>
      <w:szCs w:val="18"/>
      <w14:ligatures w14:val="none"/>
    </w:rPr>
  </w:style>
  <w:style w:type="paragraph" w:styleId="60">
    <w:name w:val="Quote"/>
    <w:basedOn w:val="1"/>
    <w:next w:val="1"/>
    <w:link w:val="61"/>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61">
    <w:name w:val="引用 字符"/>
    <w:basedOn w:val="25"/>
    <w:link w:val="60"/>
    <w:qFormat/>
    <w:uiPriority w:val="29"/>
    <w:rPr>
      <w:rFonts w:ascii="Times New Roman" w:hAnsi="Times New Roman" w:eastAsia="仿宋_GB2312"/>
      <w:i/>
      <w:iCs/>
      <w:color w:val="404040" w:themeColor="text1" w:themeTint="BF"/>
      <w:sz w:val="32"/>
      <w:szCs w:val="21"/>
      <w14:textFill>
        <w14:solidFill>
          <w14:schemeClr w14:val="tx1">
            <w14:lumMod w14:val="75000"/>
            <w14:lumOff w14:val="25000"/>
          </w14:schemeClr>
        </w14:solidFill>
      </w14:textFill>
      <w14:ligatures w14:val="none"/>
    </w:rPr>
  </w:style>
  <w:style w:type="paragraph" w:customStyle="1" w:styleId="62">
    <w:name w:val="专栏"/>
    <w:basedOn w:val="4"/>
    <w:link w:val="63"/>
    <w:qFormat/>
    <w:uiPriority w:val="0"/>
    <w:pPr>
      <w:keepNext w:val="0"/>
      <w:keepLines w:val="0"/>
      <w:pBdr>
        <w:top w:val="single" w:color="auto" w:sz="4" w:space="1"/>
        <w:left w:val="single" w:color="auto" w:sz="4" w:space="4"/>
        <w:bottom w:val="single" w:color="auto" w:sz="4" w:space="1"/>
        <w:right w:val="single" w:color="auto" w:sz="4" w:space="4"/>
      </w:pBdr>
      <w:adjustRightInd w:val="0"/>
      <w:snapToGrid w:val="0"/>
      <w:spacing w:line="276" w:lineRule="auto"/>
      <w:outlineLvl w:val="9"/>
    </w:pPr>
    <w:rPr>
      <w:rFonts w:eastAsia="仿宋_GB2312"/>
      <w:sz w:val="28"/>
      <w:szCs w:val="32"/>
    </w:rPr>
  </w:style>
  <w:style w:type="character" w:customStyle="1" w:styleId="63">
    <w:name w:val="专栏 Char"/>
    <w:basedOn w:val="34"/>
    <w:link w:val="62"/>
    <w:qFormat/>
    <w:uiPriority w:val="0"/>
    <w:rPr>
      <w:rFonts w:ascii="Times New Roman" w:hAnsi="Times New Roman" w:eastAsia="仿宋_GB2312"/>
      <w:kern w:val="44"/>
      <w:sz w:val="28"/>
      <w:szCs w:val="32"/>
      <w14:ligatures w14:val="none"/>
    </w:rPr>
  </w:style>
  <w:style w:type="paragraph" w:customStyle="1" w:styleId="64">
    <w:name w:val="专栏标题"/>
    <w:basedOn w:val="62"/>
    <w:link w:val="65"/>
    <w:qFormat/>
    <w:uiPriority w:val="0"/>
    <w:pPr>
      <w:ind w:firstLine="0"/>
      <w:jc w:val="center"/>
    </w:pPr>
    <w:rPr>
      <w:rFonts w:eastAsia="楷体_GB2312"/>
      <w:b/>
    </w:rPr>
  </w:style>
  <w:style w:type="character" w:customStyle="1" w:styleId="65">
    <w:name w:val="专栏标题 Char"/>
    <w:basedOn w:val="63"/>
    <w:link w:val="64"/>
    <w:qFormat/>
    <w:uiPriority w:val="0"/>
    <w:rPr>
      <w:rFonts w:ascii="Times New Roman" w:hAnsi="Times New Roman" w:eastAsia="楷体_GB2312"/>
      <w:b/>
      <w:kern w:val="44"/>
      <w:sz w:val="28"/>
      <w:szCs w:val="32"/>
      <w14:ligatures w14:val="none"/>
    </w:rPr>
  </w:style>
  <w:style w:type="character" w:customStyle="1" w:styleId="66">
    <w:name w:val="标题 6 字符"/>
    <w:basedOn w:val="25"/>
    <w:link w:val="9"/>
    <w:semiHidden/>
    <w:qFormat/>
    <w:uiPriority w:val="9"/>
    <w:rPr>
      <w:rFonts w:cstheme="majorBidi"/>
      <w:b/>
      <w:bCs/>
      <w:color w:val="104862" w:themeColor="accent1" w:themeShade="BF"/>
      <w:sz w:val="32"/>
      <w:szCs w:val="21"/>
      <w14:ligatures w14:val="none"/>
    </w:rPr>
  </w:style>
  <w:style w:type="character" w:customStyle="1" w:styleId="67">
    <w:name w:val="标题 7 字符"/>
    <w:basedOn w:val="25"/>
    <w:link w:val="10"/>
    <w:semiHidden/>
    <w:qFormat/>
    <w:uiPriority w:val="9"/>
    <w:rPr>
      <w:rFonts w:cstheme="majorBidi"/>
      <w:b/>
      <w:bCs/>
      <w:color w:val="595959" w:themeColor="text1" w:themeTint="A6"/>
      <w:sz w:val="32"/>
      <w:szCs w:val="21"/>
      <w14:textFill>
        <w14:solidFill>
          <w14:schemeClr w14:val="tx1">
            <w14:lumMod w14:val="65000"/>
            <w14:lumOff w14:val="35000"/>
          </w14:schemeClr>
        </w14:solidFill>
      </w14:textFill>
      <w14:ligatures w14:val="none"/>
    </w:rPr>
  </w:style>
  <w:style w:type="character" w:customStyle="1" w:styleId="68">
    <w:name w:val="标题 8 字符"/>
    <w:basedOn w:val="25"/>
    <w:link w:val="11"/>
    <w:semiHidden/>
    <w:qFormat/>
    <w:uiPriority w:val="9"/>
    <w:rPr>
      <w:rFonts w:cstheme="majorBidi"/>
      <w:color w:val="595959" w:themeColor="text1" w:themeTint="A6"/>
      <w:sz w:val="32"/>
      <w:szCs w:val="21"/>
      <w14:textFill>
        <w14:solidFill>
          <w14:schemeClr w14:val="tx1">
            <w14:lumMod w14:val="65000"/>
            <w14:lumOff w14:val="35000"/>
          </w14:schemeClr>
        </w14:solidFill>
      </w14:textFill>
      <w14:ligatures w14:val="none"/>
    </w:rPr>
  </w:style>
  <w:style w:type="character" w:customStyle="1" w:styleId="69">
    <w:name w:val="标题 9 字符"/>
    <w:basedOn w:val="25"/>
    <w:link w:val="12"/>
    <w:semiHidden/>
    <w:qFormat/>
    <w:uiPriority w:val="9"/>
    <w:rPr>
      <w:rFonts w:eastAsiaTheme="majorEastAsia" w:cstheme="majorBidi"/>
      <w:color w:val="595959" w:themeColor="text1" w:themeTint="A6"/>
      <w:sz w:val="32"/>
      <w:szCs w:val="21"/>
      <w14:textFill>
        <w14:solidFill>
          <w14:schemeClr w14:val="tx1">
            <w14:lumMod w14:val="65000"/>
            <w14:lumOff w14:val="35000"/>
          </w14:schemeClr>
        </w14:solidFill>
      </w14:textFill>
      <w14:ligatures w14:val="none"/>
    </w:rPr>
  </w:style>
  <w:style w:type="paragraph" w:styleId="70">
    <w:name w:val="List Paragraph"/>
    <w:basedOn w:val="1"/>
    <w:qFormat/>
    <w:uiPriority w:val="34"/>
    <w:pPr>
      <w:ind w:left="720"/>
      <w:contextualSpacing/>
    </w:pPr>
  </w:style>
  <w:style w:type="character" w:customStyle="1" w:styleId="71">
    <w:name w:val="明显强调2"/>
    <w:basedOn w:val="25"/>
    <w:qFormat/>
    <w:uiPriority w:val="21"/>
    <w:rPr>
      <w:i/>
      <w:iCs/>
      <w:color w:val="104862" w:themeColor="accent1" w:themeShade="BF"/>
    </w:rPr>
  </w:style>
  <w:style w:type="character" w:customStyle="1" w:styleId="72">
    <w:name w:val="明显参考1"/>
    <w:basedOn w:val="25"/>
    <w:qFormat/>
    <w:uiPriority w:val="32"/>
    <w:rPr>
      <w:b/>
      <w:bCs/>
      <w:smallCaps/>
      <w:color w:val="104862" w:themeColor="accent1" w:themeShade="BF"/>
      <w:spacing w:val="5"/>
    </w:rPr>
  </w:style>
  <w:style w:type="character" w:customStyle="1" w:styleId="73">
    <w:name w:val="批注文字 字符"/>
    <w:basedOn w:val="25"/>
    <w:link w:val="14"/>
    <w:qFormat/>
    <w:uiPriority w:val="99"/>
    <w:rPr>
      <w:rFonts w:ascii="Times New Roman" w:hAnsi="Times New Roman" w:eastAsia="仿宋_GB2312"/>
      <w:sz w:val="32"/>
      <w:szCs w:val="21"/>
      <w14:ligatures w14:val="none"/>
    </w:rPr>
  </w:style>
  <w:style w:type="character" w:customStyle="1" w:styleId="74">
    <w:name w:val="批注主题 字符"/>
    <w:basedOn w:val="73"/>
    <w:link w:val="22"/>
    <w:semiHidden/>
    <w:qFormat/>
    <w:uiPriority w:val="99"/>
    <w:rPr>
      <w:rFonts w:ascii="Times New Roman" w:hAnsi="Times New Roman" w:eastAsia="仿宋_GB2312"/>
      <w:b/>
      <w:bCs/>
      <w:sz w:val="32"/>
      <w:szCs w:val="21"/>
      <w14:ligatures w14:val="none"/>
    </w:rPr>
  </w:style>
  <w:style w:type="paragraph" w:customStyle="1" w:styleId="75">
    <w:name w:val="修订1"/>
    <w:hidden/>
    <w:unhideWhenUsed/>
    <w:qFormat/>
    <w:uiPriority w:val="99"/>
    <w:rPr>
      <w:rFonts w:ascii="Times New Roman" w:hAnsi="Times New Roman" w:eastAsia="仿宋_GB2312" w:cstheme="minorBidi"/>
      <w:kern w:val="2"/>
      <w:sz w:val="32"/>
      <w:szCs w:val="21"/>
      <w:lang w:val="en-US" w:eastAsia="zh-CN" w:bidi="ar-SA"/>
    </w:rPr>
  </w:style>
  <w:style w:type="paragraph" w:customStyle="1" w:styleId="76">
    <w:name w:val="修订2"/>
    <w:hidden/>
    <w:unhideWhenUsed/>
    <w:qFormat/>
    <w:uiPriority w:val="99"/>
    <w:rPr>
      <w:rFonts w:ascii="Times New Roman" w:hAnsi="Times New Roman" w:eastAsia="仿宋_GB2312" w:cstheme="minorBidi"/>
      <w:kern w:val="2"/>
      <w:sz w:val="32"/>
      <w:szCs w:val="21"/>
      <w:lang w:val="en-US" w:eastAsia="zh-CN" w:bidi="ar-SA"/>
    </w:rPr>
  </w:style>
  <w:style w:type="paragraph" w:customStyle="1" w:styleId="77">
    <w:name w:val="修订3"/>
    <w:hidden/>
    <w:unhideWhenUsed/>
    <w:qFormat/>
    <w:uiPriority w:val="99"/>
    <w:rPr>
      <w:rFonts w:ascii="Times New Roman" w:hAnsi="Times New Roman" w:eastAsia="仿宋_GB2312" w:cstheme="minorBidi"/>
      <w:kern w:val="2"/>
      <w:sz w:val="32"/>
      <w:szCs w:val="21"/>
      <w:lang w:val="en-US" w:eastAsia="zh-CN" w:bidi="ar-SA"/>
    </w:rPr>
  </w:style>
  <w:style w:type="paragraph" w:customStyle="1" w:styleId="78">
    <w:name w:val="修订4"/>
    <w:hidden/>
    <w:unhideWhenUsed/>
    <w:qFormat/>
    <w:uiPriority w:val="99"/>
    <w:rPr>
      <w:rFonts w:ascii="Times New Roman" w:hAnsi="Times New Roman" w:eastAsia="仿宋_GB2312" w:cstheme="minorBidi"/>
      <w:kern w:val="2"/>
      <w:sz w:val="32"/>
      <w:szCs w:val="21"/>
      <w:lang w:val="en-US" w:eastAsia="zh-CN" w:bidi="ar-SA"/>
    </w:rPr>
  </w:style>
  <w:style w:type="paragraph" w:customStyle="1" w:styleId="79">
    <w:name w:val="修订5"/>
    <w:hidden/>
    <w:unhideWhenUsed/>
    <w:qFormat/>
    <w:uiPriority w:val="99"/>
    <w:rPr>
      <w:rFonts w:ascii="Times New Roman" w:hAnsi="Times New Roman" w:eastAsia="仿宋_GB2312" w:cstheme="minorBidi"/>
      <w:kern w:val="2"/>
      <w:sz w:val="32"/>
      <w:szCs w:val="21"/>
      <w:lang w:val="en-US" w:eastAsia="zh-CN" w:bidi="ar-SA"/>
    </w:rPr>
  </w:style>
  <w:style w:type="paragraph" w:customStyle="1" w:styleId="80">
    <w:name w:val="修订6"/>
    <w:hidden/>
    <w:unhideWhenUsed/>
    <w:qFormat/>
    <w:uiPriority w:val="99"/>
    <w:rPr>
      <w:rFonts w:ascii="Times New Roman" w:hAnsi="Times New Roman" w:eastAsia="仿宋_GB2312" w:cstheme="minorBidi"/>
      <w:kern w:val="2"/>
      <w:sz w:val="32"/>
      <w:szCs w:val="21"/>
      <w:lang w:val="en-US" w:eastAsia="zh-CN" w:bidi="ar-SA"/>
    </w:rPr>
  </w:style>
  <w:style w:type="paragraph" w:customStyle="1" w:styleId="81">
    <w:name w:val="修订7"/>
    <w:hidden/>
    <w:unhideWhenUsed/>
    <w:qFormat/>
    <w:uiPriority w:val="99"/>
    <w:rPr>
      <w:rFonts w:ascii="Times New Roman" w:hAnsi="Times New Roman" w:eastAsia="仿宋_GB2312" w:cstheme="minorBidi"/>
      <w:kern w:val="2"/>
      <w:sz w:val="32"/>
      <w:szCs w:val="21"/>
      <w:lang w:val="en-US" w:eastAsia="zh-CN" w:bidi="ar-SA"/>
    </w:rPr>
  </w:style>
  <w:style w:type="paragraph" w:customStyle="1" w:styleId="82">
    <w:name w:val="修订8"/>
    <w:hidden/>
    <w:unhideWhenUsed/>
    <w:qFormat/>
    <w:uiPriority w:val="99"/>
    <w:rPr>
      <w:rFonts w:ascii="Times New Roman" w:hAnsi="Times New Roman" w:eastAsia="仿宋_GB2312" w:cstheme="minorBidi"/>
      <w:kern w:val="2"/>
      <w:sz w:val="32"/>
      <w:szCs w:val="21"/>
      <w:lang w:val="en-US" w:eastAsia="zh-CN" w:bidi="ar-SA"/>
    </w:rPr>
  </w:style>
  <w:style w:type="paragraph" w:customStyle="1" w:styleId="83">
    <w:name w:val="修订9"/>
    <w:hidden/>
    <w:unhideWhenUsed/>
    <w:qFormat/>
    <w:uiPriority w:val="99"/>
    <w:rPr>
      <w:rFonts w:ascii="Times New Roman" w:hAnsi="Times New Roman" w:eastAsia="仿宋_GB2312" w:cstheme="minorBidi"/>
      <w:kern w:val="2"/>
      <w:sz w:val="32"/>
      <w:szCs w:val="21"/>
      <w:lang w:val="en-US" w:eastAsia="zh-CN" w:bidi="ar-SA"/>
    </w:rPr>
  </w:style>
  <w:style w:type="character" w:customStyle="1" w:styleId="84">
    <w:name w:val="未处理的提及1"/>
    <w:basedOn w:val="25"/>
    <w:semiHidden/>
    <w:unhideWhenUsed/>
    <w:qFormat/>
    <w:uiPriority w:val="99"/>
    <w:rPr>
      <w:color w:val="605E5C"/>
      <w:shd w:val="clear" w:color="auto" w:fill="E1DFDD"/>
    </w:rPr>
  </w:style>
  <w:style w:type="paragraph" w:customStyle="1" w:styleId="85">
    <w:name w:val="修订10"/>
    <w:hidden/>
    <w:unhideWhenUsed/>
    <w:qFormat/>
    <w:uiPriority w:val="99"/>
    <w:rPr>
      <w:rFonts w:ascii="Times New Roman" w:hAnsi="Times New Roman" w:eastAsia="仿宋_GB2312" w:cstheme="minorBidi"/>
      <w:kern w:val="2"/>
      <w:sz w:val="32"/>
      <w:szCs w:val="21"/>
      <w:lang w:val="en-US" w:eastAsia="zh-CN" w:bidi="ar-SA"/>
    </w:rPr>
  </w:style>
  <w:style w:type="paragraph" w:customStyle="1" w:styleId="86">
    <w:name w:val="修订11"/>
    <w:hidden/>
    <w:unhideWhenUsed/>
    <w:qFormat/>
    <w:uiPriority w:val="99"/>
    <w:rPr>
      <w:rFonts w:ascii="Times New Roman" w:hAnsi="Times New Roman" w:eastAsia="仿宋_GB2312" w:cstheme="minorBidi"/>
      <w:kern w:val="2"/>
      <w:sz w:val="32"/>
      <w:szCs w:val="21"/>
      <w:lang w:val="en-US" w:eastAsia="zh-CN" w:bidi="ar-SA"/>
    </w:rPr>
  </w:style>
  <w:style w:type="paragraph" w:customStyle="1" w:styleId="87">
    <w:name w:val="修订12"/>
    <w:hidden/>
    <w:unhideWhenUsed/>
    <w:qFormat/>
    <w:uiPriority w:val="99"/>
    <w:rPr>
      <w:rFonts w:ascii="Times New Roman" w:hAnsi="Times New Roman" w:eastAsia="仿宋_GB2312" w:cstheme="minorBidi"/>
      <w:kern w:val="2"/>
      <w:sz w:val="32"/>
      <w:szCs w:val="21"/>
      <w:lang w:val="en-US" w:eastAsia="zh-CN" w:bidi="ar-SA"/>
    </w:rPr>
  </w:style>
  <w:style w:type="paragraph" w:customStyle="1" w:styleId="88">
    <w:name w:val="Revision"/>
    <w:hidden/>
    <w:unhideWhenUsed/>
    <w:qFormat/>
    <w:uiPriority w:val="99"/>
    <w:rPr>
      <w:rFonts w:ascii="Times New Roman" w:hAnsi="Times New Roman" w:eastAsia="仿宋_GB2312" w:cstheme="minorBidi"/>
      <w:kern w:val="2"/>
      <w:sz w:val="3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Version="6" StyleName="APA"/>
</file>

<file path=customXml/itemProps1.xml><?xml version="1.0" encoding="utf-8"?>
<ds:datastoreItem xmlns:ds="http://schemas.openxmlformats.org/officeDocument/2006/customXml" ds:itemID="{EF754FE3-0E90-4C67-A2EC-1E053B87A396}">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4198</Words>
  <Characters>4217</Characters>
  <Lines>34</Lines>
  <Paragraphs>9</Paragraphs>
  <TotalTime>4</TotalTime>
  <ScaleCrop>false</ScaleCrop>
  <LinksUpToDate>false</LinksUpToDate>
  <CharactersWithSpaces>4248</CharactersWithSpaces>
  <Application>WPS Office_12.1.0.17900_F1E327BC-269C-435d-A152-05C5408002CA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2026-01-15T10:12:00Z</dcterms:created>
  <dc:creator>多元一号</dc:creator>
  <cp:lastModifiedBy>Anita 王祎玮</cp:lastModifiedBy>
  <cp:lastPrinted>2026-01-16T04:05:00Z</cp:lastPrinted>
  <dcterms:modified xsi:type="dcterms:W3CDTF">2026-01-30T16:59:41Z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2052-12.1.0.17900</vt:lpwstr>
  </property>
  <property fmtid="{D5CDD505-2E9C-101B-9397-08002B2CF9AE}" pid="3" name="ICV">
    <vt:lpwstr>76ED47626871C43554897169A6A4423B_43</vt:lpwstr>
  </property>
  <property fmtid="{D5CDD505-2E9C-101B-9397-08002B2CF9AE}" pid="4" name="KSOTemplateDocerSaveRecord">
    <vt:lpwstr>eyJoZGlkIjoiMzEwNTM5NzYwMDRjMzkwZTVkZjY2ODkwMGIxNGU0OTUiLCJ1c2VySWQiOiI0NzI3NzQyNDQifQ==</vt:lpwstr>
  </property>
</Properties>
</file>