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A0092">
      <w:pPr>
        <w:adjustRightInd w:val="0"/>
        <w:snapToGrid w:val="0"/>
        <w:ind w:firstLine="0" w:firstLineChars="0"/>
        <w:jc w:val="center"/>
        <w:rPr>
          <w:rFonts w:hint="eastAsia" w:ascii="楷体_GB2312" w:hAnsi="楷体_GB2312" w:eastAsia="楷体_GB2312" w:cs="楷体_GB2312"/>
          <w:b/>
          <w:bCs/>
          <w:highlight w:val="none"/>
        </w:rPr>
      </w:pPr>
      <w:r>
        <w:rPr>
          <w:rFonts w:hint="eastAsia" w:ascii="楷体_GB2312" w:hAnsi="楷体_GB2312" w:eastAsia="楷体_GB2312" w:cs="楷体_GB2312"/>
          <w:b/>
          <w:bCs/>
          <w:highlight w:val="none"/>
        </w:rPr>
        <w:t>第X/2026号经济发展局规范性文件</w:t>
      </w:r>
    </w:p>
    <w:p w14:paraId="1D8D8403">
      <w:pPr>
        <w:pStyle w:val="22"/>
        <w:rPr>
          <w:highlight w:val="none"/>
        </w:rPr>
      </w:pPr>
      <w:r>
        <w:rPr>
          <w:highlight w:val="none"/>
        </w:rPr>
        <w:t>横琴粤澳深度合作区</w:t>
      </w:r>
      <w:r>
        <w:rPr>
          <w:rFonts w:hint="eastAsia"/>
          <w:highlight w:val="none"/>
        </w:rPr>
        <w:t>支持海外高层次人才创新创业团队实施办法</w:t>
      </w:r>
    </w:p>
    <w:p w14:paraId="254F6940">
      <w:pPr>
        <w:adjustRightInd w:val="0"/>
        <w:snapToGrid w:val="0"/>
        <w:ind w:firstLine="0" w:firstLineChars="0"/>
        <w:jc w:val="center"/>
        <w:rPr>
          <w:rFonts w:cs="Times New Roman Regular"/>
          <w:highlight w:val="none"/>
        </w:rPr>
      </w:pPr>
      <w:r>
        <w:rPr>
          <w:rFonts w:hint="eastAsia" w:ascii="楷体_GB2312" w:hAnsi="楷体_GB2312" w:eastAsia="楷体_GB2312" w:cs="楷体_GB2312"/>
          <w:highlight w:val="none"/>
        </w:rPr>
        <w:t>（公开征求意见稿）</w:t>
      </w:r>
    </w:p>
    <w:p w14:paraId="300871D4">
      <w:pPr>
        <w:rPr>
          <w:rFonts w:cs="Times New Roman Regular"/>
          <w:highlight w:val="none"/>
        </w:rPr>
      </w:pPr>
    </w:p>
    <w:p w14:paraId="27FC84AD">
      <w:pPr>
        <w:adjustRightInd w:val="0"/>
        <w:snapToGrid w:val="0"/>
        <w:jc w:val="center"/>
        <w:rPr>
          <w:rFonts w:hint="eastAsia" w:ascii="黑体" w:hAnsi="黑体" w:eastAsia="黑体" w:cs="黑体"/>
          <w:highlight w:val="none"/>
        </w:rPr>
      </w:pPr>
    </w:p>
    <w:p w14:paraId="631D53EE">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第一条</w:t>
      </w:r>
    </w:p>
    <w:p w14:paraId="5317F718">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制定目的</w:t>
      </w:r>
    </w:p>
    <w:p w14:paraId="65C643BD">
      <w:pPr>
        <w:adjustRightInd w:val="0"/>
        <w:snapToGrid w:val="0"/>
        <w:rPr>
          <w:szCs w:val="32"/>
          <w:highlight w:val="none"/>
        </w:rPr>
      </w:pPr>
    </w:p>
    <w:p w14:paraId="77E5FA14">
      <w:pPr>
        <w:adjustRightInd w:val="0"/>
        <w:snapToGrid w:val="0"/>
        <w:rPr>
          <w:rFonts w:cs="仿宋_GB2312"/>
          <w:color w:val="000000"/>
          <w:kern w:val="0"/>
          <w:szCs w:val="32"/>
          <w:highlight w:val="none"/>
          <w:lang w:bidi="ar"/>
        </w:rPr>
      </w:pPr>
      <w:r>
        <w:rPr>
          <w:rFonts w:hint="eastAsia" w:cs="仿宋_GB2312"/>
          <w:color w:val="000000"/>
          <w:kern w:val="0"/>
          <w:szCs w:val="32"/>
          <w:highlight w:val="none"/>
          <w:lang w:bidi="ar"/>
        </w:rPr>
        <w:t>为落实《横琴粤澳深度合作区支持人才高质量发展若干措施》，发挥“一国两制”制度叠加优势，“澳门+横琴”实施跨境引才工程，引进集聚一批具备较高专业素养、掌握先进科学技术、熟悉国际市场运作的海外高层次人才，通过“澳门研发+横琴转化”联动方式，推动在合作区创办一批科技企业或依托合作区现有企业实现重大科技成果转化落地，特制定本办法。</w:t>
      </w:r>
    </w:p>
    <w:p w14:paraId="7B24B28A">
      <w:pPr>
        <w:adjustRightInd w:val="0"/>
        <w:snapToGrid w:val="0"/>
        <w:ind w:firstLine="0" w:firstLineChars="0"/>
        <w:jc w:val="center"/>
        <w:rPr>
          <w:rFonts w:hint="eastAsia" w:ascii="黑体" w:hAnsi="黑体" w:eastAsia="黑体" w:cs="黑体"/>
          <w:szCs w:val="32"/>
          <w:highlight w:val="none"/>
        </w:rPr>
      </w:pPr>
    </w:p>
    <w:p w14:paraId="70749DF7">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第二条</w:t>
      </w:r>
    </w:p>
    <w:p w14:paraId="57DEB7C1">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定义</w:t>
      </w:r>
    </w:p>
    <w:p w14:paraId="185C5584">
      <w:pPr>
        <w:widowControl/>
        <w:adjustRightInd w:val="0"/>
        <w:snapToGrid w:val="0"/>
        <w:ind w:firstLine="620"/>
        <w:rPr>
          <w:rFonts w:cs="仿宋_GB2312"/>
          <w:spacing w:val="-5"/>
          <w:szCs w:val="32"/>
          <w:highlight w:val="none"/>
        </w:rPr>
      </w:pPr>
    </w:p>
    <w:p w14:paraId="3C7FDF3D">
      <w:pPr>
        <w:widowControl/>
        <w:adjustRightInd w:val="0"/>
        <w:snapToGrid w:val="0"/>
        <w:ind w:firstLine="620"/>
        <w:rPr>
          <w:rFonts w:cs="仿宋_GB2312"/>
          <w:spacing w:val="-5"/>
          <w:szCs w:val="32"/>
          <w:highlight w:val="none"/>
        </w:rPr>
      </w:pPr>
      <w:r>
        <w:rPr>
          <w:rFonts w:hint="eastAsia" w:cs="仿宋_GB2312"/>
          <w:spacing w:val="-5"/>
          <w:szCs w:val="32"/>
          <w:highlight w:val="none"/>
        </w:rPr>
        <w:t>为适用本办法，下列用词的定义为：</w:t>
      </w:r>
    </w:p>
    <w:p w14:paraId="5A2D6669">
      <w:pPr>
        <w:widowControl/>
        <w:adjustRightInd w:val="0"/>
        <w:snapToGrid w:val="0"/>
        <w:rPr>
          <w:rFonts w:cs="仿宋_GB2312"/>
          <w:color w:val="000000"/>
          <w:kern w:val="0"/>
          <w:szCs w:val="32"/>
          <w:highlight w:val="none"/>
          <w:lang w:bidi="ar"/>
        </w:rPr>
      </w:pPr>
      <w:r>
        <w:rPr>
          <w:rFonts w:hint="eastAsia" w:cs="仿宋_GB2312"/>
          <w:color w:val="000000"/>
          <w:kern w:val="0"/>
          <w:szCs w:val="32"/>
          <w:highlight w:val="none"/>
          <w:lang w:bidi="ar"/>
        </w:rPr>
        <w:t>（一）海外高层次人才，是指在海外（不含港澳台地区）从事科研、教学、工程技术、管理等工作并取得显著成绩，为国内急需的高级管理人才、高级专业技术人才、学术技术带头人，以及拥有较好产业化开发前景的专利、发明或专有技术的人才。</w:t>
      </w:r>
      <w:r>
        <w:rPr>
          <w:rFonts w:cs="仿宋_GB2312"/>
          <w:color w:val="000000"/>
          <w:kern w:val="0"/>
          <w:szCs w:val="32"/>
          <w:highlight w:val="none"/>
          <w:lang w:bidi="ar"/>
        </w:rPr>
        <w:t>特别地，已入选国家级、省级人才工程的人才，涵盖海外及国内人才</w:t>
      </w:r>
      <w:r>
        <w:rPr>
          <w:rFonts w:hint="eastAsia" w:cs="仿宋_GB2312"/>
          <w:spacing w:val="-8"/>
          <w:szCs w:val="32"/>
          <w:highlight w:val="none"/>
        </w:rPr>
        <w:t>。</w:t>
      </w:r>
    </w:p>
    <w:p w14:paraId="45196E3D">
      <w:pPr>
        <w:widowControl/>
        <w:adjustRightInd w:val="0"/>
        <w:snapToGrid w:val="0"/>
        <w:rPr>
          <w:rFonts w:cs="仿宋_GB2312"/>
          <w:spacing w:val="-2"/>
          <w:szCs w:val="32"/>
          <w:highlight w:val="none"/>
        </w:rPr>
      </w:pPr>
      <w:r>
        <w:rPr>
          <w:rFonts w:hint="eastAsia" w:cs="仿宋_GB2312"/>
          <w:color w:val="000000"/>
          <w:kern w:val="0"/>
          <w:szCs w:val="32"/>
          <w:highlight w:val="none"/>
          <w:lang w:bidi="ar"/>
        </w:rPr>
        <w:t>（二）合作区高层次人才，是指根据第X/2026号</w:t>
      </w:r>
      <w:r>
        <w:rPr>
          <w:rFonts w:hint="eastAsia" w:cs="仿宋_GB2312"/>
          <w:color w:val="000000"/>
          <w:kern w:val="0"/>
          <w:szCs w:val="32"/>
          <w:highlight w:val="none"/>
          <w:lang w:eastAsia="zh-CN" w:bidi="ar"/>
        </w:rPr>
        <w:t>经济发展局</w:t>
      </w:r>
      <w:r>
        <w:rPr>
          <w:rFonts w:hint="eastAsia" w:cs="仿宋_GB2312"/>
          <w:spacing w:val="-2"/>
          <w:szCs w:val="32"/>
          <w:highlight w:val="none"/>
        </w:rPr>
        <w:t>规范性文件《横琴粤澳深度合作区高层次人才评价认定办法》所评定的杰出人才、领军人才、拔尖人才、青年英才。</w:t>
      </w:r>
    </w:p>
    <w:p w14:paraId="29E2421D">
      <w:pPr>
        <w:widowControl/>
        <w:adjustRightInd w:val="0"/>
        <w:snapToGrid w:val="0"/>
        <w:ind w:firstLine="632"/>
        <w:rPr>
          <w:rFonts w:cs="仿宋_GB2312"/>
          <w:spacing w:val="-2"/>
          <w:szCs w:val="32"/>
          <w:highlight w:val="none"/>
        </w:rPr>
      </w:pPr>
      <w:r>
        <w:rPr>
          <w:rFonts w:hint="eastAsia" w:cs="仿宋_GB2312"/>
          <w:spacing w:val="-2"/>
          <w:szCs w:val="32"/>
          <w:highlight w:val="none"/>
        </w:rPr>
        <w:t>（三）在合作区实际就业创业，是指海外高层次人才在合作区用人单位就业或在合作区创办企业，依法在合作区缴纳社会保险、个人所得税、企业所得税。</w:t>
      </w:r>
    </w:p>
    <w:p w14:paraId="259CB88E">
      <w:pPr>
        <w:widowControl/>
        <w:adjustRightInd w:val="0"/>
        <w:snapToGrid w:val="0"/>
        <w:ind w:firstLine="632"/>
        <w:rPr>
          <w:rFonts w:cs="仿宋_GB2312"/>
          <w:spacing w:val="-2"/>
          <w:szCs w:val="32"/>
          <w:highlight w:val="none"/>
        </w:rPr>
      </w:pPr>
      <w:r>
        <w:rPr>
          <w:rFonts w:hint="eastAsia" w:cs="仿宋_GB2312"/>
          <w:spacing w:val="-2"/>
          <w:szCs w:val="32"/>
          <w:highlight w:val="none"/>
        </w:rPr>
        <w:t>（四）离岸创新平台，是指合作区用人单位单独或者联合境内外高校院所和企业在澳门及境外建设运营的研发中心、孵化基地、人才交流基地等平台。</w:t>
      </w:r>
    </w:p>
    <w:p w14:paraId="63341ED4">
      <w:pPr>
        <w:adjustRightInd w:val="0"/>
        <w:snapToGrid w:val="0"/>
        <w:rPr>
          <w:rFonts w:hint="eastAsia" w:ascii="黑体" w:hAnsi="黑体" w:eastAsia="黑体" w:cs="黑体"/>
          <w:szCs w:val="32"/>
          <w:highlight w:val="none"/>
        </w:rPr>
      </w:pPr>
      <w:r>
        <w:rPr>
          <w:rFonts w:hint="eastAsia"/>
          <w:szCs w:val="32"/>
          <w:highlight w:val="none"/>
        </w:rPr>
        <w:t>（五）本办法所指金额的币种，均为人民币。</w:t>
      </w:r>
    </w:p>
    <w:p w14:paraId="09279929">
      <w:pPr>
        <w:adjustRightInd w:val="0"/>
        <w:snapToGrid w:val="0"/>
        <w:ind w:firstLine="0" w:firstLineChars="0"/>
        <w:jc w:val="center"/>
        <w:rPr>
          <w:rFonts w:hint="eastAsia" w:ascii="黑体" w:hAnsi="黑体" w:eastAsia="黑体" w:cs="黑体"/>
          <w:szCs w:val="32"/>
          <w:highlight w:val="none"/>
        </w:rPr>
      </w:pPr>
    </w:p>
    <w:p w14:paraId="6EFD6819">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第三条</w:t>
      </w:r>
    </w:p>
    <w:p w14:paraId="041CCFF8">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适用对象</w:t>
      </w:r>
    </w:p>
    <w:p w14:paraId="721EA37B">
      <w:pPr>
        <w:adjustRightInd w:val="0"/>
        <w:snapToGrid w:val="0"/>
        <w:rPr>
          <w:rFonts w:hint="eastAsia" w:ascii="仿宋_GB2312" w:hAnsi="仿宋_GB2312" w:cs="仿宋_GB2312"/>
          <w:szCs w:val="32"/>
          <w:highlight w:val="none"/>
        </w:rPr>
      </w:pPr>
    </w:p>
    <w:p w14:paraId="05CFD7F9">
      <w:pPr>
        <w:adjustRightInd w:val="0"/>
        <w:snapToGrid w:val="0"/>
        <w:rPr>
          <w:rFonts w:hint="eastAsia" w:ascii="仿宋_GB2312" w:hAnsi="仿宋_GB2312" w:cs="仿宋_GB2312"/>
          <w:szCs w:val="32"/>
          <w:highlight w:val="none"/>
        </w:rPr>
      </w:pPr>
      <w:r>
        <w:rPr>
          <w:rFonts w:hint="eastAsia" w:ascii="仿宋_GB2312" w:hAnsi="仿宋_GB2312" w:cs="仿宋_GB2312"/>
          <w:szCs w:val="32"/>
          <w:highlight w:val="none"/>
        </w:rPr>
        <w:t>本办法适用于合作区</w:t>
      </w:r>
      <w:r>
        <w:rPr>
          <w:rFonts w:hint="eastAsia" w:ascii="仿宋_GB2312" w:hAnsi="仿宋_GB2312" w:cs="仿宋_GB2312"/>
          <w:szCs w:val="32"/>
          <w:highlight w:val="none"/>
          <w:lang w:val="en-US" w:eastAsia="zh-CN"/>
        </w:rPr>
        <w:t>与</w:t>
      </w:r>
      <w:r>
        <w:rPr>
          <w:rFonts w:hint="eastAsia" w:ascii="仿宋_GB2312" w:hAnsi="仿宋_GB2312" w:cs="仿宋_GB2312"/>
          <w:szCs w:val="32"/>
          <w:highlight w:val="none"/>
        </w:rPr>
        <w:t>澳门引进</w:t>
      </w:r>
      <w:r>
        <w:rPr>
          <w:rFonts w:hint="eastAsia" w:ascii="仿宋_GB2312" w:hAnsi="仿宋_GB2312" w:cs="仿宋_GB2312"/>
          <w:szCs w:val="32"/>
          <w:highlight w:val="none"/>
          <w:lang w:val="en-US" w:eastAsia="zh-CN"/>
        </w:rPr>
        <w:t>的海外高层次人才创新创业项目，以及</w:t>
      </w:r>
      <w:r>
        <w:rPr>
          <w:rFonts w:hint="eastAsia" w:cs="仿宋_GB2312"/>
          <w:spacing w:val="-2"/>
          <w:szCs w:val="32"/>
          <w:highlight w:val="none"/>
        </w:rPr>
        <w:t>合作区用人单位建设运营的</w:t>
      </w:r>
      <w:r>
        <w:rPr>
          <w:rFonts w:hint="eastAsia" w:ascii="仿宋_GB2312" w:hAnsi="仿宋_GB2312" w:cs="仿宋_GB2312"/>
          <w:szCs w:val="32"/>
          <w:highlight w:val="none"/>
          <w:lang w:val="en-US" w:eastAsia="zh-CN"/>
        </w:rPr>
        <w:t>离岸创新平台</w:t>
      </w:r>
      <w:r>
        <w:rPr>
          <w:rFonts w:hint="eastAsia" w:ascii="仿宋_GB2312" w:hAnsi="仿宋_GB2312" w:cs="仿宋_GB2312"/>
          <w:szCs w:val="32"/>
          <w:highlight w:val="none"/>
        </w:rPr>
        <w:t>。</w:t>
      </w:r>
    </w:p>
    <w:p w14:paraId="500C6DBF">
      <w:pPr>
        <w:adjustRightInd w:val="0"/>
        <w:snapToGrid w:val="0"/>
        <w:ind w:firstLine="0" w:firstLineChars="0"/>
        <w:jc w:val="both"/>
        <w:rPr>
          <w:rFonts w:hint="eastAsia" w:ascii="黑体" w:hAnsi="黑体" w:eastAsia="黑体" w:cs="黑体"/>
          <w:szCs w:val="32"/>
          <w:highlight w:val="none"/>
        </w:rPr>
      </w:pPr>
    </w:p>
    <w:p w14:paraId="3798345E">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第四条</w:t>
      </w:r>
    </w:p>
    <w:p w14:paraId="39E7BAFB">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支持方式和标准</w:t>
      </w:r>
    </w:p>
    <w:p w14:paraId="0D3EB449">
      <w:pPr>
        <w:adjustRightInd w:val="0"/>
        <w:snapToGrid w:val="0"/>
        <w:ind w:firstLine="0" w:firstLineChars="0"/>
        <w:rPr>
          <w:rFonts w:hint="eastAsia" w:ascii="黑体" w:hAnsi="黑体" w:eastAsia="黑体" w:cs="黑体"/>
          <w:szCs w:val="32"/>
          <w:highlight w:val="none"/>
        </w:rPr>
      </w:pPr>
    </w:p>
    <w:p w14:paraId="63CFA4BB">
      <w:pPr>
        <w:adjustRightInd w:val="0"/>
        <w:snapToGrid w:val="0"/>
        <w:rPr>
          <w:rFonts w:ascii="Times New Roman Regular" w:hAnsi="Times New Roman Regular" w:cs="Times New Roman Regular"/>
          <w:szCs w:val="32"/>
          <w:highlight w:val="none"/>
        </w:rPr>
      </w:pPr>
      <w:r>
        <w:rPr>
          <w:rFonts w:hint="eastAsia" w:ascii="Times New Roman Regular" w:hAnsi="Times New Roman Regular" w:cs="Times New Roman Regular"/>
          <w:szCs w:val="32"/>
          <w:highlight w:val="none"/>
        </w:rPr>
        <w:t>支持海外高层次人才通过“澳门研发+横琴转化”联动方式，在合作区创办一批科技企业或依托合作区现有企业实现重大科技成果转化落地。</w:t>
      </w:r>
    </w:p>
    <w:p w14:paraId="7B60633B">
      <w:pPr>
        <w:adjustRightInd w:val="0"/>
        <w:snapToGrid w:val="0"/>
        <w:rPr>
          <w:rFonts w:ascii="Times New Roman Regular" w:hAnsi="Times New Roman Regular" w:cs="Times New Roman Regular"/>
          <w:szCs w:val="32"/>
          <w:highlight w:val="none"/>
        </w:rPr>
      </w:pPr>
      <w:r>
        <w:rPr>
          <w:rFonts w:hint="eastAsia" w:ascii="Times New Roman Regular" w:hAnsi="Times New Roman Regular" w:cs="Times New Roman Regular"/>
          <w:szCs w:val="32"/>
          <w:highlight w:val="none"/>
        </w:rPr>
        <w:t>对经评审认定的海外高层次人才创新创业项目，采取财政资金资助和股权投资联动的方式给予支持。给予单个海外高层次人才创新创业项目最高一千万元的财政资金资助，实施“前置审批、落地执行”模式，实现“人才一落地、资金就到位、项目即启动”良好开局。</w:t>
      </w:r>
    </w:p>
    <w:p w14:paraId="58D71DD4">
      <w:pPr>
        <w:adjustRightInd w:val="0"/>
        <w:snapToGrid w:val="0"/>
        <w:rPr>
          <w:rFonts w:ascii="Times New Roman Regular" w:hAnsi="Times New Roman Regular" w:cs="Times New Roman Regular"/>
          <w:szCs w:val="32"/>
          <w:highlight w:val="none"/>
        </w:rPr>
      </w:pPr>
      <w:r>
        <w:rPr>
          <w:rFonts w:hint="eastAsia"/>
          <w:szCs w:val="32"/>
          <w:highlight w:val="none"/>
        </w:rPr>
        <w:t>对合作区</w:t>
      </w:r>
      <w:r>
        <w:rPr>
          <w:rFonts w:hint="eastAsia" w:ascii="Times New Roman Regular" w:hAnsi="Times New Roman Regular" w:cs="Times New Roman Regular"/>
          <w:szCs w:val="32"/>
          <w:highlight w:val="none"/>
        </w:rPr>
        <w:t>海外高层次人才创新创业项目的</w:t>
      </w:r>
      <w:r>
        <w:rPr>
          <w:rFonts w:hint="eastAsia" w:ascii="Times New Roman Regular" w:hAnsi="Times New Roman Regular" w:cs="Times New Roman Regular"/>
          <w:szCs w:val="32"/>
          <w:highlight w:val="none"/>
          <w:lang w:val="en-US" w:eastAsia="zh-CN"/>
        </w:rPr>
        <w:t>项目负责人</w:t>
      </w:r>
      <w:r>
        <w:rPr>
          <w:rFonts w:ascii="Times New Roman Regular" w:hAnsi="Times New Roman Regular" w:cs="Times New Roman Regular"/>
          <w:szCs w:val="32"/>
          <w:highlight w:val="none"/>
        </w:rPr>
        <w:t>，</w:t>
      </w:r>
      <w:bookmarkStart w:id="0" w:name="_Hlk213173783"/>
      <w:bookmarkStart w:id="1" w:name="_Hlk213419982"/>
      <w:r>
        <w:rPr>
          <w:rFonts w:hint="eastAsia" w:ascii="Times New Roman Regular" w:hAnsi="Times New Roman Regular" w:cs="Times New Roman Regular"/>
          <w:szCs w:val="32"/>
          <w:highlight w:val="none"/>
        </w:rPr>
        <w:t>合作区人才主管部门协助其申请澳门特区</w:t>
      </w:r>
      <w:bookmarkEnd w:id="0"/>
      <w:bookmarkEnd w:id="1"/>
      <w:r>
        <w:rPr>
          <w:rFonts w:hint="eastAsia" w:ascii="Times New Roman Regular" w:hAnsi="Times New Roman Regular" w:cs="Times New Roman Regular"/>
          <w:szCs w:val="32"/>
          <w:highlight w:val="none"/>
        </w:rPr>
        <w:t>政府相关支持政策。</w:t>
      </w:r>
    </w:p>
    <w:p w14:paraId="632FA96B">
      <w:pPr>
        <w:adjustRightInd w:val="0"/>
        <w:snapToGrid w:val="0"/>
        <w:rPr>
          <w:rFonts w:ascii="Times New Roman Regular" w:hAnsi="Times New Roman Regular" w:cs="Times New Roman Regular"/>
          <w:szCs w:val="32"/>
          <w:highlight w:val="none"/>
        </w:rPr>
      </w:pPr>
    </w:p>
    <w:p w14:paraId="359B4E5C">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第五条</w:t>
      </w:r>
    </w:p>
    <w:p w14:paraId="2B4214EF">
      <w:pPr>
        <w:adjustRightInd w:val="0"/>
        <w:snapToGrid w:val="0"/>
        <w:ind w:firstLine="0" w:firstLineChars="0"/>
        <w:jc w:val="center"/>
        <w:rPr>
          <w:rFonts w:hint="default" w:ascii="黑体" w:hAnsi="黑体" w:eastAsia="黑体" w:cs="黑体"/>
          <w:szCs w:val="32"/>
          <w:highlight w:val="none"/>
          <w:lang w:val="en-US" w:eastAsia="zh-CN"/>
        </w:rPr>
      </w:pPr>
      <w:r>
        <w:rPr>
          <w:rFonts w:hint="eastAsia" w:ascii="黑体" w:hAnsi="黑体" w:eastAsia="黑体" w:cs="黑体"/>
          <w:szCs w:val="32"/>
          <w:highlight w:val="none"/>
          <w:lang w:val="en-US" w:eastAsia="zh-CN"/>
        </w:rPr>
        <w:t>海外高层次人才的资格说明</w:t>
      </w:r>
    </w:p>
    <w:p w14:paraId="3A559E67">
      <w:pPr>
        <w:adjustRightInd w:val="0"/>
        <w:snapToGrid w:val="0"/>
        <w:rPr>
          <w:rFonts w:hint="eastAsia" w:ascii="黑体" w:hAnsi="黑体" w:eastAsia="黑体" w:cs="黑体"/>
          <w:szCs w:val="32"/>
          <w:highlight w:val="none"/>
        </w:rPr>
      </w:pPr>
    </w:p>
    <w:p w14:paraId="6073566C">
      <w:pPr>
        <w:adjustRightInd w:val="0"/>
        <w:snapToGrid w:val="0"/>
        <w:rPr>
          <w:rFonts w:hint="eastAsia" w:ascii="仿宋_GB2312" w:hAnsi="仿宋_GB2312" w:cs="仿宋_GB2312"/>
          <w:szCs w:val="32"/>
          <w:highlight w:val="none"/>
        </w:rPr>
      </w:pPr>
      <w:r>
        <w:rPr>
          <w:rFonts w:hint="eastAsia" w:ascii="仿宋_GB2312" w:hAnsi="仿宋_GB2312" w:cs="仿宋_GB2312"/>
          <w:szCs w:val="32"/>
          <w:highlight w:val="none"/>
          <w:lang w:val="en-US" w:eastAsia="zh-CN"/>
        </w:rPr>
        <w:t>海外高层次人才须</w:t>
      </w:r>
      <w:r>
        <w:rPr>
          <w:rFonts w:hint="eastAsia" w:ascii="仿宋_GB2312" w:hAnsi="仿宋_GB2312" w:cs="仿宋_GB2312"/>
          <w:szCs w:val="32"/>
          <w:highlight w:val="none"/>
        </w:rPr>
        <w:t>符合下列</w:t>
      </w:r>
      <w:r>
        <w:rPr>
          <w:rFonts w:hint="eastAsia" w:ascii="仿宋_GB2312" w:hAnsi="仿宋_GB2312" w:cs="仿宋_GB2312"/>
          <w:szCs w:val="32"/>
          <w:highlight w:val="none"/>
          <w:lang w:val="en-US" w:eastAsia="zh-CN"/>
        </w:rPr>
        <w:t>资格</w:t>
      </w:r>
      <w:r>
        <w:rPr>
          <w:rFonts w:hint="eastAsia" w:ascii="仿宋_GB2312" w:hAnsi="仿宋_GB2312" w:cs="仿宋_GB2312"/>
          <w:szCs w:val="32"/>
          <w:highlight w:val="none"/>
        </w:rPr>
        <w:t>之一：</w:t>
      </w:r>
    </w:p>
    <w:p w14:paraId="522871F1">
      <w:pPr>
        <w:adjustRightInd w:val="0"/>
        <w:snapToGrid w:val="0"/>
        <w:rPr>
          <w:rFonts w:ascii="Times New Roman Regular" w:hAnsi="Times New Roman Regular" w:cs="Times New Roman Regular"/>
          <w:szCs w:val="32"/>
          <w:highlight w:val="none"/>
        </w:rPr>
      </w:pPr>
      <w:r>
        <w:rPr>
          <w:rFonts w:ascii="Times New Roman Regular" w:hAnsi="Times New Roman Regular" w:cs="Times New Roman Regular"/>
          <w:szCs w:val="32"/>
          <w:highlight w:val="none"/>
        </w:rPr>
        <w:t>（一）对经合作区参照澳门特区第7/2023号法律《人才引进法律制度》标准认定的高端人才、优秀人才</w:t>
      </w:r>
      <w:r>
        <w:rPr>
          <w:rFonts w:hint="eastAsia" w:ascii="Times New Roman Regular" w:hAnsi="Times New Roman Regular" w:cs="Times New Roman Regular"/>
          <w:szCs w:val="32"/>
          <w:highlight w:val="none"/>
          <w:lang w:eastAsia="zh-CN"/>
        </w:rPr>
        <w:t>；</w:t>
      </w:r>
    </w:p>
    <w:p w14:paraId="7ADAE8B6">
      <w:pPr>
        <w:adjustRightInd w:val="0"/>
        <w:snapToGrid w:val="0"/>
        <w:rPr>
          <w:rFonts w:ascii="Times New Roman Regular" w:hAnsi="Times New Roman Regular" w:cs="Times New Roman Regular"/>
          <w:szCs w:val="32"/>
          <w:highlight w:val="none"/>
        </w:rPr>
      </w:pPr>
      <w:r>
        <w:rPr>
          <w:rFonts w:hint="eastAsia" w:ascii="Times New Roman Regular" w:hAnsi="Times New Roman Regular" w:cs="Times New Roman Regular"/>
          <w:szCs w:val="32"/>
          <w:highlight w:val="none"/>
        </w:rPr>
        <w:t>（二）</w:t>
      </w:r>
      <w:r>
        <w:rPr>
          <w:rFonts w:hint="eastAsia" w:cs="仿宋_GB2312"/>
          <w:spacing w:val="-8"/>
          <w:szCs w:val="32"/>
          <w:highlight w:val="none"/>
        </w:rPr>
        <w:t>已入选国家级、省级人才工程的人才</w:t>
      </w:r>
      <w:r>
        <w:rPr>
          <w:rFonts w:hint="eastAsia" w:cs="仿宋_GB2312"/>
          <w:spacing w:val="-8"/>
          <w:szCs w:val="32"/>
          <w:highlight w:val="none"/>
          <w:lang w:eastAsia="zh-CN"/>
        </w:rPr>
        <w:t>；</w:t>
      </w:r>
    </w:p>
    <w:p w14:paraId="00DF902D">
      <w:pPr>
        <w:adjustRightInd w:val="0"/>
        <w:snapToGrid w:val="0"/>
        <w:rPr>
          <w:rFonts w:ascii="Times New Roman Regular" w:hAnsi="Times New Roman Regular" w:cs="Times New Roman Regular"/>
          <w:szCs w:val="32"/>
          <w:highlight w:val="none"/>
        </w:rPr>
      </w:pPr>
      <w:r>
        <w:rPr>
          <w:rFonts w:ascii="Times New Roman Regular" w:hAnsi="Times New Roman Regular" w:cs="Times New Roman Regular"/>
          <w:szCs w:val="32"/>
          <w:highlight w:val="none"/>
        </w:rPr>
        <w:t>（三）</w:t>
      </w:r>
      <w:r>
        <w:rPr>
          <w:rFonts w:hint="eastAsia" w:ascii="Times New Roman Regular" w:hAnsi="Times New Roman Regular" w:cs="Times New Roman Regular"/>
          <w:szCs w:val="32"/>
          <w:highlight w:val="none"/>
        </w:rPr>
        <w:t>符合</w:t>
      </w:r>
      <w:r>
        <w:rPr>
          <w:rFonts w:ascii="Times New Roman Regular" w:hAnsi="Times New Roman Regular" w:cs="Times New Roman Regular"/>
          <w:szCs w:val="32"/>
          <w:highlight w:val="none"/>
        </w:rPr>
        <w:t>第X/202</w:t>
      </w:r>
      <w:r>
        <w:rPr>
          <w:rFonts w:hint="eastAsia" w:ascii="Times New Roman Regular" w:hAnsi="Times New Roman Regular" w:cs="Times New Roman Regular"/>
          <w:szCs w:val="32"/>
          <w:highlight w:val="none"/>
        </w:rPr>
        <w:t>6</w:t>
      </w:r>
      <w:r>
        <w:rPr>
          <w:rFonts w:ascii="Times New Roman Regular" w:hAnsi="Times New Roman Regular" w:cs="Times New Roman Regular"/>
          <w:szCs w:val="32"/>
          <w:highlight w:val="none"/>
        </w:rPr>
        <w:t>号</w:t>
      </w:r>
      <w:r>
        <w:rPr>
          <w:rFonts w:hint="eastAsia" w:ascii="Times New Roman Regular" w:hAnsi="Times New Roman Regular" w:cs="Times New Roman Regular"/>
          <w:szCs w:val="32"/>
          <w:highlight w:val="none"/>
          <w:lang w:eastAsia="zh-CN"/>
        </w:rPr>
        <w:t>经济发展局</w:t>
      </w:r>
      <w:bookmarkStart w:id="4" w:name="_GoBack"/>
      <w:bookmarkEnd w:id="4"/>
      <w:r>
        <w:rPr>
          <w:rFonts w:ascii="Times New Roman Regular" w:hAnsi="Times New Roman Regular" w:cs="Times New Roman Regular"/>
          <w:szCs w:val="32"/>
          <w:highlight w:val="none"/>
        </w:rPr>
        <w:t>规范性文件《横琴粤澳深度合作区高层次人才</w:t>
      </w:r>
      <w:r>
        <w:rPr>
          <w:rFonts w:hint="eastAsia" w:ascii="Times New Roman Regular" w:hAnsi="Times New Roman Regular" w:cs="Times New Roman Regular"/>
          <w:szCs w:val="32"/>
          <w:highlight w:val="none"/>
        </w:rPr>
        <w:t>评价认定</w:t>
      </w:r>
      <w:r>
        <w:rPr>
          <w:rFonts w:ascii="Times New Roman Regular" w:hAnsi="Times New Roman Regular" w:cs="Times New Roman Regular"/>
          <w:szCs w:val="32"/>
          <w:highlight w:val="none"/>
        </w:rPr>
        <w:t>办法》“杰出人才”“领军人才”“拔尖人才”“青年英才”</w:t>
      </w:r>
      <w:r>
        <w:rPr>
          <w:rFonts w:hint="eastAsia" w:ascii="Times New Roman Regular" w:hAnsi="Times New Roman Regular" w:cs="Times New Roman Regular"/>
          <w:szCs w:val="32"/>
          <w:highlight w:val="none"/>
        </w:rPr>
        <w:t>的</w:t>
      </w:r>
      <w:r>
        <w:rPr>
          <w:rFonts w:ascii="Times New Roman Regular" w:hAnsi="Times New Roman Regular" w:cs="Times New Roman Regular"/>
          <w:szCs w:val="32"/>
          <w:highlight w:val="none"/>
        </w:rPr>
        <w:t>条件之一</w:t>
      </w:r>
      <w:r>
        <w:rPr>
          <w:rFonts w:hint="eastAsia" w:ascii="Times New Roman Regular" w:hAnsi="Times New Roman Regular" w:cs="Times New Roman Regular"/>
          <w:szCs w:val="32"/>
          <w:highlight w:val="none"/>
        </w:rPr>
        <w:t>，</w:t>
      </w:r>
      <w:r>
        <w:rPr>
          <w:rFonts w:ascii="Times New Roman Regular" w:hAnsi="Times New Roman Regular" w:cs="Times New Roman Regular"/>
          <w:szCs w:val="32"/>
          <w:highlight w:val="none"/>
        </w:rPr>
        <w:t>尚未在合作区实际就业创业，截止申请日回国时间不超过两年或仍在海外工作。</w:t>
      </w:r>
    </w:p>
    <w:p w14:paraId="6BD06128">
      <w:pPr>
        <w:adjustRightInd w:val="0"/>
        <w:snapToGrid w:val="0"/>
        <w:rPr>
          <w:rFonts w:ascii="Times New Roman Regular" w:hAnsi="Times New Roman Regular" w:cs="Times New Roman Regular"/>
          <w:szCs w:val="32"/>
          <w:highlight w:val="none"/>
        </w:rPr>
      </w:pPr>
    </w:p>
    <w:p w14:paraId="3E7BFCA8">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第六条</w:t>
      </w:r>
    </w:p>
    <w:p w14:paraId="4CCD1E80">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海外高层次人才创新创业项目财政资金资助的申请条件</w:t>
      </w:r>
    </w:p>
    <w:p w14:paraId="7B4877D6">
      <w:pPr>
        <w:adjustRightInd w:val="0"/>
        <w:snapToGrid w:val="0"/>
        <w:rPr>
          <w:rFonts w:ascii="Times New Roman Regular" w:hAnsi="Times New Roman Regular" w:cs="Times New Roman Regular"/>
          <w:szCs w:val="32"/>
          <w:highlight w:val="none"/>
        </w:rPr>
      </w:pPr>
    </w:p>
    <w:p w14:paraId="60FD6AF1">
      <w:pPr>
        <w:adjustRightInd w:val="0"/>
        <w:snapToGrid w:val="0"/>
        <w:rPr>
          <w:rFonts w:ascii="Times New Roman Regular" w:hAnsi="Times New Roman Regular" w:cs="Times New Roman Regular"/>
          <w:szCs w:val="32"/>
          <w:highlight w:val="none"/>
        </w:rPr>
      </w:pPr>
      <w:r>
        <w:rPr>
          <w:rFonts w:hint="eastAsia" w:ascii="Times New Roman Regular" w:hAnsi="Times New Roman Regular" w:cs="Times New Roman Regular"/>
          <w:szCs w:val="32"/>
          <w:highlight w:val="none"/>
        </w:rPr>
        <w:t>申请</w:t>
      </w:r>
      <w:bookmarkStart w:id="2" w:name="_Hlk212381745"/>
      <w:r>
        <w:rPr>
          <w:rFonts w:hint="eastAsia" w:ascii="Times New Roman Regular" w:hAnsi="Times New Roman Regular" w:cs="Times New Roman Regular"/>
          <w:szCs w:val="32"/>
          <w:highlight w:val="none"/>
        </w:rPr>
        <w:t>海外高层次人才创新创业项目</w:t>
      </w:r>
      <w:r>
        <w:rPr>
          <w:rFonts w:ascii="Times New Roman Regular" w:hAnsi="Times New Roman Regular" w:cs="Times New Roman Regular"/>
          <w:szCs w:val="32"/>
          <w:highlight w:val="none"/>
        </w:rPr>
        <w:t>财政资金资助</w:t>
      </w:r>
      <w:bookmarkEnd w:id="2"/>
      <w:r>
        <w:rPr>
          <w:rFonts w:ascii="Times New Roman Regular" w:hAnsi="Times New Roman Regular" w:cs="Times New Roman Regular"/>
          <w:szCs w:val="32"/>
          <w:highlight w:val="none"/>
        </w:rPr>
        <w:t>应当符合以下全部申请条件：</w:t>
      </w:r>
    </w:p>
    <w:p w14:paraId="3997D2C2">
      <w:pPr>
        <w:adjustRightInd w:val="0"/>
        <w:snapToGrid w:val="0"/>
        <w:rPr>
          <w:rFonts w:hint="eastAsia" w:ascii="Times New Roman Regular" w:hAnsi="Times New Roman Regular" w:eastAsia="仿宋_GB2312" w:cs="Times New Roman Regular"/>
          <w:szCs w:val="32"/>
          <w:highlight w:val="none"/>
          <w:lang w:eastAsia="zh-CN"/>
        </w:rPr>
      </w:pPr>
      <w:r>
        <w:rPr>
          <w:rFonts w:hint="eastAsia" w:ascii="Times New Roman Regular" w:hAnsi="Times New Roman Regular" w:cs="Times New Roman Regular"/>
          <w:szCs w:val="32"/>
          <w:highlight w:val="none"/>
        </w:rPr>
        <w:t>（一）项目负责人须符合</w:t>
      </w:r>
      <w:r>
        <w:rPr>
          <w:rFonts w:hint="eastAsia" w:ascii="Times New Roman Regular" w:hAnsi="Times New Roman Regular" w:cs="Times New Roman Regular"/>
          <w:szCs w:val="32"/>
          <w:highlight w:val="none"/>
          <w:lang w:val="en-US" w:eastAsia="zh-CN"/>
        </w:rPr>
        <w:t>本办法</w:t>
      </w:r>
      <w:r>
        <w:rPr>
          <w:rFonts w:hint="eastAsia" w:ascii="Times New Roman Regular" w:hAnsi="Times New Roman Regular" w:cs="Times New Roman Regular"/>
          <w:szCs w:val="32"/>
          <w:highlight w:val="none"/>
        </w:rPr>
        <w:t>第五条所列条件</w:t>
      </w:r>
      <w:r>
        <w:rPr>
          <w:rFonts w:hint="eastAsia" w:ascii="Times New Roman Regular" w:hAnsi="Times New Roman Regular" w:cs="Times New Roman Regular"/>
          <w:szCs w:val="32"/>
          <w:highlight w:val="none"/>
          <w:lang w:eastAsia="zh-CN"/>
        </w:rPr>
        <w:t>；</w:t>
      </w:r>
    </w:p>
    <w:p w14:paraId="3EEC4FC5">
      <w:pPr>
        <w:pStyle w:val="45"/>
        <w:rPr>
          <w:rFonts w:hint="eastAsia" w:eastAsia="仿宋_GB2312"/>
          <w:szCs w:val="32"/>
          <w:highlight w:val="none"/>
          <w:lang w:eastAsia="zh-CN"/>
        </w:rPr>
      </w:pPr>
      <w:r>
        <w:rPr>
          <w:rFonts w:hint="eastAsia" w:ascii="Times New Roman Regular" w:hAnsi="Times New Roman Regular" w:cs="Times New Roman Regular"/>
          <w:szCs w:val="32"/>
          <w:highlight w:val="none"/>
        </w:rPr>
        <w:t>（二）</w:t>
      </w:r>
      <w:r>
        <w:rPr>
          <w:szCs w:val="32"/>
          <w:highlight w:val="none"/>
        </w:rPr>
        <w:t>项目实施原则上应依托澳门科研机构或科技企业开展技术研发工作，通过在合作区新设企业或依托合作区现有企业载体，推动科研成果落地转化。对于国家级、省级人才工程入选者牵头的项目，可根据实际情况豁免依托澳门科研机构或科技企业开展技术研发的相关要求</w:t>
      </w:r>
      <w:r>
        <w:rPr>
          <w:rFonts w:hint="eastAsia"/>
          <w:szCs w:val="32"/>
          <w:highlight w:val="none"/>
          <w:lang w:eastAsia="zh-CN"/>
        </w:rPr>
        <w:t>；</w:t>
      </w:r>
    </w:p>
    <w:p w14:paraId="695AA25F">
      <w:pPr>
        <w:adjustRightInd w:val="0"/>
        <w:snapToGrid w:val="0"/>
        <w:rPr>
          <w:rFonts w:hint="eastAsia" w:eastAsia="仿宋_GB2312"/>
          <w:szCs w:val="32"/>
          <w:highlight w:val="none"/>
          <w:lang w:eastAsia="zh-CN"/>
        </w:rPr>
      </w:pPr>
      <w:r>
        <w:rPr>
          <w:rFonts w:hint="eastAsia"/>
          <w:szCs w:val="32"/>
          <w:highlight w:val="none"/>
        </w:rPr>
        <w:t>（三）申报的项目具有明确研究方向和研究目标，研究领域符合《横琴粤澳深度合作区鼓励类产业目录》所列产业领域，优先支持攻克合作区产业发展急需紧缺的关键核心技术</w:t>
      </w:r>
      <w:r>
        <w:rPr>
          <w:rFonts w:hint="eastAsia"/>
          <w:szCs w:val="32"/>
          <w:highlight w:val="none"/>
          <w:lang w:eastAsia="zh-CN"/>
        </w:rPr>
        <w:t>；</w:t>
      </w:r>
    </w:p>
    <w:p w14:paraId="207BE3BE">
      <w:pPr>
        <w:pStyle w:val="45"/>
        <w:rPr>
          <w:rFonts w:hint="eastAsia" w:eastAsia="仿宋_GB2312"/>
          <w:szCs w:val="32"/>
          <w:highlight w:val="none"/>
          <w:lang w:eastAsia="zh-CN"/>
        </w:rPr>
      </w:pPr>
      <w:r>
        <w:rPr>
          <w:rFonts w:hint="eastAsia"/>
          <w:szCs w:val="32"/>
          <w:highlight w:val="none"/>
        </w:rPr>
        <w:t>（四）申报的项目具有自主知识产权的创新成果，技术水平达到全球领先水平，应当具有良好的产业化前景</w:t>
      </w:r>
      <w:r>
        <w:rPr>
          <w:rFonts w:hint="eastAsia"/>
          <w:szCs w:val="32"/>
          <w:highlight w:val="none"/>
          <w:lang w:eastAsia="zh-CN"/>
        </w:rPr>
        <w:t>；</w:t>
      </w:r>
    </w:p>
    <w:p w14:paraId="577DD169">
      <w:pPr>
        <w:pStyle w:val="45"/>
        <w:rPr>
          <w:rFonts w:hint="eastAsia" w:eastAsia="仿宋_GB2312"/>
          <w:szCs w:val="32"/>
          <w:highlight w:val="none"/>
          <w:lang w:eastAsia="zh-CN"/>
        </w:rPr>
      </w:pPr>
      <w:r>
        <w:rPr>
          <w:rFonts w:hint="eastAsia"/>
          <w:szCs w:val="32"/>
          <w:highlight w:val="none"/>
        </w:rPr>
        <w:t>（五）申报的项目原则上应未获得国家、各省市地方政府以及澳门特区政府科技部门立项资助</w:t>
      </w:r>
      <w:r>
        <w:rPr>
          <w:rFonts w:hint="eastAsia"/>
          <w:szCs w:val="32"/>
          <w:highlight w:val="none"/>
          <w:lang w:eastAsia="zh-CN"/>
        </w:rPr>
        <w:t>；</w:t>
      </w:r>
    </w:p>
    <w:p w14:paraId="64D06B92">
      <w:pPr>
        <w:pStyle w:val="45"/>
        <w:rPr>
          <w:rFonts w:hint="eastAsia" w:eastAsia="仿宋_GB2312"/>
          <w:szCs w:val="32"/>
          <w:highlight w:val="none"/>
          <w:lang w:eastAsia="zh-CN"/>
        </w:rPr>
      </w:pPr>
      <w:r>
        <w:rPr>
          <w:rFonts w:hint="eastAsia"/>
          <w:szCs w:val="32"/>
          <w:highlight w:val="none"/>
        </w:rPr>
        <w:t>（六）</w:t>
      </w:r>
      <w:r>
        <w:rPr>
          <w:rFonts w:hint="eastAsia"/>
          <w:szCs w:val="32"/>
          <w:highlight w:val="none"/>
          <w:lang w:val="en-US" w:eastAsia="zh-CN"/>
        </w:rPr>
        <w:t>项目</w:t>
      </w:r>
      <w:r>
        <w:rPr>
          <w:rFonts w:hint="eastAsia"/>
          <w:szCs w:val="32"/>
          <w:highlight w:val="none"/>
        </w:rPr>
        <w:t>团队成员不少于五人，由</w:t>
      </w:r>
      <w:r>
        <w:rPr>
          <w:rFonts w:hint="eastAsia"/>
          <w:szCs w:val="32"/>
          <w:highlight w:val="none"/>
          <w:lang w:val="en-US" w:eastAsia="zh-CN"/>
        </w:rPr>
        <w:t>项目负责人</w:t>
      </w:r>
      <w:r>
        <w:rPr>
          <w:rFonts w:hint="eastAsia"/>
          <w:szCs w:val="32"/>
          <w:highlight w:val="none"/>
        </w:rPr>
        <w:t>和不少于四名核心成员组成，项目负责人应拥有业内公认的领先技术，团队成员之间已具备良好的合作基础</w:t>
      </w:r>
      <w:r>
        <w:rPr>
          <w:rFonts w:hint="eastAsia"/>
          <w:szCs w:val="32"/>
          <w:highlight w:val="none"/>
          <w:lang w:eastAsia="zh-CN"/>
        </w:rPr>
        <w:t>；</w:t>
      </w:r>
    </w:p>
    <w:p w14:paraId="02355EDB">
      <w:pPr>
        <w:pStyle w:val="45"/>
        <w:rPr>
          <w:szCs w:val="32"/>
          <w:highlight w:val="none"/>
        </w:rPr>
      </w:pPr>
      <w:r>
        <w:rPr>
          <w:rFonts w:hint="eastAsia"/>
          <w:szCs w:val="32"/>
          <w:highlight w:val="none"/>
        </w:rPr>
        <w:t>（七）</w:t>
      </w:r>
      <w:r>
        <w:rPr>
          <w:szCs w:val="32"/>
          <w:highlight w:val="none"/>
        </w:rPr>
        <w:t>项目原则上应处于</w:t>
      </w:r>
      <w:r>
        <w:rPr>
          <w:rFonts w:hint="eastAsia"/>
          <w:szCs w:val="32"/>
          <w:highlight w:val="none"/>
        </w:rPr>
        <w:t>种子期、</w:t>
      </w:r>
      <w:r>
        <w:rPr>
          <w:szCs w:val="32"/>
          <w:highlight w:val="none"/>
        </w:rPr>
        <w:t>初创期，且未接受过直接股权投资。</w:t>
      </w:r>
    </w:p>
    <w:p w14:paraId="0838B831">
      <w:pPr>
        <w:pStyle w:val="45"/>
        <w:ind w:firstLine="0" w:firstLineChars="0"/>
        <w:rPr>
          <w:szCs w:val="32"/>
          <w:highlight w:val="none"/>
        </w:rPr>
      </w:pPr>
    </w:p>
    <w:p w14:paraId="11C45E1A">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第七条</w:t>
      </w:r>
    </w:p>
    <w:p w14:paraId="055F3EEE">
      <w:pPr>
        <w:pStyle w:val="45"/>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海外高层次人才创新创业项目的说明事项</w:t>
      </w:r>
    </w:p>
    <w:p w14:paraId="1F151FCF">
      <w:pPr>
        <w:pStyle w:val="45"/>
        <w:ind w:firstLine="0" w:firstLineChars="0"/>
        <w:rPr>
          <w:rFonts w:hint="eastAsia" w:ascii="黑体" w:hAnsi="黑体" w:eastAsia="黑体" w:cs="黑体"/>
          <w:szCs w:val="32"/>
          <w:highlight w:val="none"/>
        </w:rPr>
      </w:pPr>
    </w:p>
    <w:p w14:paraId="6A87B641">
      <w:pPr>
        <w:pStyle w:val="45"/>
        <w:rPr>
          <w:rFonts w:hint="eastAsia" w:ascii="仿宋_GB2312" w:hAnsi="仿宋_GB2312" w:cs="仿宋_GB2312"/>
          <w:szCs w:val="32"/>
          <w:highlight w:val="none"/>
        </w:rPr>
      </w:pPr>
      <w:r>
        <w:rPr>
          <w:rFonts w:hint="eastAsia" w:ascii="仿宋_GB2312" w:hAnsi="仿宋_GB2312" w:cs="仿宋_GB2312"/>
          <w:szCs w:val="32"/>
          <w:highlight w:val="none"/>
        </w:rPr>
        <w:t>本办法每年支持不超过十个海外高层次人才创新创业项目，合作区人才主管部门可以根据实际情况动态确定支持数量。</w:t>
      </w:r>
    </w:p>
    <w:p w14:paraId="33A2AB58">
      <w:pPr>
        <w:pStyle w:val="45"/>
        <w:ind w:firstLine="648"/>
        <w:rPr>
          <w:rFonts w:hint="eastAsia" w:ascii="仿宋_GB2312" w:hAnsi="仿宋_GB2312" w:cs="仿宋_GB2312"/>
          <w:szCs w:val="32"/>
          <w:highlight w:val="none"/>
        </w:rPr>
      </w:pPr>
      <w:r>
        <w:rPr>
          <w:rFonts w:hint="eastAsia" w:cs="仿宋_GB2312"/>
          <w:spacing w:val="2"/>
          <w:szCs w:val="32"/>
          <w:highlight w:val="none"/>
        </w:rPr>
        <w:t>对于就职于或拟就职于纳入合作区经济发展局“培优”企业清单</w:t>
      </w:r>
      <w:r>
        <w:rPr>
          <w:rFonts w:hint="eastAsia" w:cs="仿宋_GB2312"/>
          <w:spacing w:val="2"/>
          <w:szCs w:val="32"/>
          <w:highlight w:val="none"/>
          <w:lang w:val="en-US" w:eastAsia="zh-CN"/>
        </w:rPr>
        <w:t>中的企业</w:t>
      </w:r>
      <w:r>
        <w:rPr>
          <w:rFonts w:hint="eastAsia" w:cs="仿宋_GB2312"/>
          <w:spacing w:val="2"/>
          <w:szCs w:val="32"/>
          <w:highlight w:val="none"/>
        </w:rPr>
        <w:t>的</w:t>
      </w:r>
      <w:r>
        <w:rPr>
          <w:rFonts w:hint="eastAsia" w:cs="仿宋_GB2312"/>
          <w:spacing w:val="2"/>
          <w:szCs w:val="32"/>
          <w:highlight w:val="none"/>
          <w:lang w:val="en-US" w:eastAsia="zh-CN"/>
        </w:rPr>
        <w:t>项目负责人</w:t>
      </w:r>
      <w:r>
        <w:rPr>
          <w:rFonts w:hint="eastAsia" w:cs="仿宋_GB2312"/>
          <w:spacing w:val="2"/>
          <w:szCs w:val="32"/>
          <w:highlight w:val="none"/>
        </w:rPr>
        <w:t>，其申报的</w:t>
      </w:r>
      <w:r>
        <w:rPr>
          <w:rFonts w:hint="eastAsia" w:ascii="Times New Roman Regular" w:hAnsi="Times New Roman Regular" w:cs="Times New Roman Regular"/>
          <w:szCs w:val="32"/>
          <w:highlight w:val="none"/>
        </w:rPr>
        <w:t>项目</w:t>
      </w:r>
      <w:r>
        <w:rPr>
          <w:rFonts w:hint="eastAsia" w:ascii="仿宋_GB2312" w:hAnsi="仿宋_GB2312" w:cs="仿宋_GB2312"/>
          <w:szCs w:val="32"/>
          <w:highlight w:val="none"/>
        </w:rPr>
        <w:t>符合本办法第六条</w:t>
      </w:r>
      <w:r>
        <w:rPr>
          <w:rFonts w:hint="eastAsia" w:ascii="仿宋_GB2312" w:hAnsi="仿宋_GB2312" w:cs="仿宋_GB2312"/>
          <w:szCs w:val="32"/>
          <w:highlight w:val="none"/>
          <w:lang w:val="en-US" w:eastAsia="zh-CN"/>
        </w:rPr>
        <w:t>申请</w:t>
      </w:r>
      <w:r>
        <w:rPr>
          <w:rFonts w:hint="eastAsia" w:ascii="仿宋_GB2312" w:hAnsi="仿宋_GB2312" w:cs="仿宋_GB2312"/>
          <w:szCs w:val="32"/>
          <w:highlight w:val="none"/>
        </w:rPr>
        <w:t>条件的，择优认定为海外高层次人才创新创业项目并予以资助。</w:t>
      </w:r>
    </w:p>
    <w:p w14:paraId="16C2F8BE">
      <w:pPr>
        <w:pStyle w:val="45"/>
        <w:rPr>
          <w:rFonts w:hint="eastAsia" w:ascii="仿宋_GB2312" w:hAnsi="仿宋_GB2312" w:cs="仿宋_GB2312"/>
          <w:szCs w:val="32"/>
          <w:highlight w:val="none"/>
        </w:rPr>
      </w:pPr>
      <w:r>
        <w:rPr>
          <w:rFonts w:hint="eastAsia" w:ascii="仿宋_GB2312" w:hAnsi="仿宋_GB2312" w:cs="仿宋_GB2312"/>
          <w:szCs w:val="32"/>
          <w:highlight w:val="none"/>
        </w:rPr>
        <w:t>海外高层次人才创新创业项目</w:t>
      </w:r>
      <w:r>
        <w:rPr>
          <w:rFonts w:hint="eastAsia" w:ascii="仿宋_GB2312" w:hAnsi="仿宋_GB2312" w:cs="仿宋_GB2312"/>
          <w:szCs w:val="32"/>
          <w:highlight w:val="none"/>
          <w:lang w:val="en-US" w:eastAsia="zh-CN"/>
        </w:rPr>
        <w:t>财政资金资助通过</w:t>
      </w:r>
      <w:r>
        <w:rPr>
          <w:rFonts w:hint="eastAsia" w:ascii="仿宋_GB2312" w:hAnsi="仿宋_GB2312" w:cs="仿宋_GB2312"/>
          <w:szCs w:val="32"/>
          <w:highlight w:val="none"/>
        </w:rPr>
        <w:t>人才个人直接申请，实施“前置审批、落地执行”模式，待人才在合作区就业或创办企业后，财政资助资金直接拨付到人才所在单位。用人单位负责建设工作平台、落实项目配套等具体工作。</w:t>
      </w:r>
    </w:p>
    <w:p w14:paraId="6B32911B">
      <w:pPr>
        <w:pStyle w:val="45"/>
        <w:rPr>
          <w:rFonts w:hint="eastAsia" w:ascii="仿宋_GB2312" w:hAnsi="仿宋_GB2312" w:cs="仿宋_GB2312"/>
          <w:szCs w:val="32"/>
          <w:highlight w:val="none"/>
        </w:rPr>
      </w:pPr>
      <w:r>
        <w:rPr>
          <w:rFonts w:hint="eastAsia" w:ascii="仿宋_GB2312" w:hAnsi="仿宋_GB2312" w:cs="仿宋_GB2312"/>
          <w:szCs w:val="32"/>
          <w:highlight w:val="none"/>
        </w:rPr>
        <w:t>海外高层次人才创新创业项目项目经费分五年发放，每年合作区人才主管部门对项目进展情况、资金使用情况等进行考核评估。</w:t>
      </w:r>
    </w:p>
    <w:p w14:paraId="2221C4B2">
      <w:pPr>
        <w:pStyle w:val="45"/>
        <w:rPr>
          <w:rFonts w:hint="eastAsia" w:ascii="仿宋_GB2312" w:hAnsi="仿宋_GB2312" w:cs="仿宋_GB2312"/>
          <w:szCs w:val="32"/>
          <w:highlight w:val="none"/>
        </w:rPr>
      </w:pPr>
      <w:r>
        <w:rPr>
          <w:rFonts w:hint="eastAsia" w:ascii="仿宋_GB2312" w:hAnsi="仿宋_GB2312" w:cs="仿宋_GB2312"/>
          <w:szCs w:val="32"/>
          <w:highlight w:val="none"/>
          <w:lang w:val="en-US" w:eastAsia="zh-CN"/>
        </w:rPr>
        <w:t>被认定为</w:t>
      </w:r>
      <w:r>
        <w:rPr>
          <w:rFonts w:hint="eastAsia" w:ascii="仿宋_GB2312" w:hAnsi="仿宋_GB2312" w:cs="仿宋_GB2312"/>
          <w:szCs w:val="32"/>
          <w:highlight w:val="none"/>
        </w:rPr>
        <w:t>海外高层次人才创新创业项目</w:t>
      </w:r>
      <w:r>
        <w:rPr>
          <w:rFonts w:hint="eastAsia" w:ascii="仿宋_GB2312" w:hAnsi="仿宋_GB2312" w:cs="仿宋_GB2312"/>
          <w:szCs w:val="32"/>
          <w:highlight w:val="none"/>
          <w:lang w:val="en-US" w:eastAsia="zh-CN"/>
        </w:rPr>
        <w:t>并获得财政资金资助的项目</w:t>
      </w:r>
      <w:r>
        <w:rPr>
          <w:rFonts w:hint="eastAsia" w:ascii="仿宋_GB2312" w:hAnsi="仿宋_GB2312" w:cs="仿宋_GB2312"/>
          <w:szCs w:val="32"/>
          <w:highlight w:val="none"/>
        </w:rPr>
        <w:t>不得重复享受</w:t>
      </w:r>
      <w:r>
        <w:rPr>
          <w:rFonts w:hint="eastAsia" w:ascii="仿宋_GB2312" w:hAnsi="仿宋_GB2312" w:cs="仿宋_GB2312"/>
          <w:szCs w:val="32"/>
          <w:highlight w:val="none"/>
          <w:lang w:val="en-US" w:eastAsia="zh-CN"/>
        </w:rPr>
        <w:t>横琴</w:t>
      </w:r>
      <w:r>
        <w:rPr>
          <w:rFonts w:hint="eastAsia" w:ascii="仿宋_GB2312" w:hAnsi="仿宋_GB2312" w:cs="仿宋_GB2312"/>
          <w:szCs w:val="32"/>
          <w:highlight w:val="none"/>
        </w:rPr>
        <w:t>国际科技创新创业大赛奖励资金、合作区科技创新资助资金、合作区专项产业资助资金等合作区同类</w:t>
      </w:r>
      <w:r>
        <w:rPr>
          <w:rFonts w:hint="eastAsia" w:ascii="仿宋_GB2312" w:hAnsi="仿宋_GB2312" w:cs="仿宋_GB2312"/>
          <w:szCs w:val="32"/>
          <w:highlight w:val="none"/>
          <w:lang w:val="en-US" w:eastAsia="zh-CN"/>
        </w:rPr>
        <w:t>财政</w:t>
      </w:r>
      <w:r>
        <w:rPr>
          <w:rFonts w:hint="eastAsia" w:ascii="仿宋_GB2312" w:hAnsi="仿宋_GB2312" w:cs="仿宋_GB2312"/>
          <w:szCs w:val="32"/>
          <w:highlight w:val="none"/>
        </w:rPr>
        <w:t>资助。</w:t>
      </w:r>
    </w:p>
    <w:p w14:paraId="1B78EC08">
      <w:pPr>
        <w:pStyle w:val="45"/>
        <w:ind w:firstLine="0" w:firstLineChars="0"/>
        <w:rPr>
          <w:rFonts w:hint="eastAsia" w:ascii="仿宋_GB2312" w:hAnsi="仿宋_GB2312" w:cs="仿宋_GB2312"/>
          <w:szCs w:val="32"/>
          <w:highlight w:val="none"/>
        </w:rPr>
      </w:pPr>
    </w:p>
    <w:p w14:paraId="563869D7">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第八条</w:t>
      </w:r>
    </w:p>
    <w:p w14:paraId="647D78A0">
      <w:pPr>
        <w:pStyle w:val="45"/>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海外高层次人才创新创业项目的组织实施</w:t>
      </w:r>
    </w:p>
    <w:p w14:paraId="0753E3AD">
      <w:pPr>
        <w:pStyle w:val="45"/>
        <w:ind w:firstLine="0" w:firstLineChars="0"/>
        <w:jc w:val="center"/>
        <w:rPr>
          <w:rFonts w:hint="eastAsia" w:ascii="黑体" w:hAnsi="黑体" w:eastAsia="黑体" w:cs="黑体"/>
          <w:szCs w:val="32"/>
          <w:highlight w:val="none"/>
        </w:rPr>
      </w:pPr>
    </w:p>
    <w:p w14:paraId="55655414">
      <w:pPr>
        <w:pStyle w:val="45"/>
        <w:rPr>
          <w:szCs w:val="32"/>
          <w:highlight w:val="none"/>
        </w:rPr>
      </w:pPr>
      <w:r>
        <w:rPr>
          <w:rFonts w:hint="eastAsia"/>
          <w:szCs w:val="32"/>
          <w:highlight w:val="none"/>
        </w:rPr>
        <w:t>海外高层次人才创新创业项目财政资金资助的项目申请工作由合作区人才主管部门负责组织实施，开展海外高层次人才创新创业项目申请、评审、立项、考核、验收等工作，适时向合作区执行委员会报告有关工作情况。</w:t>
      </w:r>
    </w:p>
    <w:p w14:paraId="78B83058">
      <w:pPr>
        <w:pStyle w:val="45"/>
        <w:rPr>
          <w:szCs w:val="32"/>
          <w:highlight w:val="none"/>
        </w:rPr>
      </w:pPr>
      <w:r>
        <w:rPr>
          <w:rFonts w:hint="eastAsia"/>
          <w:szCs w:val="32"/>
          <w:highlight w:val="none"/>
        </w:rPr>
        <w:t>合作区人才主管部门按照动态申请、集中受理的原则，提前面向全球发出申请指南。</w:t>
      </w:r>
    </w:p>
    <w:p w14:paraId="5FDDF8ED">
      <w:pPr>
        <w:pStyle w:val="45"/>
        <w:rPr>
          <w:szCs w:val="32"/>
          <w:highlight w:val="none"/>
        </w:rPr>
      </w:pPr>
      <w:r>
        <w:rPr>
          <w:szCs w:val="32"/>
          <w:highlight w:val="none"/>
        </w:rPr>
        <w:t>申请人</w:t>
      </w:r>
      <w:r>
        <w:rPr>
          <w:rFonts w:hint="eastAsia"/>
          <w:szCs w:val="32"/>
          <w:highlight w:val="none"/>
        </w:rPr>
        <w:t>须填报《横琴粤澳深度合作区海外高层次人才创新创业项目申请书》，并按申请指南要求提供相关证明材料。</w:t>
      </w:r>
    </w:p>
    <w:p w14:paraId="47EE11DA">
      <w:pPr>
        <w:pStyle w:val="45"/>
        <w:rPr>
          <w:szCs w:val="32"/>
          <w:highlight w:val="none"/>
        </w:rPr>
      </w:pPr>
    </w:p>
    <w:p w14:paraId="0246E2A8">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第九条</w:t>
      </w:r>
    </w:p>
    <w:p w14:paraId="70324AAE">
      <w:pPr>
        <w:pStyle w:val="45"/>
        <w:ind w:firstLine="0" w:firstLineChars="0"/>
        <w:jc w:val="center"/>
        <w:rPr>
          <w:szCs w:val="32"/>
          <w:highlight w:val="none"/>
        </w:rPr>
      </w:pPr>
      <w:r>
        <w:rPr>
          <w:rFonts w:hint="eastAsia" w:ascii="黑体" w:hAnsi="黑体" w:eastAsia="黑体" w:cs="黑体"/>
          <w:szCs w:val="32"/>
          <w:highlight w:val="none"/>
        </w:rPr>
        <w:t>海外高层次人才创新创业项目的评审流程</w:t>
      </w:r>
    </w:p>
    <w:p w14:paraId="5CB7B6FA">
      <w:pPr>
        <w:pStyle w:val="45"/>
        <w:rPr>
          <w:szCs w:val="32"/>
          <w:highlight w:val="none"/>
        </w:rPr>
      </w:pPr>
    </w:p>
    <w:p w14:paraId="6C8479FD">
      <w:pPr>
        <w:pStyle w:val="45"/>
        <w:rPr>
          <w:rFonts w:hint="eastAsia" w:ascii="仿宋_GB2312" w:hAnsi="仿宋_GB2312" w:cs="仿宋_GB2312"/>
          <w:szCs w:val="32"/>
          <w:highlight w:val="none"/>
        </w:rPr>
      </w:pPr>
      <w:r>
        <w:rPr>
          <w:rFonts w:hint="eastAsia" w:ascii="仿宋_GB2312" w:hAnsi="仿宋_GB2312" w:cs="仿宋_GB2312"/>
          <w:szCs w:val="32"/>
          <w:highlight w:val="none"/>
        </w:rPr>
        <w:t>海外高层次人才创新创业项目财政资金资助的评审流程包括以下初审、函审、背景调查、现场评审四个环节：</w:t>
      </w:r>
    </w:p>
    <w:p w14:paraId="57D516AF">
      <w:pPr>
        <w:pStyle w:val="45"/>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（一）初审</w:t>
      </w:r>
    </w:p>
    <w:p w14:paraId="616967D7">
      <w:pPr>
        <w:pStyle w:val="45"/>
        <w:rPr>
          <w:rFonts w:hint="eastAsia" w:ascii="仿宋_GB2312" w:hAnsi="仿宋_GB2312" w:cs="仿宋_GB2312"/>
          <w:szCs w:val="32"/>
          <w:highlight w:val="none"/>
        </w:rPr>
      </w:pPr>
      <w:r>
        <w:rPr>
          <w:rFonts w:hint="eastAsia" w:ascii="仿宋_GB2312" w:hAnsi="仿宋_GB2312" w:cs="仿宋_GB2312"/>
          <w:szCs w:val="32"/>
          <w:highlight w:val="none"/>
        </w:rPr>
        <w:t>1.合作区人才主管部门对申请材料进行形式审查，审核申请人是否符合申请条件，对材料的完整性、有效性进行核实，并对项目的工作基础、研究方向、创新能力、项目目标等方面进行初步审核，遴选出符合条件的申请项目进入评审。</w:t>
      </w:r>
    </w:p>
    <w:p w14:paraId="32559EFC">
      <w:pPr>
        <w:pStyle w:val="45"/>
        <w:rPr>
          <w:rFonts w:hint="eastAsia" w:ascii="仿宋_GB2312" w:hAnsi="仿宋_GB2312" w:cs="仿宋_GB2312"/>
          <w:szCs w:val="32"/>
          <w:highlight w:val="none"/>
        </w:rPr>
      </w:pPr>
      <w:r>
        <w:rPr>
          <w:rFonts w:hint="eastAsia" w:ascii="仿宋_GB2312" w:hAnsi="仿宋_GB2312" w:cs="仿宋_GB2312"/>
          <w:szCs w:val="32"/>
          <w:highlight w:val="none"/>
        </w:rPr>
        <w:t>2.未通过审核的，不得进入下一评审阶段；需要补充完善相关材料及信息的，申请人按要求补充完善，逾期未按规定重新提交的，视为放弃申请。</w:t>
      </w:r>
    </w:p>
    <w:p w14:paraId="3C151B6F">
      <w:pPr>
        <w:pStyle w:val="45"/>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（二）函审</w:t>
      </w:r>
    </w:p>
    <w:p w14:paraId="2FC012AF">
      <w:pPr>
        <w:pStyle w:val="45"/>
        <w:rPr>
          <w:rFonts w:hint="eastAsia" w:ascii="仿宋_GB2312" w:hAnsi="仿宋_GB2312" w:cs="仿宋_GB2312"/>
          <w:szCs w:val="32"/>
          <w:highlight w:val="none"/>
        </w:rPr>
      </w:pPr>
      <w:r>
        <w:rPr>
          <w:rFonts w:hint="eastAsia" w:ascii="仿宋_GB2312" w:hAnsi="仿宋_GB2312" w:cs="仿宋_GB2312"/>
          <w:szCs w:val="32"/>
          <w:highlight w:val="none"/>
        </w:rPr>
        <w:t>1.由合作区人才主管部门根据项目的专业领域，聘请不少于七名国内外同行顶尖专家组成专家组，包括技术专家五人、风险投资专家一人、财务专家一人组成，其中技术专家至少有三人为境外专家。</w:t>
      </w:r>
    </w:p>
    <w:p w14:paraId="05259D82">
      <w:pPr>
        <w:pStyle w:val="45"/>
        <w:rPr>
          <w:rFonts w:hint="eastAsia" w:ascii="仿宋_GB2312" w:hAnsi="仿宋_GB2312" w:cs="仿宋_GB2312"/>
          <w:szCs w:val="32"/>
          <w:highlight w:val="none"/>
        </w:rPr>
      </w:pPr>
      <w:r>
        <w:rPr>
          <w:rFonts w:hint="eastAsia" w:ascii="仿宋_GB2312" w:hAnsi="仿宋_GB2312" w:cs="仿宋_GB2312"/>
          <w:szCs w:val="32"/>
          <w:highlight w:val="none"/>
        </w:rPr>
        <w:t>2.专家组根据项目申请书情况给予书面审查意见，主要审查项目负责人的学术水平及创新能力、项目可行性、市场化前景与潜力、技术及财务风险等内容。</w:t>
      </w:r>
    </w:p>
    <w:p w14:paraId="6A63E237">
      <w:pPr>
        <w:pStyle w:val="45"/>
        <w:rPr>
          <w:rFonts w:hint="eastAsia" w:ascii="仿宋_GB2312" w:hAnsi="仿宋_GB2312" w:cs="仿宋_GB2312"/>
          <w:szCs w:val="32"/>
          <w:highlight w:val="none"/>
        </w:rPr>
      </w:pPr>
      <w:r>
        <w:rPr>
          <w:rFonts w:hint="eastAsia" w:ascii="仿宋_GB2312" w:hAnsi="仿宋_GB2312" w:cs="仿宋_GB2312"/>
          <w:szCs w:val="32"/>
          <w:highlight w:val="none"/>
        </w:rPr>
        <w:t>3.函审未达到半数专家同意的，不再进入下一评审阶段。</w:t>
      </w:r>
    </w:p>
    <w:p w14:paraId="7EEC5151">
      <w:pPr>
        <w:pStyle w:val="45"/>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（三）背景调查</w:t>
      </w:r>
    </w:p>
    <w:p w14:paraId="3E296C31">
      <w:pPr>
        <w:pStyle w:val="45"/>
        <w:rPr>
          <w:rFonts w:hint="eastAsia" w:ascii="仿宋_GB2312" w:hAnsi="仿宋_GB2312" w:cs="仿宋_GB2312"/>
          <w:szCs w:val="32"/>
          <w:highlight w:val="none"/>
        </w:rPr>
      </w:pPr>
      <w:r>
        <w:rPr>
          <w:rFonts w:hint="eastAsia" w:ascii="仿宋_GB2312" w:hAnsi="仿宋_GB2312" w:cs="仿宋_GB2312"/>
          <w:szCs w:val="32"/>
          <w:highlight w:val="none"/>
        </w:rPr>
        <w:t>合作区人才主管部门委托专业机构，对照项目</w:t>
      </w:r>
      <w:r>
        <w:rPr>
          <w:rFonts w:hint="eastAsia" w:ascii="仿宋_GB2312" w:hAnsi="仿宋_GB2312" w:cs="仿宋_GB2312"/>
          <w:highlight w:val="none"/>
        </w:rPr>
        <w:t>《横琴粤澳深度合作区海外高层次人才项目申请书》</w:t>
      </w:r>
      <w:r>
        <w:rPr>
          <w:rFonts w:hint="eastAsia" w:ascii="仿宋_GB2312" w:hAnsi="仿宋_GB2312" w:cs="仿宋_GB2312"/>
          <w:szCs w:val="32"/>
          <w:highlight w:val="none"/>
        </w:rPr>
        <w:t>对海外高层次人才开展深入调研，就项目负责人基本情况、团队人员及能力、技术现状、工作条件、资金能力、风险防范与规避等内容进行实地核实，形成背景调查报告。背景调查报告作为下一阶段评审的重要参考依据。</w:t>
      </w:r>
    </w:p>
    <w:p w14:paraId="5F9C58C1">
      <w:pPr>
        <w:pStyle w:val="45"/>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（四）现场评审</w:t>
      </w:r>
    </w:p>
    <w:p w14:paraId="364E95AB">
      <w:pPr>
        <w:pStyle w:val="45"/>
        <w:rPr>
          <w:rFonts w:hint="eastAsia" w:ascii="仿宋_GB2312" w:hAnsi="仿宋_GB2312" w:cs="仿宋_GB2312"/>
          <w:szCs w:val="32"/>
          <w:highlight w:val="none"/>
        </w:rPr>
      </w:pPr>
      <w:r>
        <w:rPr>
          <w:rFonts w:hint="eastAsia" w:ascii="仿宋_GB2312" w:hAnsi="仿宋_GB2312" w:cs="仿宋_GB2312"/>
          <w:szCs w:val="32"/>
          <w:highlight w:val="none"/>
        </w:rPr>
        <w:t>1.由合作区人才主管部门根据项目的专业领域，聘请不少于九名国内外同行顶尖专家组成现场评审专家组，包括技术专家五人、风险投资专家两人、知识产权专家一人、财务专家一人组成，其中技术专家至少有两名境外专家。</w:t>
      </w:r>
    </w:p>
    <w:p w14:paraId="404E8EF9">
      <w:pPr>
        <w:pStyle w:val="45"/>
        <w:rPr>
          <w:rFonts w:hint="eastAsia" w:ascii="仿宋_GB2312" w:hAnsi="仿宋_GB2312" w:cs="仿宋_GB2312"/>
          <w:szCs w:val="32"/>
          <w:highlight w:val="none"/>
        </w:rPr>
      </w:pPr>
      <w:r>
        <w:rPr>
          <w:rFonts w:hint="eastAsia" w:ascii="仿宋_GB2312" w:hAnsi="仿宋_GB2312" w:cs="仿宋_GB2312"/>
          <w:szCs w:val="32"/>
          <w:highlight w:val="none"/>
        </w:rPr>
        <w:t>2.现场评审主要包括团队陈述、专家提问、口头答辩、小组讨论、无记名投票，最后形成综合评审意见。主要评审项目负责人的学术水平及创新能力、项目可行性、市场化前景与潜力、技术及财务风险等。</w:t>
      </w:r>
    </w:p>
    <w:p w14:paraId="3C0ECC7F">
      <w:pPr>
        <w:pStyle w:val="45"/>
        <w:rPr>
          <w:rFonts w:hint="eastAsia" w:ascii="仿宋_GB2312" w:hAnsi="仿宋_GB2312" w:cs="仿宋_GB2312"/>
          <w:szCs w:val="32"/>
          <w:highlight w:val="none"/>
        </w:rPr>
      </w:pPr>
      <w:r>
        <w:rPr>
          <w:rFonts w:hint="eastAsia" w:ascii="仿宋_GB2312" w:hAnsi="仿宋_GB2312" w:cs="仿宋_GB2312"/>
          <w:szCs w:val="32"/>
          <w:highlight w:val="none"/>
        </w:rPr>
        <w:t>合作区人才主管部门根据初审、函审、背景调查、现场评审环节的意见，研究形成拟入选项目名单和拟资助经费额度等立项建议。立项建议经审批同意后，向社会公示五个工作日。</w:t>
      </w:r>
    </w:p>
    <w:p w14:paraId="2A5274AB">
      <w:pPr>
        <w:pStyle w:val="45"/>
        <w:rPr>
          <w:rFonts w:hint="eastAsia" w:ascii="仿宋_GB2312" w:hAnsi="仿宋_GB2312" w:cs="仿宋_GB2312"/>
          <w:szCs w:val="32"/>
          <w:highlight w:val="none"/>
        </w:rPr>
      </w:pPr>
      <w:r>
        <w:rPr>
          <w:rFonts w:hint="eastAsia" w:ascii="仿宋_GB2312" w:hAnsi="仿宋_GB2312" w:cs="仿宋_GB2312"/>
          <w:szCs w:val="32"/>
          <w:highlight w:val="none"/>
        </w:rPr>
        <w:t>公示无异议的，待海外高层次人才落地合作区后，人才所在单位与合作区人才主管部门签订项目合同书，约定项目的研究内容、主要技术和经济指标、经费预算和使用计划，明确项目实施双方的权利和义务。</w:t>
      </w:r>
    </w:p>
    <w:p w14:paraId="50673C55">
      <w:pPr>
        <w:pStyle w:val="45"/>
        <w:rPr>
          <w:szCs w:val="32"/>
          <w:highlight w:val="none"/>
        </w:rPr>
      </w:pPr>
    </w:p>
    <w:p w14:paraId="18CF993C">
      <w:pPr>
        <w:pStyle w:val="5"/>
        <w:rPr>
          <w:highlight w:val="none"/>
        </w:rPr>
      </w:pPr>
      <w:r>
        <w:rPr>
          <w:rFonts w:hint="eastAsia"/>
          <w:highlight w:val="none"/>
        </w:rPr>
        <w:t>第十条</w:t>
      </w:r>
    </w:p>
    <w:p w14:paraId="57F65AE0">
      <w:pPr>
        <w:pStyle w:val="45"/>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海外高层次人才创新创业项目经费使用的说明事项</w:t>
      </w:r>
    </w:p>
    <w:p w14:paraId="0600CD0A">
      <w:pPr>
        <w:pStyle w:val="45"/>
        <w:ind w:firstLine="0" w:firstLineChars="0"/>
        <w:rPr>
          <w:szCs w:val="32"/>
          <w:highlight w:val="none"/>
        </w:rPr>
      </w:pPr>
    </w:p>
    <w:p w14:paraId="3B9A1650">
      <w:pPr>
        <w:pStyle w:val="45"/>
        <w:rPr>
          <w:szCs w:val="32"/>
          <w:highlight w:val="none"/>
        </w:rPr>
      </w:pPr>
      <w:r>
        <w:rPr>
          <w:rFonts w:hint="eastAsia"/>
          <w:szCs w:val="32"/>
          <w:highlight w:val="none"/>
        </w:rPr>
        <w:t>财政资助的项目经费支出须遵守下列规定：</w:t>
      </w:r>
    </w:p>
    <w:p w14:paraId="0C61AA86">
      <w:pPr>
        <w:pStyle w:val="45"/>
        <w:rPr>
          <w:rFonts w:hint="eastAsia" w:eastAsia="仿宋_GB2312"/>
          <w:szCs w:val="32"/>
          <w:highlight w:val="none"/>
          <w:lang w:eastAsia="zh-CN"/>
        </w:rPr>
      </w:pPr>
      <w:r>
        <w:rPr>
          <w:rFonts w:hint="eastAsia"/>
          <w:szCs w:val="32"/>
          <w:highlight w:val="none"/>
        </w:rPr>
        <w:t>（一）项目经费应当用于支付人员劳务费、设备费、材料费、测试化验加工外协费、燃料动力费、会议费、差旅费、国际合作与交流费、出版/文献/信息传播/知识产权事务费、专家咨询费、管理费、税费</w:t>
      </w:r>
      <w:r>
        <w:rPr>
          <w:rFonts w:hint="eastAsia"/>
          <w:szCs w:val="32"/>
          <w:highlight w:val="none"/>
          <w:lang w:eastAsia="zh-CN"/>
        </w:rPr>
        <w:t>；</w:t>
      </w:r>
    </w:p>
    <w:p w14:paraId="306C9726">
      <w:pPr>
        <w:pStyle w:val="45"/>
        <w:rPr>
          <w:rFonts w:hint="eastAsia" w:eastAsia="仿宋_GB2312"/>
          <w:szCs w:val="32"/>
          <w:highlight w:val="none"/>
          <w:lang w:eastAsia="zh-CN"/>
        </w:rPr>
      </w:pPr>
      <w:r>
        <w:rPr>
          <w:rFonts w:hint="eastAsia"/>
          <w:szCs w:val="32"/>
          <w:highlight w:val="none"/>
        </w:rPr>
        <w:t>（二）设备费、材料费、测试化验加工外协费、燃料动力费等不得低于百分之五十</w:t>
      </w:r>
      <w:r>
        <w:rPr>
          <w:rFonts w:hint="eastAsia"/>
          <w:szCs w:val="32"/>
          <w:highlight w:val="none"/>
          <w:lang w:eastAsia="zh-CN"/>
        </w:rPr>
        <w:t>；</w:t>
      </w:r>
    </w:p>
    <w:p w14:paraId="5B21F820">
      <w:pPr>
        <w:pStyle w:val="45"/>
        <w:rPr>
          <w:szCs w:val="32"/>
          <w:highlight w:val="none"/>
        </w:rPr>
      </w:pPr>
      <w:r>
        <w:rPr>
          <w:rFonts w:hint="eastAsia"/>
          <w:szCs w:val="32"/>
          <w:highlight w:val="none"/>
        </w:rPr>
        <w:t>（三）管理费不应超过项目资金的百分之十。</w:t>
      </w:r>
    </w:p>
    <w:p w14:paraId="01D2C921">
      <w:pPr>
        <w:pStyle w:val="45"/>
        <w:rPr>
          <w:szCs w:val="32"/>
          <w:highlight w:val="none"/>
        </w:rPr>
      </w:pPr>
      <w:r>
        <w:rPr>
          <w:rFonts w:hint="eastAsia"/>
          <w:szCs w:val="32"/>
          <w:highlight w:val="none"/>
        </w:rPr>
        <w:t>入选项目依托的用人单位要严格执行相关资金管理规定，对合作区财政资助经费要单独建账、专款专用。</w:t>
      </w:r>
    </w:p>
    <w:p w14:paraId="37BF80F9">
      <w:pPr>
        <w:pStyle w:val="45"/>
        <w:rPr>
          <w:szCs w:val="32"/>
          <w:highlight w:val="none"/>
        </w:rPr>
      </w:pPr>
      <w:r>
        <w:rPr>
          <w:rFonts w:hint="eastAsia"/>
          <w:szCs w:val="32"/>
          <w:highlight w:val="none"/>
        </w:rPr>
        <w:t>专项经费主要用于项目研究、与项目相关的仪器设备购置、改善科研条件等；用人单位和海外高层次人才个人不得以各种理由克扣和挪用资助经费。</w:t>
      </w:r>
    </w:p>
    <w:p w14:paraId="0D167431">
      <w:pPr>
        <w:pStyle w:val="45"/>
        <w:rPr>
          <w:szCs w:val="32"/>
          <w:highlight w:val="none"/>
        </w:rPr>
      </w:pPr>
    </w:p>
    <w:p w14:paraId="1312D746">
      <w:pPr>
        <w:pStyle w:val="5"/>
        <w:rPr>
          <w:highlight w:val="none"/>
        </w:rPr>
      </w:pPr>
      <w:r>
        <w:rPr>
          <w:rFonts w:hint="eastAsia"/>
          <w:highlight w:val="none"/>
        </w:rPr>
        <w:t>第十一条</w:t>
      </w:r>
    </w:p>
    <w:p w14:paraId="746C3BB2">
      <w:pPr>
        <w:pStyle w:val="5"/>
        <w:rPr>
          <w:highlight w:val="none"/>
        </w:rPr>
      </w:pPr>
      <w:r>
        <w:rPr>
          <w:rFonts w:hint="eastAsia"/>
          <w:highlight w:val="none"/>
        </w:rPr>
        <w:t>海外高层次人才创新创业项目的年度检查</w:t>
      </w:r>
    </w:p>
    <w:p w14:paraId="39CA4242">
      <w:pPr>
        <w:pStyle w:val="45"/>
        <w:rPr>
          <w:szCs w:val="32"/>
          <w:highlight w:val="none"/>
        </w:rPr>
      </w:pPr>
    </w:p>
    <w:p w14:paraId="10912628">
      <w:pPr>
        <w:pStyle w:val="45"/>
        <w:rPr>
          <w:szCs w:val="32"/>
          <w:highlight w:val="none"/>
        </w:rPr>
      </w:pPr>
      <w:r>
        <w:rPr>
          <w:rFonts w:hint="eastAsia"/>
          <w:szCs w:val="32"/>
          <w:highlight w:val="none"/>
        </w:rPr>
        <w:t>项目团队从落地合作区后的次年开始每年撰写年度工作进展报告。</w:t>
      </w:r>
    </w:p>
    <w:p w14:paraId="09D8E022">
      <w:pPr>
        <w:pStyle w:val="45"/>
        <w:rPr>
          <w:szCs w:val="32"/>
          <w:highlight w:val="none"/>
        </w:rPr>
      </w:pPr>
      <w:r>
        <w:rPr>
          <w:rFonts w:hint="eastAsia"/>
          <w:szCs w:val="32"/>
          <w:highlight w:val="none"/>
        </w:rPr>
        <w:t>合作区人才主管部门对项目团队的技术研发情况、产业化进展情况、经营情况、财务制度等进行年度检查。</w:t>
      </w:r>
    </w:p>
    <w:p w14:paraId="34EC75D4">
      <w:pPr>
        <w:pStyle w:val="45"/>
        <w:rPr>
          <w:szCs w:val="32"/>
          <w:highlight w:val="none"/>
        </w:rPr>
      </w:pPr>
      <w:r>
        <w:rPr>
          <w:rFonts w:hint="eastAsia"/>
          <w:szCs w:val="32"/>
          <w:highlight w:val="none"/>
        </w:rPr>
        <w:t>对年度检查不合格者，提出整改措施，整改不合格者，终止使用专项经费。</w:t>
      </w:r>
    </w:p>
    <w:p w14:paraId="7E501D50">
      <w:pPr>
        <w:pStyle w:val="5"/>
        <w:rPr>
          <w:highlight w:val="none"/>
        </w:rPr>
      </w:pPr>
    </w:p>
    <w:p w14:paraId="6FEB3C48">
      <w:pPr>
        <w:pStyle w:val="5"/>
        <w:rPr>
          <w:highlight w:val="none"/>
        </w:rPr>
      </w:pPr>
      <w:r>
        <w:rPr>
          <w:rFonts w:hint="eastAsia"/>
          <w:highlight w:val="none"/>
        </w:rPr>
        <w:t>第十二条</w:t>
      </w:r>
    </w:p>
    <w:p w14:paraId="2CC8473C">
      <w:pPr>
        <w:pStyle w:val="45"/>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海外高层次人才创新创业项目的验收</w:t>
      </w:r>
    </w:p>
    <w:p w14:paraId="03C27252">
      <w:pPr>
        <w:pStyle w:val="45"/>
        <w:ind w:firstLine="0" w:firstLineChars="0"/>
        <w:rPr>
          <w:szCs w:val="32"/>
          <w:highlight w:val="none"/>
        </w:rPr>
      </w:pPr>
    </w:p>
    <w:p w14:paraId="013A042D">
      <w:pPr>
        <w:pStyle w:val="45"/>
        <w:rPr>
          <w:szCs w:val="32"/>
          <w:highlight w:val="none"/>
        </w:rPr>
      </w:pPr>
      <w:r>
        <w:rPr>
          <w:rFonts w:hint="eastAsia"/>
          <w:szCs w:val="32"/>
          <w:highlight w:val="none"/>
        </w:rPr>
        <w:t>项目负责人应当在项目合同书约定的项目实施期限届满之日后的三个月内，向合作区人才主管部门提出验收申请。</w:t>
      </w:r>
    </w:p>
    <w:p w14:paraId="08FB2DEF">
      <w:pPr>
        <w:pStyle w:val="45"/>
        <w:rPr>
          <w:szCs w:val="32"/>
          <w:highlight w:val="none"/>
        </w:rPr>
      </w:pPr>
      <w:r>
        <w:rPr>
          <w:rFonts w:hint="eastAsia"/>
          <w:szCs w:val="32"/>
          <w:highlight w:val="none"/>
        </w:rPr>
        <w:t>合作区人才主管部门组织专家进行期满验收。验收结果按下列规定分“通过”“结题”“不通过”三类：</w:t>
      </w:r>
    </w:p>
    <w:p w14:paraId="3EF5982A">
      <w:pPr>
        <w:pStyle w:val="45"/>
        <w:rPr>
          <w:szCs w:val="32"/>
          <w:highlight w:val="none"/>
        </w:rPr>
      </w:pPr>
      <w:r>
        <w:rPr>
          <w:rFonts w:hint="eastAsia"/>
          <w:szCs w:val="32"/>
          <w:highlight w:val="none"/>
        </w:rPr>
        <w:t>（一）财政资金使用合规，按期完成项目合同书约定指标的，验收结果为“通过”；如有财政结余资金，留归项目承担单位使用，统筹安排用于科研活动的直接支出。</w:t>
      </w:r>
    </w:p>
    <w:p w14:paraId="64733782">
      <w:pPr>
        <w:pStyle w:val="45"/>
        <w:rPr>
          <w:szCs w:val="32"/>
          <w:highlight w:val="none"/>
        </w:rPr>
      </w:pPr>
      <w:r>
        <w:rPr>
          <w:rFonts w:hint="eastAsia"/>
          <w:szCs w:val="32"/>
          <w:highlight w:val="none"/>
        </w:rPr>
        <w:t>（二）财政资金使用合规，因不可抗拒因素导致项目合同书规定的技术及经济等指标无法完成，但已按项目合同书相关要求开展研发工作并履行勤勉义务的，验收结果为“结题”；承担单位须退回财政结余资金。</w:t>
      </w:r>
    </w:p>
    <w:p w14:paraId="2EA236AB">
      <w:pPr>
        <w:pStyle w:val="45"/>
        <w:rPr>
          <w:rFonts w:hint="eastAsia" w:ascii="黑体" w:hAnsi="黑体" w:eastAsia="黑体" w:cs="黑体"/>
          <w:szCs w:val="32"/>
          <w:highlight w:val="none"/>
        </w:rPr>
      </w:pPr>
      <w:r>
        <w:rPr>
          <w:rFonts w:hint="eastAsia"/>
          <w:szCs w:val="32"/>
          <w:highlight w:val="none"/>
        </w:rPr>
        <w:t>（三）未达到验收“通过”或者“结题”标准的，验收结果为“不通过”；合作区人才主管部门根据项目承担单位履行科研责任</w:t>
      </w:r>
      <w:r>
        <w:rPr>
          <w:rFonts w:hint="eastAsia"/>
          <w:szCs w:val="32"/>
          <w:highlight w:val="none"/>
          <w:lang w:val="en-US" w:eastAsia="zh-CN"/>
        </w:rPr>
        <w:t>的</w:t>
      </w:r>
      <w:r>
        <w:rPr>
          <w:rFonts w:hint="eastAsia"/>
          <w:szCs w:val="32"/>
          <w:highlight w:val="none"/>
        </w:rPr>
        <w:t>进度、资助资金使用情况和验收意见，要求承担单位退回部分或者全部财政资金。</w:t>
      </w:r>
    </w:p>
    <w:p w14:paraId="392FD3C9">
      <w:pPr>
        <w:pStyle w:val="2"/>
        <w:ind w:firstLine="600"/>
        <w:rPr>
          <w:rFonts w:hint="eastAsia" w:ascii="黑体" w:hAnsi="黑体" w:eastAsia="黑体" w:cs="黑体"/>
          <w:sz w:val="32"/>
          <w:szCs w:val="32"/>
          <w:highlight w:val="none"/>
        </w:rPr>
      </w:pPr>
    </w:p>
    <w:p w14:paraId="3C7A0B21">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第十三条</w:t>
      </w:r>
    </w:p>
    <w:p w14:paraId="00B32F8C">
      <w:pPr>
        <w:pStyle w:val="45"/>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海外高层次人才创新创业项目合同书变更的说明事项</w:t>
      </w:r>
    </w:p>
    <w:p w14:paraId="7F4E0980">
      <w:pPr>
        <w:pStyle w:val="45"/>
        <w:rPr>
          <w:szCs w:val="32"/>
          <w:highlight w:val="none"/>
        </w:rPr>
      </w:pPr>
    </w:p>
    <w:p w14:paraId="31698453">
      <w:pPr>
        <w:pStyle w:val="45"/>
        <w:rPr>
          <w:szCs w:val="32"/>
          <w:highlight w:val="none"/>
        </w:rPr>
      </w:pPr>
      <w:r>
        <w:rPr>
          <w:rFonts w:hint="eastAsia"/>
          <w:szCs w:val="32"/>
          <w:highlight w:val="none"/>
        </w:rPr>
        <w:t>项目实施期内，以下事项确需变更的，项目团队应当在项目实施期限届满之前向合作区人才主管部门报批报备：</w:t>
      </w:r>
    </w:p>
    <w:p w14:paraId="5294263E">
      <w:pPr>
        <w:pStyle w:val="45"/>
        <w:rPr>
          <w:szCs w:val="32"/>
          <w:highlight w:val="none"/>
        </w:rPr>
      </w:pPr>
      <w:r>
        <w:rPr>
          <w:rFonts w:hint="eastAsia"/>
          <w:szCs w:val="32"/>
          <w:highlight w:val="none"/>
        </w:rPr>
        <w:t>（一）项目负责人。因工作调动、出国（境）、伤病死亡或者其他重大原因导致项目负责人无法履行工作职责时，报备合作区人才主管部门后提前终止项目。合作区人才主管部门组织对已拨付的资助资金进行经费审核，结余资金退回合作区财政。</w:t>
      </w:r>
    </w:p>
    <w:p w14:paraId="5697607D">
      <w:pPr>
        <w:pStyle w:val="45"/>
        <w:rPr>
          <w:szCs w:val="32"/>
          <w:highlight w:val="none"/>
        </w:rPr>
      </w:pPr>
      <w:r>
        <w:rPr>
          <w:rFonts w:hint="eastAsia"/>
          <w:szCs w:val="32"/>
          <w:highlight w:val="none"/>
        </w:rPr>
        <w:t>（二）项目核心人员。因工作调动、出国（境）、伤病死亡或者其他重大原因导致项目核心人员无法履行工作职责时，新任项目成员需具备与原项目核心成员相当的专业技术能力和资格，且符合限项申请规定，由合作区人才主管部门委托第三方机构组织论证后予以批复。</w:t>
      </w:r>
    </w:p>
    <w:p w14:paraId="344658F1">
      <w:pPr>
        <w:pStyle w:val="45"/>
        <w:rPr>
          <w:szCs w:val="32"/>
          <w:highlight w:val="none"/>
        </w:rPr>
      </w:pPr>
      <w:r>
        <w:rPr>
          <w:rFonts w:hint="eastAsia"/>
          <w:szCs w:val="32"/>
          <w:highlight w:val="none"/>
        </w:rPr>
        <w:t>（三）项目内容（包括主要研究目标、研究内容、创新点、考核指标等），由合作区人才主管部门委托第三方机构组织论证后予以批复。</w:t>
      </w:r>
    </w:p>
    <w:p w14:paraId="6BFC10AB">
      <w:pPr>
        <w:pStyle w:val="45"/>
        <w:rPr>
          <w:szCs w:val="32"/>
          <w:highlight w:val="none"/>
        </w:rPr>
      </w:pPr>
      <w:r>
        <w:rPr>
          <w:rFonts w:hint="eastAsia"/>
          <w:szCs w:val="32"/>
          <w:highlight w:val="none"/>
        </w:rPr>
        <w:t>（四）项目总预算。项目总预算调减幅度不得超过原任务书规定总预算的百分之二十，由合作区人才主管部门委托第三方机构组织论证后予以批复。</w:t>
      </w:r>
    </w:p>
    <w:p w14:paraId="02F5C7BA">
      <w:pPr>
        <w:pStyle w:val="45"/>
        <w:rPr>
          <w:szCs w:val="32"/>
          <w:highlight w:val="none"/>
        </w:rPr>
      </w:pPr>
      <w:r>
        <w:rPr>
          <w:rFonts w:hint="eastAsia"/>
          <w:szCs w:val="32"/>
          <w:highlight w:val="none"/>
        </w:rPr>
        <w:t>（五）项目延期。项目延期不得超过一次，且不得超过一年，由合作区人才主管部门委托第三方机构组织论证后予以批复。</w:t>
      </w:r>
    </w:p>
    <w:p w14:paraId="04180508">
      <w:pPr>
        <w:pStyle w:val="45"/>
        <w:rPr>
          <w:szCs w:val="32"/>
          <w:highlight w:val="none"/>
        </w:rPr>
      </w:pPr>
      <w:r>
        <w:rPr>
          <w:rFonts w:hint="eastAsia"/>
          <w:szCs w:val="32"/>
          <w:highlight w:val="none"/>
        </w:rPr>
        <w:t>项目合同书变更内容经协商一致后，签订补充协议作为项目合同书的有效部分，在考核和验收时一并作为基本依据。</w:t>
      </w:r>
    </w:p>
    <w:p w14:paraId="32EDFC7F">
      <w:pPr>
        <w:pStyle w:val="45"/>
        <w:rPr>
          <w:szCs w:val="32"/>
          <w:highlight w:val="none"/>
        </w:rPr>
      </w:pPr>
    </w:p>
    <w:p w14:paraId="766149CF">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第十四条</w:t>
      </w:r>
    </w:p>
    <w:p w14:paraId="6748127F">
      <w:pPr>
        <w:pStyle w:val="45"/>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海外高层次人才创新创业项目提前终止的说明事项</w:t>
      </w:r>
    </w:p>
    <w:p w14:paraId="119CAFA6">
      <w:pPr>
        <w:pStyle w:val="45"/>
        <w:rPr>
          <w:szCs w:val="32"/>
          <w:highlight w:val="none"/>
        </w:rPr>
      </w:pPr>
    </w:p>
    <w:p w14:paraId="45702301">
      <w:pPr>
        <w:pStyle w:val="45"/>
        <w:rPr>
          <w:szCs w:val="32"/>
          <w:highlight w:val="none"/>
        </w:rPr>
      </w:pPr>
      <w:r>
        <w:rPr>
          <w:rFonts w:hint="eastAsia"/>
          <w:szCs w:val="32"/>
          <w:highlight w:val="none"/>
        </w:rPr>
        <w:t>项目执行过程中，有下列情形之一的，可提出终止项目申请：</w:t>
      </w:r>
    </w:p>
    <w:p w14:paraId="72DDCFE7">
      <w:pPr>
        <w:pStyle w:val="45"/>
        <w:rPr>
          <w:rFonts w:hint="eastAsia" w:eastAsia="仿宋_GB2312"/>
          <w:szCs w:val="32"/>
          <w:highlight w:val="none"/>
          <w:lang w:eastAsia="zh-CN"/>
        </w:rPr>
      </w:pPr>
      <w:r>
        <w:rPr>
          <w:rFonts w:hint="eastAsia"/>
          <w:szCs w:val="32"/>
          <w:highlight w:val="none"/>
        </w:rPr>
        <w:t>（一）项目负责人离职或发生变更的</w:t>
      </w:r>
      <w:r>
        <w:rPr>
          <w:rFonts w:hint="eastAsia"/>
          <w:szCs w:val="32"/>
          <w:highlight w:val="none"/>
          <w:lang w:eastAsia="zh-CN"/>
        </w:rPr>
        <w:t>；</w:t>
      </w:r>
    </w:p>
    <w:p w14:paraId="4E545FFC">
      <w:pPr>
        <w:pStyle w:val="45"/>
        <w:rPr>
          <w:rFonts w:hint="eastAsia" w:eastAsia="仿宋_GB2312"/>
          <w:szCs w:val="32"/>
          <w:highlight w:val="none"/>
          <w:lang w:eastAsia="zh-CN"/>
        </w:rPr>
      </w:pPr>
      <w:r>
        <w:rPr>
          <w:rFonts w:hint="eastAsia"/>
          <w:szCs w:val="32"/>
          <w:highlight w:val="none"/>
        </w:rPr>
        <w:t>（二）用人单位因不可抗力，无法继续履行合同的</w:t>
      </w:r>
      <w:r>
        <w:rPr>
          <w:rFonts w:hint="eastAsia"/>
          <w:szCs w:val="32"/>
          <w:highlight w:val="none"/>
          <w:lang w:eastAsia="zh-CN"/>
        </w:rPr>
        <w:t>；</w:t>
      </w:r>
    </w:p>
    <w:p w14:paraId="1FA5D671">
      <w:pPr>
        <w:pStyle w:val="45"/>
        <w:rPr>
          <w:rFonts w:hint="eastAsia" w:eastAsia="仿宋_GB2312"/>
          <w:szCs w:val="32"/>
          <w:highlight w:val="none"/>
          <w:lang w:eastAsia="zh-CN"/>
        </w:rPr>
      </w:pPr>
      <w:r>
        <w:rPr>
          <w:rFonts w:hint="eastAsia"/>
          <w:szCs w:val="32"/>
          <w:highlight w:val="none"/>
        </w:rPr>
        <w:t>（三）项目负责人与用人单位之间产生纠纷等问题，致使项目无法继续实施的</w:t>
      </w:r>
      <w:r>
        <w:rPr>
          <w:rFonts w:hint="eastAsia"/>
          <w:szCs w:val="32"/>
          <w:highlight w:val="none"/>
          <w:lang w:eastAsia="zh-CN"/>
        </w:rPr>
        <w:t>；</w:t>
      </w:r>
    </w:p>
    <w:p w14:paraId="6992FD41">
      <w:pPr>
        <w:pStyle w:val="45"/>
        <w:rPr>
          <w:rFonts w:hint="eastAsia" w:eastAsia="仿宋_GB2312"/>
          <w:szCs w:val="32"/>
          <w:highlight w:val="none"/>
          <w:lang w:eastAsia="zh-CN"/>
        </w:rPr>
      </w:pPr>
      <w:r>
        <w:rPr>
          <w:rFonts w:hint="eastAsia"/>
          <w:szCs w:val="32"/>
          <w:highlight w:val="none"/>
        </w:rPr>
        <w:t>（四）项目进展拖延或滞后，预期难以完成合同约定各项任务目标的</w:t>
      </w:r>
      <w:r>
        <w:rPr>
          <w:rFonts w:hint="eastAsia"/>
          <w:szCs w:val="32"/>
          <w:highlight w:val="none"/>
          <w:lang w:eastAsia="zh-CN"/>
        </w:rPr>
        <w:t>；</w:t>
      </w:r>
    </w:p>
    <w:p w14:paraId="48C6113E">
      <w:pPr>
        <w:pStyle w:val="45"/>
        <w:rPr>
          <w:rFonts w:hint="eastAsia" w:eastAsia="仿宋_GB2312"/>
          <w:szCs w:val="32"/>
          <w:highlight w:val="none"/>
          <w:lang w:eastAsia="zh-CN"/>
        </w:rPr>
      </w:pPr>
      <w:r>
        <w:rPr>
          <w:rFonts w:hint="eastAsia"/>
          <w:szCs w:val="32"/>
          <w:highlight w:val="none"/>
        </w:rPr>
        <w:t>（五）项目负责人以股权转让、抽回出资等方式减持股权，或企业增加注册资本后，项目负责人直接持股比例低于百分之十</w:t>
      </w:r>
      <w:r>
        <w:rPr>
          <w:rFonts w:hint="eastAsia"/>
          <w:szCs w:val="32"/>
          <w:highlight w:val="none"/>
          <w:lang w:eastAsia="zh-CN"/>
        </w:rPr>
        <w:t>；</w:t>
      </w:r>
    </w:p>
    <w:p w14:paraId="38CDD07A">
      <w:pPr>
        <w:pStyle w:val="45"/>
        <w:rPr>
          <w:szCs w:val="32"/>
          <w:highlight w:val="none"/>
        </w:rPr>
      </w:pPr>
      <w:r>
        <w:rPr>
          <w:rFonts w:hint="eastAsia"/>
          <w:szCs w:val="32"/>
          <w:highlight w:val="none"/>
        </w:rPr>
        <w:t>（六）其他应终止</w:t>
      </w:r>
      <w:r>
        <w:rPr>
          <w:rFonts w:hint="eastAsia"/>
          <w:szCs w:val="32"/>
          <w:highlight w:val="none"/>
          <w:lang w:val="en-US" w:eastAsia="zh-CN"/>
        </w:rPr>
        <w:t>项目</w:t>
      </w:r>
      <w:r>
        <w:rPr>
          <w:rFonts w:hint="eastAsia"/>
          <w:szCs w:val="32"/>
          <w:highlight w:val="none"/>
        </w:rPr>
        <w:t>合同</w:t>
      </w:r>
      <w:r>
        <w:rPr>
          <w:rFonts w:hint="eastAsia"/>
          <w:szCs w:val="32"/>
          <w:highlight w:val="none"/>
          <w:lang w:val="en-US" w:eastAsia="zh-CN"/>
        </w:rPr>
        <w:t>书</w:t>
      </w:r>
      <w:r>
        <w:rPr>
          <w:rFonts w:hint="eastAsia"/>
          <w:szCs w:val="32"/>
          <w:highlight w:val="none"/>
        </w:rPr>
        <w:t>的情形。</w:t>
      </w:r>
    </w:p>
    <w:p w14:paraId="3AEBE9A4">
      <w:pPr>
        <w:pStyle w:val="45"/>
        <w:rPr>
          <w:szCs w:val="32"/>
          <w:highlight w:val="none"/>
        </w:rPr>
      </w:pPr>
      <w:r>
        <w:rPr>
          <w:rFonts w:hint="eastAsia"/>
          <w:szCs w:val="32"/>
          <w:highlight w:val="none"/>
        </w:rPr>
        <w:t>出现上述提前终止项目情形的，人才所在单位应主动向合作区人才主管部门提出书面申请，说明终止理由。合作区人才主管部门组织对已拨付的资助资金进行经费审核，结余资金退回合作区财政。</w:t>
      </w:r>
    </w:p>
    <w:p w14:paraId="210ED8FE">
      <w:pPr>
        <w:pStyle w:val="45"/>
        <w:rPr>
          <w:szCs w:val="32"/>
          <w:highlight w:val="none"/>
        </w:rPr>
      </w:pPr>
      <w:r>
        <w:rPr>
          <w:rFonts w:hint="eastAsia"/>
          <w:szCs w:val="32"/>
          <w:highlight w:val="none"/>
        </w:rPr>
        <w:t>海外高层次人才或人才所在单位在项目申请、执行过程中存在弄虚作假、学术不端、违法违纪等行为的，追回已发放的资助资金。构成违法或者犯罪的，依法移交有权机关处理。</w:t>
      </w:r>
    </w:p>
    <w:p w14:paraId="59750D8C">
      <w:pPr>
        <w:pStyle w:val="45"/>
        <w:ind w:firstLine="0" w:firstLineChars="0"/>
        <w:rPr>
          <w:szCs w:val="32"/>
          <w:highlight w:val="none"/>
        </w:rPr>
      </w:pPr>
    </w:p>
    <w:p w14:paraId="55B4E842">
      <w:pPr>
        <w:pStyle w:val="74"/>
        <w:widowControl/>
        <w:rPr>
          <w:highlight w:val="none"/>
        </w:rPr>
      </w:pPr>
    </w:p>
    <w:p w14:paraId="4F7D0CDF">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第十五条</w:t>
      </w:r>
    </w:p>
    <w:p w14:paraId="2A1CA142">
      <w:pPr>
        <w:pStyle w:val="45"/>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支持离岸创新平台引进海外高层次人才创新创业项目</w:t>
      </w:r>
    </w:p>
    <w:p w14:paraId="50CCC0D0">
      <w:pPr>
        <w:pStyle w:val="45"/>
        <w:adjustRightInd w:val="0"/>
        <w:snapToGrid w:val="0"/>
        <w:ind w:firstLine="0" w:firstLineChars="0"/>
        <w:jc w:val="center"/>
        <w:rPr>
          <w:szCs w:val="32"/>
          <w:highlight w:val="none"/>
        </w:rPr>
      </w:pPr>
    </w:p>
    <w:p w14:paraId="4FEABCDC">
      <w:pPr>
        <w:adjustRightInd w:val="0"/>
        <w:snapToGrid w:val="0"/>
        <w:rPr>
          <w:szCs w:val="32"/>
          <w:highlight w:val="none"/>
        </w:rPr>
      </w:pPr>
      <w:bookmarkStart w:id="3" w:name="_Hlk212381340"/>
      <w:r>
        <w:rPr>
          <w:rFonts w:hint="eastAsia"/>
          <w:szCs w:val="32"/>
          <w:highlight w:val="none"/>
        </w:rPr>
        <w:t>鼓励合作区用人单位在澳门及境外建立研发中心、孵化基地、人才交流基地等离岸创新平台，服务和引进海外人才来澳门和合作区创新创业，对离岸创新平台给予最高三百万元建设支持。</w:t>
      </w:r>
      <w:bookmarkEnd w:id="3"/>
      <w:r>
        <w:rPr>
          <w:rFonts w:hint="eastAsia"/>
          <w:szCs w:val="32"/>
          <w:highlight w:val="none"/>
        </w:rPr>
        <w:t>对经认定的离岸创新平台按照年度运营经费（含办公研发场地租赁费用、研发设备购置费或研发设备租赁使用费）的百分之四十给予补助，每年不超过一百万元，累计不超过三百万元。</w:t>
      </w:r>
    </w:p>
    <w:p w14:paraId="75A67E47">
      <w:pPr>
        <w:pStyle w:val="20"/>
        <w:ind w:firstLine="640"/>
        <w:jc w:val="both"/>
        <w:rPr>
          <w:rFonts w:hint="eastAsia"/>
          <w:szCs w:val="32"/>
          <w:highlight w:val="none"/>
        </w:rPr>
      </w:pPr>
      <w:r>
        <w:rPr>
          <w:rFonts w:hint="eastAsia"/>
          <w:szCs w:val="32"/>
          <w:highlight w:val="none"/>
        </w:rPr>
        <w:t>对合作区用人单位建设的离岸创新平台引进的项目入选海外高层次人才创新创业项目的，每引进一个项目给予最高一百万元奖励，单个用人单位奖励最高五百万元。</w:t>
      </w:r>
    </w:p>
    <w:p w14:paraId="5EF8F641">
      <w:pPr>
        <w:pStyle w:val="45"/>
        <w:rPr>
          <w:szCs w:val="32"/>
          <w:highlight w:val="none"/>
        </w:rPr>
      </w:pPr>
    </w:p>
    <w:p w14:paraId="16684FDF">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第十六条</w:t>
      </w:r>
    </w:p>
    <w:p w14:paraId="500F1E5D">
      <w:pPr>
        <w:pStyle w:val="45"/>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离岸创新平台的认定条件</w:t>
      </w:r>
    </w:p>
    <w:p w14:paraId="0AEFFA98">
      <w:pPr>
        <w:pStyle w:val="45"/>
        <w:ind w:firstLine="0" w:firstLineChars="0"/>
        <w:rPr>
          <w:szCs w:val="32"/>
          <w:highlight w:val="none"/>
        </w:rPr>
      </w:pPr>
    </w:p>
    <w:p w14:paraId="49FEC460">
      <w:pPr>
        <w:pStyle w:val="45"/>
        <w:rPr>
          <w:rFonts w:hint="eastAsia" w:ascii="仿宋_GB2312" w:hAnsi="仿宋_GB2312" w:cs="仿宋_GB2312"/>
          <w:szCs w:val="32"/>
          <w:highlight w:val="none"/>
        </w:rPr>
      </w:pPr>
      <w:r>
        <w:rPr>
          <w:rFonts w:hint="eastAsia" w:ascii="仿宋_GB2312" w:hAnsi="仿宋_GB2312" w:cs="仿宋_GB2312"/>
          <w:szCs w:val="32"/>
          <w:highlight w:val="none"/>
        </w:rPr>
        <w:t>申请认定合作区离岸创新平台需满足基础条件和运营绩效两方面要求：</w:t>
      </w:r>
    </w:p>
    <w:p w14:paraId="4D7FA6B4">
      <w:pPr>
        <w:pStyle w:val="45"/>
        <w:adjustRightInd w:val="0"/>
        <w:snapToGrid w:val="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（一）基础条件</w:t>
      </w:r>
    </w:p>
    <w:p w14:paraId="7FC0DF9B">
      <w:pPr>
        <w:pStyle w:val="45"/>
        <w:adjustRightInd w:val="0"/>
        <w:snapToGrid w:val="0"/>
        <w:rPr>
          <w:rFonts w:hint="eastAsia" w:ascii="仿宋_GB2312" w:hAnsi="仿宋_GB2312" w:cs="仿宋_GB2312"/>
          <w:szCs w:val="32"/>
          <w:highlight w:val="none"/>
        </w:rPr>
      </w:pPr>
      <w:r>
        <w:rPr>
          <w:rFonts w:hint="eastAsia" w:ascii="仿宋_GB2312" w:hAnsi="仿宋_GB2312" w:cs="仿宋_GB2312"/>
          <w:szCs w:val="32"/>
          <w:highlight w:val="none"/>
        </w:rPr>
        <w:t>1.合作区机构单独或者联合境外机构在澳门、葡语系国家、发达国家设立离岸创新平台，并拥有实际控制权</w:t>
      </w:r>
      <w:r>
        <w:rPr>
          <w:rFonts w:hint="eastAsia" w:ascii="仿宋_GB2312" w:hAnsi="仿宋_GB2312" w:cs="仿宋_GB2312"/>
          <w:szCs w:val="32"/>
          <w:highlight w:val="none"/>
          <w:lang w:eastAsia="zh-CN"/>
        </w:rPr>
        <w:t>；</w:t>
      </w:r>
    </w:p>
    <w:p w14:paraId="53354262">
      <w:pPr>
        <w:pStyle w:val="45"/>
        <w:adjustRightInd w:val="0"/>
        <w:snapToGrid w:val="0"/>
        <w:rPr>
          <w:rFonts w:hint="eastAsia" w:ascii="仿宋_GB2312" w:hAnsi="仿宋_GB2312" w:cs="仿宋_GB2312"/>
          <w:szCs w:val="32"/>
          <w:highlight w:val="none"/>
        </w:rPr>
      </w:pPr>
      <w:r>
        <w:rPr>
          <w:rFonts w:hint="eastAsia" w:ascii="仿宋_GB2312" w:hAnsi="仿宋_GB2312" w:cs="仿宋_GB2312"/>
          <w:szCs w:val="32"/>
          <w:highlight w:val="none"/>
        </w:rPr>
        <w:t>2.具有较好的研发条件或国际人才交流基础，有潜在可以对接的境外创新人才和项目、先进技术等，能为离岸创新平台建设提供必要的条件和资金保障</w:t>
      </w:r>
      <w:r>
        <w:rPr>
          <w:rFonts w:hint="eastAsia" w:ascii="仿宋_GB2312" w:hAnsi="仿宋_GB2312" w:cs="仿宋_GB2312"/>
          <w:szCs w:val="32"/>
          <w:highlight w:val="none"/>
          <w:lang w:eastAsia="zh-CN"/>
        </w:rPr>
        <w:t>；</w:t>
      </w:r>
    </w:p>
    <w:p w14:paraId="3572DD43">
      <w:pPr>
        <w:pStyle w:val="45"/>
        <w:adjustRightInd w:val="0"/>
        <w:snapToGrid w:val="0"/>
        <w:rPr>
          <w:rFonts w:hint="eastAsia" w:ascii="仿宋_GB2312" w:hAnsi="仿宋_GB2312" w:cs="仿宋_GB2312"/>
          <w:szCs w:val="32"/>
          <w:highlight w:val="none"/>
        </w:rPr>
      </w:pPr>
      <w:r>
        <w:rPr>
          <w:rFonts w:hint="eastAsia" w:ascii="仿宋_GB2312" w:hAnsi="仿宋_GB2312" w:cs="仿宋_GB2312"/>
          <w:szCs w:val="32"/>
          <w:highlight w:val="none"/>
        </w:rPr>
        <w:t>3.运营半年以上，与澳门、葡语系国家及发达国家高校院所、科研机构、科技型企业、行业组织等建立紧密长期的合作关系</w:t>
      </w:r>
      <w:r>
        <w:rPr>
          <w:rFonts w:hint="eastAsia" w:ascii="仿宋_GB2312" w:hAnsi="仿宋_GB2312" w:cs="仿宋_GB2312"/>
          <w:szCs w:val="32"/>
          <w:highlight w:val="none"/>
          <w:lang w:eastAsia="zh-CN"/>
        </w:rPr>
        <w:t>；</w:t>
      </w:r>
    </w:p>
    <w:p w14:paraId="3BB6A15A">
      <w:pPr>
        <w:pStyle w:val="45"/>
        <w:adjustRightInd w:val="0"/>
        <w:snapToGrid w:val="0"/>
        <w:rPr>
          <w:rFonts w:hint="eastAsia" w:ascii="仿宋_GB2312" w:hAnsi="仿宋_GB2312" w:cs="仿宋_GB2312"/>
          <w:szCs w:val="32"/>
          <w:highlight w:val="none"/>
        </w:rPr>
      </w:pPr>
      <w:r>
        <w:rPr>
          <w:rFonts w:hint="eastAsia" w:ascii="仿宋_GB2312" w:hAnsi="仿宋_GB2312" w:cs="仿宋_GB2312"/>
          <w:szCs w:val="32"/>
          <w:highlight w:val="none"/>
        </w:rPr>
        <w:t>4.具备办公场地、设施、人员等条件，固定可支配场地不小于两百平方米，当地全职人员不少于三人</w:t>
      </w:r>
      <w:r>
        <w:rPr>
          <w:rFonts w:hint="eastAsia" w:ascii="仿宋_GB2312" w:hAnsi="仿宋_GB2312" w:cs="仿宋_GB2312"/>
          <w:szCs w:val="32"/>
          <w:highlight w:val="none"/>
          <w:lang w:eastAsia="zh-CN"/>
        </w:rPr>
        <w:t>；</w:t>
      </w:r>
    </w:p>
    <w:p w14:paraId="0B40AD4D">
      <w:pPr>
        <w:pStyle w:val="45"/>
        <w:adjustRightInd w:val="0"/>
        <w:snapToGrid w:val="0"/>
        <w:rPr>
          <w:rFonts w:hint="eastAsia" w:ascii="仿宋_GB2312" w:hAnsi="仿宋_GB2312" w:cs="仿宋_GB2312"/>
          <w:szCs w:val="32"/>
          <w:highlight w:val="none"/>
        </w:rPr>
      </w:pPr>
      <w:r>
        <w:rPr>
          <w:rFonts w:hint="eastAsia" w:ascii="仿宋_GB2312" w:hAnsi="仿宋_GB2312" w:cs="仿宋_GB2312"/>
          <w:szCs w:val="32"/>
          <w:highlight w:val="none"/>
        </w:rPr>
        <w:t>5.具备必要的仪器设备或活动场地</w:t>
      </w:r>
      <w:r>
        <w:rPr>
          <w:rFonts w:hint="eastAsia" w:ascii="仿宋_GB2312" w:hAnsi="仿宋_GB2312" w:cs="仿宋_GB2312"/>
          <w:szCs w:val="32"/>
          <w:highlight w:val="none"/>
          <w:lang w:eastAsia="zh-CN"/>
        </w:rPr>
        <w:t>；</w:t>
      </w:r>
    </w:p>
    <w:p w14:paraId="008C50CA">
      <w:pPr>
        <w:pStyle w:val="45"/>
        <w:adjustRightInd w:val="0"/>
        <w:snapToGrid w:val="0"/>
        <w:rPr>
          <w:rFonts w:hint="eastAsia" w:ascii="仿宋_GB2312" w:hAnsi="仿宋_GB2312" w:cs="仿宋_GB2312"/>
          <w:szCs w:val="32"/>
          <w:highlight w:val="none"/>
        </w:rPr>
      </w:pPr>
      <w:r>
        <w:rPr>
          <w:rFonts w:hint="eastAsia" w:ascii="仿宋_GB2312" w:hAnsi="仿宋_GB2312" w:cs="仿宋_GB2312"/>
          <w:szCs w:val="32"/>
          <w:highlight w:val="none"/>
        </w:rPr>
        <w:t>6.已实质性承接科技项目、举办人才交流活动或其他相关活动不少于两个。</w:t>
      </w:r>
    </w:p>
    <w:p w14:paraId="67660BC3">
      <w:pPr>
        <w:pStyle w:val="45"/>
        <w:adjustRightInd w:val="0"/>
        <w:snapToGrid w:val="0"/>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（二）运营绩效</w:t>
      </w:r>
    </w:p>
    <w:p w14:paraId="711D6F07">
      <w:pPr>
        <w:pStyle w:val="45"/>
        <w:adjustRightInd w:val="0"/>
        <w:snapToGrid w:val="0"/>
        <w:rPr>
          <w:rFonts w:hint="eastAsia" w:ascii="仿宋_GB2312" w:hAnsi="仿宋_GB2312" w:cs="仿宋_GB2312"/>
          <w:szCs w:val="32"/>
          <w:highlight w:val="none"/>
        </w:rPr>
      </w:pPr>
      <w:r>
        <w:rPr>
          <w:rFonts w:hint="eastAsia" w:ascii="仿宋_GB2312" w:hAnsi="仿宋_GB2312" w:cs="仿宋_GB2312"/>
          <w:szCs w:val="32"/>
          <w:highlight w:val="none"/>
        </w:rPr>
        <w:t>1.引进澳门高端人才和优秀人才、合作区高层次人才、入选国家和广东省人才工程的人才数量和质量情况</w:t>
      </w:r>
      <w:r>
        <w:rPr>
          <w:rFonts w:hint="eastAsia" w:ascii="仿宋_GB2312" w:hAnsi="仿宋_GB2312" w:cs="仿宋_GB2312"/>
          <w:szCs w:val="32"/>
          <w:highlight w:val="none"/>
          <w:lang w:eastAsia="zh-CN"/>
        </w:rPr>
        <w:t>；</w:t>
      </w:r>
    </w:p>
    <w:p w14:paraId="7BEE769E">
      <w:pPr>
        <w:pStyle w:val="45"/>
        <w:adjustRightInd w:val="0"/>
        <w:snapToGrid w:val="0"/>
        <w:rPr>
          <w:rFonts w:hint="eastAsia" w:ascii="仿宋_GB2312" w:hAnsi="仿宋_GB2312" w:cs="仿宋_GB2312"/>
          <w:szCs w:val="32"/>
          <w:highlight w:val="none"/>
        </w:rPr>
      </w:pPr>
      <w:r>
        <w:rPr>
          <w:rFonts w:hint="eastAsia" w:ascii="仿宋_GB2312" w:hAnsi="仿宋_GB2312" w:cs="仿宋_GB2312"/>
          <w:szCs w:val="32"/>
          <w:highlight w:val="none"/>
        </w:rPr>
        <w:t>2.服务海外高层次人才项目的数量和质量情况</w:t>
      </w:r>
      <w:r>
        <w:rPr>
          <w:rFonts w:hint="eastAsia" w:ascii="仿宋_GB2312" w:hAnsi="仿宋_GB2312" w:cs="仿宋_GB2312"/>
          <w:szCs w:val="32"/>
          <w:highlight w:val="none"/>
          <w:lang w:eastAsia="zh-CN"/>
        </w:rPr>
        <w:t>；</w:t>
      </w:r>
    </w:p>
    <w:p w14:paraId="021DC948">
      <w:pPr>
        <w:pStyle w:val="45"/>
        <w:adjustRightInd w:val="0"/>
        <w:snapToGrid w:val="0"/>
        <w:rPr>
          <w:szCs w:val="32"/>
          <w:highlight w:val="none"/>
        </w:rPr>
      </w:pPr>
      <w:r>
        <w:rPr>
          <w:rFonts w:hint="eastAsia" w:ascii="仿宋_GB2312" w:hAnsi="仿宋_GB2312" w:cs="仿宋_GB2312"/>
          <w:szCs w:val="32"/>
          <w:highlight w:val="none"/>
        </w:rPr>
        <w:t>3.开展对合作区和澳门科技研发和高端制造产业、人才政策有宣传推广作用的会议和活动。</w:t>
      </w:r>
    </w:p>
    <w:p w14:paraId="5230924C">
      <w:pPr>
        <w:pStyle w:val="45"/>
        <w:ind w:firstLine="0" w:firstLineChars="0"/>
        <w:rPr>
          <w:szCs w:val="32"/>
          <w:highlight w:val="none"/>
        </w:rPr>
      </w:pPr>
    </w:p>
    <w:p w14:paraId="1D9A7AC7">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第十七条</w:t>
      </w:r>
    </w:p>
    <w:p w14:paraId="7330609D">
      <w:pPr>
        <w:pStyle w:val="45"/>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离岸创新平台认定的说明事项</w:t>
      </w:r>
    </w:p>
    <w:p w14:paraId="51D83738">
      <w:pPr>
        <w:pStyle w:val="45"/>
        <w:ind w:firstLine="0" w:firstLineChars="0"/>
        <w:rPr>
          <w:szCs w:val="32"/>
          <w:highlight w:val="none"/>
        </w:rPr>
      </w:pPr>
    </w:p>
    <w:p w14:paraId="0004E9AF">
      <w:pPr>
        <w:pStyle w:val="45"/>
        <w:rPr>
          <w:szCs w:val="32"/>
          <w:highlight w:val="none"/>
        </w:rPr>
      </w:pPr>
      <w:r>
        <w:rPr>
          <w:rFonts w:hint="eastAsia"/>
          <w:szCs w:val="32"/>
          <w:highlight w:val="none"/>
        </w:rPr>
        <w:t>合作区离岸创新平台认定申请采用动态申请、集中受理的方式进行，申请单位按规定提交认定申请书及相关证明材料。</w:t>
      </w:r>
    </w:p>
    <w:p w14:paraId="488A4268">
      <w:pPr>
        <w:pStyle w:val="45"/>
        <w:rPr>
          <w:szCs w:val="32"/>
          <w:highlight w:val="none"/>
        </w:rPr>
      </w:pPr>
      <w:r>
        <w:rPr>
          <w:rFonts w:hint="eastAsia"/>
          <w:szCs w:val="32"/>
          <w:highlight w:val="none"/>
        </w:rPr>
        <w:t>合作区人才主管部门自行或委托第三方机构对申请材料采取书面、现场答辩等方式进行综合评审，每年择优认定不超过十家授予合作区离岸创新平台称号。</w:t>
      </w:r>
    </w:p>
    <w:p w14:paraId="0832C8AC">
      <w:pPr>
        <w:pStyle w:val="45"/>
        <w:rPr>
          <w:szCs w:val="32"/>
          <w:highlight w:val="none"/>
        </w:rPr>
      </w:pPr>
      <w:r>
        <w:rPr>
          <w:rFonts w:hint="eastAsia"/>
          <w:szCs w:val="32"/>
          <w:highlight w:val="none"/>
        </w:rPr>
        <w:t>合作区离岸创新平台认定有效期为三年。期满后，</w:t>
      </w:r>
      <w:r>
        <w:rPr>
          <w:rFonts w:hint="eastAsia"/>
          <w:szCs w:val="32"/>
          <w:highlight w:val="none"/>
          <w:lang w:val="en-US" w:eastAsia="zh-CN"/>
        </w:rPr>
        <w:t>须</w:t>
      </w:r>
      <w:r>
        <w:rPr>
          <w:rFonts w:hint="eastAsia"/>
          <w:szCs w:val="32"/>
          <w:highlight w:val="none"/>
        </w:rPr>
        <w:t>参加合作区人才主管部门组织的重新认定，认定结果合格的，继续授予合作区离岸创新平台称号；认定结果不合格的，取消合作区离岸创新平台相关资格。</w:t>
      </w:r>
    </w:p>
    <w:p w14:paraId="317D39AE">
      <w:pPr>
        <w:pStyle w:val="45"/>
        <w:rPr>
          <w:szCs w:val="32"/>
          <w:highlight w:val="none"/>
        </w:rPr>
      </w:pPr>
    </w:p>
    <w:p w14:paraId="27453E25">
      <w:pPr>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第十八条</w:t>
      </w:r>
    </w:p>
    <w:p w14:paraId="4E07635F">
      <w:pPr>
        <w:pStyle w:val="45"/>
        <w:adjustRightInd w:val="0"/>
        <w:snapToGrid w:val="0"/>
        <w:ind w:firstLine="0" w:firstLineChars="0"/>
        <w:jc w:val="center"/>
        <w:rPr>
          <w:rFonts w:hint="eastAsia" w:ascii="黑体" w:hAnsi="黑体" w:eastAsia="黑体" w:cs="黑体"/>
          <w:szCs w:val="32"/>
          <w:highlight w:val="none"/>
        </w:rPr>
      </w:pPr>
      <w:r>
        <w:rPr>
          <w:rFonts w:hint="eastAsia" w:ascii="黑体" w:hAnsi="黑体" w:eastAsia="黑体" w:cs="黑体"/>
          <w:szCs w:val="32"/>
          <w:highlight w:val="none"/>
        </w:rPr>
        <w:t>支持离岸创新平台引进海外高层次人才创新创业项目</w:t>
      </w:r>
    </w:p>
    <w:p w14:paraId="4737FB45">
      <w:pPr>
        <w:pStyle w:val="45"/>
        <w:rPr>
          <w:szCs w:val="32"/>
          <w:highlight w:val="none"/>
        </w:rPr>
      </w:pPr>
    </w:p>
    <w:p w14:paraId="2C3139D8">
      <w:pPr>
        <w:adjustRightInd w:val="0"/>
        <w:snapToGrid w:val="0"/>
        <w:rPr>
          <w:szCs w:val="32"/>
          <w:highlight w:val="none"/>
        </w:rPr>
      </w:pPr>
      <w:r>
        <w:rPr>
          <w:rFonts w:hint="eastAsia"/>
          <w:szCs w:val="32"/>
          <w:highlight w:val="none"/>
        </w:rPr>
        <w:t>对合作区用人单位建设的离岸创新平台引进入选</w:t>
      </w:r>
      <w:r>
        <w:rPr>
          <w:rFonts w:hint="eastAsia" w:cs="Times New Roman Regular"/>
          <w:szCs w:val="32"/>
          <w:highlight w:val="none"/>
        </w:rPr>
        <w:t>海外高层次人才创新创业项目</w:t>
      </w:r>
      <w:r>
        <w:rPr>
          <w:rFonts w:hint="eastAsia"/>
          <w:szCs w:val="32"/>
          <w:highlight w:val="none"/>
        </w:rPr>
        <w:t>，每引进一个项目给予最高一百万元奖励，单个用人单位奖励最高五百万元：</w:t>
      </w:r>
    </w:p>
    <w:p w14:paraId="39465E5A">
      <w:pPr>
        <w:pStyle w:val="20"/>
        <w:ind w:firstLine="640"/>
        <w:jc w:val="both"/>
        <w:rPr>
          <w:rFonts w:ascii="Times New Roman" w:hAnsi="Times New Roman"/>
          <w:szCs w:val="32"/>
          <w:highlight w:val="none"/>
        </w:rPr>
      </w:pPr>
      <w:r>
        <w:rPr>
          <w:rFonts w:hint="eastAsia" w:ascii="Times New Roman" w:hAnsi="Times New Roman"/>
          <w:szCs w:val="32"/>
          <w:highlight w:val="none"/>
        </w:rPr>
        <w:t>（一）对于引进澳门高端人才、合作区杰出人才，其申报项目成功通过评审且获得资助的，每引进一个项目给予用人单位一百万元引才奖励</w:t>
      </w:r>
      <w:r>
        <w:rPr>
          <w:rFonts w:hint="eastAsia" w:ascii="Times New Roman" w:hAnsi="Times New Roman"/>
          <w:szCs w:val="32"/>
          <w:highlight w:val="none"/>
          <w:lang w:eastAsia="zh-CN"/>
        </w:rPr>
        <w:t>；</w:t>
      </w:r>
    </w:p>
    <w:p w14:paraId="76ADB9F7">
      <w:pPr>
        <w:pStyle w:val="45"/>
        <w:rPr>
          <w:szCs w:val="32"/>
          <w:highlight w:val="none"/>
        </w:rPr>
      </w:pPr>
      <w:r>
        <w:rPr>
          <w:rFonts w:hint="eastAsia"/>
          <w:szCs w:val="32"/>
          <w:highlight w:val="none"/>
        </w:rPr>
        <w:t>（二）对于引进澳门优秀人才、合作区领军人才，其申报项目成功通过评审且获得资助的，每引进一个项目给予用人单位七十万元引才奖励</w:t>
      </w:r>
      <w:r>
        <w:rPr>
          <w:rFonts w:hint="eastAsia"/>
          <w:szCs w:val="32"/>
          <w:highlight w:val="none"/>
          <w:lang w:eastAsia="zh-CN"/>
        </w:rPr>
        <w:t>；</w:t>
      </w:r>
    </w:p>
    <w:p w14:paraId="24300EA2">
      <w:pPr>
        <w:pStyle w:val="45"/>
        <w:rPr>
          <w:szCs w:val="32"/>
          <w:highlight w:val="none"/>
        </w:rPr>
      </w:pPr>
      <w:r>
        <w:rPr>
          <w:rFonts w:hint="eastAsia"/>
          <w:szCs w:val="32"/>
          <w:highlight w:val="none"/>
        </w:rPr>
        <w:t>（三）对于引进合作区拔尖人才，其申报项目成功通过评审且获得资助的，每引进一个项目给予用人单位五十万元引才奖励</w:t>
      </w:r>
      <w:r>
        <w:rPr>
          <w:rFonts w:hint="eastAsia"/>
          <w:szCs w:val="32"/>
          <w:highlight w:val="none"/>
          <w:lang w:eastAsia="zh-CN"/>
        </w:rPr>
        <w:t>；</w:t>
      </w:r>
    </w:p>
    <w:p w14:paraId="789C572F">
      <w:pPr>
        <w:pStyle w:val="45"/>
        <w:rPr>
          <w:szCs w:val="32"/>
          <w:highlight w:val="none"/>
        </w:rPr>
      </w:pPr>
      <w:r>
        <w:rPr>
          <w:rFonts w:hint="eastAsia"/>
          <w:szCs w:val="32"/>
          <w:highlight w:val="none"/>
        </w:rPr>
        <w:t>（四）对于引进合作区青年英才，其申报项目成功通过评审且获得资助的，每引进一个团队给予用人单位二十万元引才奖励</w:t>
      </w:r>
      <w:r>
        <w:rPr>
          <w:rFonts w:hint="eastAsia"/>
          <w:szCs w:val="32"/>
          <w:highlight w:val="none"/>
          <w:lang w:eastAsia="zh-CN"/>
        </w:rPr>
        <w:t>；</w:t>
      </w:r>
    </w:p>
    <w:p w14:paraId="0804477B">
      <w:pPr>
        <w:pStyle w:val="45"/>
        <w:rPr>
          <w:szCs w:val="32"/>
          <w:highlight w:val="none"/>
        </w:rPr>
      </w:pPr>
      <w:r>
        <w:rPr>
          <w:rFonts w:hint="eastAsia"/>
          <w:szCs w:val="32"/>
          <w:highlight w:val="none"/>
        </w:rPr>
        <w:t>（五）对于用人单位引进已入选国家级或省级人才工程的海外高层次人才，其申报项目成功通过合作区海外高层次人才创新创业项目评审且获得资助的，经合作区人才主管部门参照</w:t>
      </w:r>
      <w:r>
        <w:rPr>
          <w:rFonts w:hint="eastAsia" w:ascii="仿宋_GB2312" w:cs="Times New Roman"/>
          <w:szCs w:val="32"/>
          <w:highlight w:val="none"/>
        </w:rPr>
        <w:t>合作区高层次人才的评定标准</w:t>
      </w:r>
      <w:r>
        <w:rPr>
          <w:rFonts w:hint="eastAsia"/>
          <w:szCs w:val="32"/>
          <w:highlight w:val="none"/>
        </w:rPr>
        <w:t>评定项目负责人对应的高层次人才类别后，按照上述四类标准的对应等级给予用人单位引才奖励。</w:t>
      </w:r>
    </w:p>
    <w:p w14:paraId="207BFCCB">
      <w:pPr>
        <w:rPr>
          <w:szCs w:val="32"/>
          <w:highlight w:val="none"/>
        </w:rPr>
      </w:pPr>
    </w:p>
    <w:p w14:paraId="33DD4AF1">
      <w:pPr>
        <w:pStyle w:val="5"/>
        <w:rPr>
          <w:highlight w:val="none"/>
        </w:rPr>
      </w:pPr>
      <w:r>
        <w:rPr>
          <w:highlight w:val="none"/>
        </w:rPr>
        <w:t>第</w:t>
      </w:r>
      <w:r>
        <w:rPr>
          <w:rFonts w:hint="eastAsia"/>
          <w:highlight w:val="none"/>
        </w:rPr>
        <w:t>十九</w:t>
      </w:r>
      <w:r>
        <w:rPr>
          <w:highlight w:val="none"/>
        </w:rPr>
        <w:t>条</w:t>
      </w:r>
    </w:p>
    <w:p w14:paraId="576E8101">
      <w:pPr>
        <w:pStyle w:val="5"/>
        <w:rPr>
          <w:highlight w:val="none"/>
        </w:rPr>
      </w:pPr>
      <w:r>
        <w:rPr>
          <w:rFonts w:hint="eastAsia"/>
          <w:highlight w:val="none"/>
        </w:rPr>
        <w:t>申请说明</w:t>
      </w:r>
    </w:p>
    <w:p w14:paraId="6C69151B">
      <w:pPr>
        <w:pStyle w:val="45"/>
        <w:rPr>
          <w:szCs w:val="32"/>
          <w:highlight w:val="none"/>
        </w:rPr>
      </w:pPr>
    </w:p>
    <w:p w14:paraId="3905CF45">
      <w:pPr>
        <w:pStyle w:val="45"/>
        <w:rPr>
          <w:szCs w:val="32"/>
          <w:highlight w:val="none"/>
        </w:rPr>
      </w:pPr>
      <w:r>
        <w:rPr>
          <w:rFonts w:hint="eastAsia"/>
          <w:szCs w:val="32"/>
          <w:highlight w:val="none"/>
        </w:rPr>
        <w:t>本办法相关资助措施按照自愿申请、严格审核的原则，由合作区人才主管部门发布申请指南、集中组织申请。</w:t>
      </w:r>
    </w:p>
    <w:p w14:paraId="03E29C0C">
      <w:pPr>
        <w:pStyle w:val="45"/>
        <w:rPr>
          <w:szCs w:val="32"/>
          <w:highlight w:val="none"/>
        </w:rPr>
      </w:pPr>
      <w:r>
        <w:rPr>
          <w:rFonts w:hint="eastAsia"/>
          <w:szCs w:val="32"/>
          <w:highlight w:val="none"/>
        </w:rPr>
        <w:t>申请指南在执行委员会官方网站进行公开发布。</w:t>
      </w:r>
    </w:p>
    <w:p w14:paraId="47B10C75">
      <w:pPr>
        <w:pStyle w:val="45"/>
        <w:rPr>
          <w:szCs w:val="32"/>
          <w:highlight w:val="none"/>
        </w:rPr>
      </w:pPr>
      <w:r>
        <w:rPr>
          <w:rFonts w:hint="eastAsia"/>
          <w:szCs w:val="32"/>
          <w:highlight w:val="none"/>
        </w:rPr>
        <w:t>申请人按照申请指南要求，在申请有效期内提交相关资料。</w:t>
      </w:r>
    </w:p>
    <w:p w14:paraId="6EEFE320">
      <w:pPr>
        <w:pStyle w:val="45"/>
        <w:rPr>
          <w:szCs w:val="32"/>
          <w:highlight w:val="none"/>
        </w:rPr>
      </w:pPr>
      <w:r>
        <w:rPr>
          <w:rFonts w:hint="eastAsia"/>
          <w:szCs w:val="32"/>
          <w:highlight w:val="none"/>
        </w:rPr>
        <w:t>申请人和申请单位应如实提供申请材料，对材料的真实性和准确性负责。存在违法违规、虚假申请等行为或被纳入失信被执行人名单的申请主体，取消其享受本办法资助的资格。</w:t>
      </w:r>
    </w:p>
    <w:p w14:paraId="18E8AF82">
      <w:pPr>
        <w:pStyle w:val="45"/>
        <w:rPr>
          <w:szCs w:val="32"/>
          <w:highlight w:val="none"/>
        </w:rPr>
      </w:pPr>
      <w:r>
        <w:rPr>
          <w:rFonts w:hint="eastAsia"/>
          <w:szCs w:val="32"/>
          <w:highlight w:val="none"/>
        </w:rPr>
        <w:t>除另有规定外，申请主体在享受本办法资助的同时不影响其申请国家、广东省的其他政策扶持和优惠，但由合作区财政承担或配套的除外。</w:t>
      </w:r>
    </w:p>
    <w:p w14:paraId="39227AC2">
      <w:pPr>
        <w:adjustRightInd w:val="0"/>
        <w:snapToGrid w:val="0"/>
        <w:rPr>
          <w:szCs w:val="32"/>
          <w:highlight w:val="none"/>
        </w:rPr>
      </w:pPr>
      <w:r>
        <w:rPr>
          <w:rFonts w:hint="eastAsia"/>
          <w:szCs w:val="32"/>
          <w:highlight w:val="none"/>
        </w:rPr>
        <w:t>除另有规定外，本政策与合作区同级财政发放的同类补贴、珠海市其他相关政策存在重复或交叉情形的，除另有明确规定外，按照就高、不重复原则执行。</w:t>
      </w:r>
    </w:p>
    <w:p w14:paraId="3B720399">
      <w:pPr>
        <w:pStyle w:val="5"/>
        <w:jc w:val="both"/>
        <w:rPr>
          <w:highlight w:val="none"/>
        </w:rPr>
      </w:pPr>
    </w:p>
    <w:p w14:paraId="40F2EB55">
      <w:pPr>
        <w:pStyle w:val="5"/>
        <w:rPr>
          <w:highlight w:val="none"/>
        </w:rPr>
      </w:pPr>
      <w:r>
        <w:rPr>
          <w:highlight w:val="none"/>
        </w:rPr>
        <w:t>第</w:t>
      </w:r>
      <w:r>
        <w:rPr>
          <w:rFonts w:hint="eastAsia"/>
          <w:highlight w:val="none"/>
        </w:rPr>
        <w:t>二十</w:t>
      </w:r>
      <w:r>
        <w:rPr>
          <w:highlight w:val="none"/>
        </w:rPr>
        <w:t>条</w:t>
      </w:r>
    </w:p>
    <w:p w14:paraId="4D86367D">
      <w:pPr>
        <w:pStyle w:val="5"/>
        <w:rPr>
          <w:highlight w:val="none"/>
        </w:rPr>
      </w:pPr>
      <w:r>
        <w:rPr>
          <w:rFonts w:hint="eastAsia"/>
          <w:highlight w:val="none"/>
        </w:rPr>
        <w:t>资金来源</w:t>
      </w:r>
    </w:p>
    <w:p w14:paraId="2BCD4FBA">
      <w:pPr>
        <w:rPr>
          <w:szCs w:val="32"/>
          <w:highlight w:val="none"/>
        </w:rPr>
      </w:pPr>
    </w:p>
    <w:p w14:paraId="4BC7B20A">
      <w:pPr>
        <w:rPr>
          <w:szCs w:val="32"/>
          <w:highlight w:val="none"/>
        </w:rPr>
      </w:pPr>
      <w:r>
        <w:rPr>
          <w:rFonts w:hint="eastAsia"/>
          <w:szCs w:val="32"/>
          <w:highlight w:val="none"/>
        </w:rPr>
        <w:t>本办法所需资金实行预算管理，按年度在合作区专项资金预算中安排。</w:t>
      </w:r>
    </w:p>
    <w:p w14:paraId="48ACCDDC">
      <w:pPr>
        <w:rPr>
          <w:szCs w:val="32"/>
          <w:highlight w:val="none"/>
        </w:rPr>
      </w:pPr>
      <w:r>
        <w:rPr>
          <w:rFonts w:hint="eastAsia"/>
          <w:szCs w:val="32"/>
          <w:highlight w:val="none"/>
        </w:rPr>
        <w:t>申请人和申请单位取得的资助资金应当依法纳税。</w:t>
      </w:r>
    </w:p>
    <w:p w14:paraId="261AAFB8">
      <w:pPr>
        <w:pStyle w:val="5"/>
        <w:jc w:val="both"/>
        <w:rPr>
          <w:highlight w:val="none"/>
        </w:rPr>
      </w:pPr>
    </w:p>
    <w:p w14:paraId="3498A3F6">
      <w:pPr>
        <w:pStyle w:val="5"/>
        <w:rPr>
          <w:highlight w:val="none"/>
        </w:rPr>
      </w:pPr>
      <w:r>
        <w:rPr>
          <w:highlight w:val="none"/>
        </w:rPr>
        <w:t>第</w:t>
      </w:r>
      <w:r>
        <w:rPr>
          <w:rFonts w:hint="eastAsia"/>
          <w:highlight w:val="none"/>
        </w:rPr>
        <w:t>二十一</w:t>
      </w:r>
      <w:r>
        <w:rPr>
          <w:highlight w:val="none"/>
        </w:rPr>
        <w:t>条</w:t>
      </w:r>
    </w:p>
    <w:p w14:paraId="078C78FB">
      <w:pPr>
        <w:pStyle w:val="5"/>
        <w:rPr>
          <w:highlight w:val="none"/>
        </w:rPr>
      </w:pPr>
      <w:r>
        <w:rPr>
          <w:rFonts w:hint="eastAsia"/>
          <w:highlight w:val="none"/>
        </w:rPr>
        <w:t>法律责任</w:t>
      </w:r>
    </w:p>
    <w:p w14:paraId="629675A0">
      <w:pPr>
        <w:rPr>
          <w:szCs w:val="32"/>
          <w:highlight w:val="none"/>
        </w:rPr>
      </w:pPr>
    </w:p>
    <w:p w14:paraId="1B532F25">
      <w:pPr>
        <w:rPr>
          <w:szCs w:val="32"/>
          <w:highlight w:val="none"/>
        </w:rPr>
      </w:pPr>
      <w:r>
        <w:rPr>
          <w:rFonts w:hint="eastAsia"/>
          <w:szCs w:val="32"/>
          <w:highlight w:val="none"/>
        </w:rPr>
        <w:t>对提供虚假申请材料的个人和申请单位，取消其申请本办法相关资助的资格。已经获取资助资金的，予以追缴；涉嫌违法犯罪的，依法追究法律责任</w:t>
      </w:r>
      <w:r>
        <w:rPr>
          <w:szCs w:val="32"/>
          <w:highlight w:val="none"/>
        </w:rPr>
        <w:t>。</w:t>
      </w:r>
    </w:p>
    <w:p w14:paraId="3A51B706">
      <w:pPr>
        <w:rPr>
          <w:szCs w:val="32"/>
          <w:highlight w:val="none"/>
        </w:rPr>
      </w:pPr>
    </w:p>
    <w:p w14:paraId="760AF3D7">
      <w:pPr>
        <w:pStyle w:val="5"/>
        <w:rPr>
          <w:highlight w:val="none"/>
        </w:rPr>
      </w:pPr>
      <w:r>
        <w:rPr>
          <w:highlight w:val="none"/>
        </w:rPr>
        <w:t>第</w:t>
      </w:r>
      <w:r>
        <w:rPr>
          <w:rFonts w:hint="eastAsia"/>
          <w:highlight w:val="none"/>
        </w:rPr>
        <w:t>二十二</w:t>
      </w:r>
      <w:r>
        <w:rPr>
          <w:highlight w:val="none"/>
        </w:rPr>
        <w:t>条</w:t>
      </w:r>
    </w:p>
    <w:p w14:paraId="08CABB45">
      <w:pPr>
        <w:pStyle w:val="5"/>
        <w:rPr>
          <w:highlight w:val="none"/>
        </w:rPr>
      </w:pPr>
      <w:r>
        <w:rPr>
          <w:highlight w:val="none"/>
        </w:rPr>
        <w:t>解释</w:t>
      </w:r>
      <w:r>
        <w:rPr>
          <w:rFonts w:hint="eastAsia"/>
          <w:highlight w:val="none"/>
        </w:rPr>
        <w:t>权</w:t>
      </w:r>
    </w:p>
    <w:p w14:paraId="6D8B16C0">
      <w:pPr>
        <w:rPr>
          <w:szCs w:val="32"/>
          <w:highlight w:val="none"/>
        </w:rPr>
      </w:pPr>
    </w:p>
    <w:p w14:paraId="531E2C00">
      <w:pPr>
        <w:rPr>
          <w:szCs w:val="32"/>
          <w:highlight w:val="none"/>
        </w:rPr>
      </w:pPr>
      <w:r>
        <w:rPr>
          <w:rFonts w:hint="eastAsia"/>
          <w:szCs w:val="32"/>
          <w:highlight w:val="none"/>
        </w:rPr>
        <w:t>本办法由合作区经济发展局负责解释。</w:t>
      </w:r>
    </w:p>
    <w:p w14:paraId="60104466">
      <w:pPr>
        <w:rPr>
          <w:szCs w:val="32"/>
          <w:highlight w:val="none"/>
        </w:rPr>
      </w:pPr>
    </w:p>
    <w:p w14:paraId="004D26BE">
      <w:pPr>
        <w:pStyle w:val="5"/>
        <w:rPr>
          <w:highlight w:val="none"/>
        </w:rPr>
      </w:pPr>
      <w:r>
        <w:rPr>
          <w:highlight w:val="none"/>
        </w:rPr>
        <w:t>第</w:t>
      </w:r>
      <w:r>
        <w:rPr>
          <w:rFonts w:hint="eastAsia"/>
          <w:highlight w:val="none"/>
        </w:rPr>
        <w:t>二十三</w:t>
      </w:r>
      <w:r>
        <w:rPr>
          <w:highlight w:val="none"/>
        </w:rPr>
        <w:t>条</w:t>
      </w:r>
    </w:p>
    <w:p w14:paraId="50DC1FC7">
      <w:pPr>
        <w:pStyle w:val="5"/>
        <w:rPr>
          <w:highlight w:val="none"/>
        </w:rPr>
      </w:pPr>
      <w:r>
        <w:rPr>
          <w:rFonts w:hint="eastAsia"/>
          <w:highlight w:val="none"/>
        </w:rPr>
        <w:t>施行日期和有效期</w:t>
      </w:r>
    </w:p>
    <w:p w14:paraId="25119686">
      <w:pPr>
        <w:rPr>
          <w:szCs w:val="32"/>
          <w:highlight w:val="none"/>
        </w:rPr>
      </w:pPr>
    </w:p>
    <w:p w14:paraId="4803EB7C">
      <w:pPr>
        <w:rPr>
          <w:szCs w:val="32"/>
          <w:highlight w:val="none"/>
        </w:rPr>
      </w:pPr>
      <w:r>
        <w:rPr>
          <w:rFonts w:hint="eastAsia"/>
          <w:szCs w:val="32"/>
          <w:highlight w:val="none"/>
        </w:rPr>
        <w:t>本办法</w:t>
      </w:r>
      <w:r>
        <w:rPr>
          <w:rFonts w:hint="eastAsia"/>
          <w:szCs w:val="32"/>
          <w:highlight w:val="none"/>
          <w:lang w:val="en-US" w:eastAsia="zh-CN"/>
        </w:rPr>
        <w:t>自2026年 月 日</w:t>
      </w:r>
      <w:r>
        <w:rPr>
          <w:rFonts w:hint="eastAsia"/>
          <w:szCs w:val="32"/>
          <w:highlight w:val="none"/>
        </w:rPr>
        <w:t>起实施，有效期至2029年12月31日。</w:t>
      </w:r>
    </w:p>
    <w:p w14:paraId="4F21E41A">
      <w:pPr>
        <w:rPr>
          <w:szCs w:val="32"/>
          <w:highlight w:val="none"/>
        </w:rPr>
      </w:pPr>
      <w:r>
        <w:rPr>
          <w:rFonts w:hint="eastAsia"/>
          <w:szCs w:val="32"/>
          <w:highlight w:val="none"/>
        </w:rPr>
        <w:t>涉及连续补贴的项目，在本办法有效期内已申请补贴资金的，本办法有效期截止后符合条件可按照后续的年度申请指南申请剩余期限的补贴。</w:t>
      </w:r>
    </w:p>
    <w:p w14:paraId="3A86C4B3">
      <w:pPr>
        <w:pStyle w:val="2"/>
        <w:ind w:firstLine="600"/>
        <w:rPr>
          <w:sz w:val="32"/>
          <w:szCs w:val="32"/>
          <w:highlight w:val="none"/>
        </w:rPr>
      </w:pPr>
    </w:p>
    <w:p w14:paraId="6876E15B">
      <w:pPr>
        <w:pStyle w:val="2"/>
        <w:ind w:firstLine="600"/>
        <w:rPr>
          <w:highlight w:val="none"/>
        </w:rPr>
      </w:pPr>
    </w:p>
    <w:p w14:paraId="04344443">
      <w:pPr>
        <w:pStyle w:val="2"/>
        <w:ind w:firstLine="600"/>
        <w:rPr>
          <w:highlight w:val="none"/>
        </w:rPr>
      </w:pPr>
    </w:p>
    <w:p w14:paraId="50E9E842">
      <w:pPr>
        <w:ind w:firstLine="0" w:firstLineChars="0"/>
        <w:rPr>
          <w:szCs w:val="32"/>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imes New Roman Regular">
    <w:altName w:val="Times New Roman"/>
    <w:panose1 w:val="00000000000000000000"/>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sz w:val="28"/>
        <w:szCs w:val="28"/>
      </w:rPr>
    </w:sdtEndPr>
    <w:sdtContent>
      <w:p w14:paraId="0B61A692">
        <w:pPr>
          <w:pStyle w:val="16"/>
          <w:ind w:firstLine="36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23F53">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5936">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09606">
    <w:pPr>
      <w:pStyle w:val="1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48888">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BBA68">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1F"/>
    <w:rsid w:val="00013FC2"/>
    <w:rsid w:val="000268AC"/>
    <w:rsid w:val="00031AC5"/>
    <w:rsid w:val="00042019"/>
    <w:rsid w:val="000440C3"/>
    <w:rsid w:val="000443BD"/>
    <w:rsid w:val="00060866"/>
    <w:rsid w:val="00085FAF"/>
    <w:rsid w:val="000B1333"/>
    <w:rsid w:val="000B190D"/>
    <w:rsid w:val="000B31A2"/>
    <w:rsid w:val="000C3874"/>
    <w:rsid w:val="000D7EB9"/>
    <w:rsid w:val="000E1616"/>
    <w:rsid w:val="000E333A"/>
    <w:rsid w:val="000F024F"/>
    <w:rsid w:val="00127F80"/>
    <w:rsid w:val="0015001B"/>
    <w:rsid w:val="00163979"/>
    <w:rsid w:val="001774D2"/>
    <w:rsid w:val="00190C77"/>
    <w:rsid w:val="001A4286"/>
    <w:rsid w:val="001B1652"/>
    <w:rsid w:val="001B2ECC"/>
    <w:rsid w:val="001C6EE6"/>
    <w:rsid w:val="001E1BF3"/>
    <w:rsid w:val="001F1D29"/>
    <w:rsid w:val="0020318F"/>
    <w:rsid w:val="002125E5"/>
    <w:rsid w:val="002265F0"/>
    <w:rsid w:val="00236B90"/>
    <w:rsid w:val="00236D23"/>
    <w:rsid w:val="00240D92"/>
    <w:rsid w:val="00242662"/>
    <w:rsid w:val="002459E3"/>
    <w:rsid w:val="002512B2"/>
    <w:rsid w:val="00253E6E"/>
    <w:rsid w:val="00262272"/>
    <w:rsid w:val="00270FC0"/>
    <w:rsid w:val="00273F7C"/>
    <w:rsid w:val="00281CCE"/>
    <w:rsid w:val="00291C79"/>
    <w:rsid w:val="00295BE2"/>
    <w:rsid w:val="002A0266"/>
    <w:rsid w:val="002C3DAE"/>
    <w:rsid w:val="002C63F1"/>
    <w:rsid w:val="002D58B9"/>
    <w:rsid w:val="002E161D"/>
    <w:rsid w:val="002F2E5E"/>
    <w:rsid w:val="002F3DE6"/>
    <w:rsid w:val="002F7842"/>
    <w:rsid w:val="00302044"/>
    <w:rsid w:val="00315088"/>
    <w:rsid w:val="003213AA"/>
    <w:rsid w:val="00335734"/>
    <w:rsid w:val="00372096"/>
    <w:rsid w:val="00374E4C"/>
    <w:rsid w:val="00376F20"/>
    <w:rsid w:val="00385A61"/>
    <w:rsid w:val="003D3627"/>
    <w:rsid w:val="003D37D0"/>
    <w:rsid w:val="003E1357"/>
    <w:rsid w:val="003E7A9D"/>
    <w:rsid w:val="00400C62"/>
    <w:rsid w:val="00414FEB"/>
    <w:rsid w:val="0042069C"/>
    <w:rsid w:val="00420CE5"/>
    <w:rsid w:val="004340B8"/>
    <w:rsid w:val="0045480C"/>
    <w:rsid w:val="00462D81"/>
    <w:rsid w:val="0047141D"/>
    <w:rsid w:val="00486860"/>
    <w:rsid w:val="004938D9"/>
    <w:rsid w:val="004A06EF"/>
    <w:rsid w:val="004B5214"/>
    <w:rsid w:val="004C26D4"/>
    <w:rsid w:val="004E748B"/>
    <w:rsid w:val="004F6C27"/>
    <w:rsid w:val="0050102B"/>
    <w:rsid w:val="00516227"/>
    <w:rsid w:val="0052345C"/>
    <w:rsid w:val="00557B4F"/>
    <w:rsid w:val="00570E73"/>
    <w:rsid w:val="005741A0"/>
    <w:rsid w:val="005934B2"/>
    <w:rsid w:val="005A2FD9"/>
    <w:rsid w:val="005D7AF9"/>
    <w:rsid w:val="005E551F"/>
    <w:rsid w:val="005F5835"/>
    <w:rsid w:val="00613B9E"/>
    <w:rsid w:val="00616D0F"/>
    <w:rsid w:val="00617320"/>
    <w:rsid w:val="0062187F"/>
    <w:rsid w:val="00622AB2"/>
    <w:rsid w:val="00627BB5"/>
    <w:rsid w:val="00630945"/>
    <w:rsid w:val="00640EEB"/>
    <w:rsid w:val="00677D08"/>
    <w:rsid w:val="00680E0B"/>
    <w:rsid w:val="00686186"/>
    <w:rsid w:val="00687380"/>
    <w:rsid w:val="006916FE"/>
    <w:rsid w:val="006A0549"/>
    <w:rsid w:val="006A216D"/>
    <w:rsid w:val="006A3193"/>
    <w:rsid w:val="006D7A6F"/>
    <w:rsid w:val="006E7799"/>
    <w:rsid w:val="00715EDA"/>
    <w:rsid w:val="00721ECC"/>
    <w:rsid w:val="0072704D"/>
    <w:rsid w:val="0072717B"/>
    <w:rsid w:val="007324F4"/>
    <w:rsid w:val="00735C87"/>
    <w:rsid w:val="00736E7F"/>
    <w:rsid w:val="00737024"/>
    <w:rsid w:val="00746B4A"/>
    <w:rsid w:val="00754775"/>
    <w:rsid w:val="00756841"/>
    <w:rsid w:val="007C131B"/>
    <w:rsid w:val="007D0278"/>
    <w:rsid w:val="007E6E59"/>
    <w:rsid w:val="007F7732"/>
    <w:rsid w:val="0081326D"/>
    <w:rsid w:val="008147F4"/>
    <w:rsid w:val="00822158"/>
    <w:rsid w:val="008533CB"/>
    <w:rsid w:val="008604F5"/>
    <w:rsid w:val="00860FF2"/>
    <w:rsid w:val="00863827"/>
    <w:rsid w:val="008870BD"/>
    <w:rsid w:val="00890A38"/>
    <w:rsid w:val="008B157E"/>
    <w:rsid w:val="008B3E96"/>
    <w:rsid w:val="008D35BA"/>
    <w:rsid w:val="008D3C55"/>
    <w:rsid w:val="008E1D84"/>
    <w:rsid w:val="008F205A"/>
    <w:rsid w:val="008F44C4"/>
    <w:rsid w:val="008F58F5"/>
    <w:rsid w:val="008F5F2E"/>
    <w:rsid w:val="008F6885"/>
    <w:rsid w:val="009054E1"/>
    <w:rsid w:val="0092568E"/>
    <w:rsid w:val="00934E10"/>
    <w:rsid w:val="009375FC"/>
    <w:rsid w:val="00943E19"/>
    <w:rsid w:val="0095111F"/>
    <w:rsid w:val="00962845"/>
    <w:rsid w:val="00996265"/>
    <w:rsid w:val="009C2AEE"/>
    <w:rsid w:val="009D5765"/>
    <w:rsid w:val="009E3430"/>
    <w:rsid w:val="009F6713"/>
    <w:rsid w:val="009F7F65"/>
    <w:rsid w:val="00A0388A"/>
    <w:rsid w:val="00A145A9"/>
    <w:rsid w:val="00A17789"/>
    <w:rsid w:val="00A53086"/>
    <w:rsid w:val="00A62E3B"/>
    <w:rsid w:val="00A701F1"/>
    <w:rsid w:val="00A838E5"/>
    <w:rsid w:val="00AB551E"/>
    <w:rsid w:val="00AC34FF"/>
    <w:rsid w:val="00AE2E47"/>
    <w:rsid w:val="00AE5480"/>
    <w:rsid w:val="00AF5AD6"/>
    <w:rsid w:val="00AF67A9"/>
    <w:rsid w:val="00B01D50"/>
    <w:rsid w:val="00B04289"/>
    <w:rsid w:val="00B145D4"/>
    <w:rsid w:val="00B21C70"/>
    <w:rsid w:val="00B33044"/>
    <w:rsid w:val="00B342D1"/>
    <w:rsid w:val="00B57EAC"/>
    <w:rsid w:val="00B644D1"/>
    <w:rsid w:val="00B72273"/>
    <w:rsid w:val="00B807EC"/>
    <w:rsid w:val="00B9102B"/>
    <w:rsid w:val="00BB0AA7"/>
    <w:rsid w:val="00BB3CBD"/>
    <w:rsid w:val="00BC0853"/>
    <w:rsid w:val="00C04C63"/>
    <w:rsid w:val="00C06452"/>
    <w:rsid w:val="00C100A2"/>
    <w:rsid w:val="00C613CC"/>
    <w:rsid w:val="00C659C9"/>
    <w:rsid w:val="00C751B2"/>
    <w:rsid w:val="00C76930"/>
    <w:rsid w:val="00C8164E"/>
    <w:rsid w:val="00C85886"/>
    <w:rsid w:val="00CA0EDF"/>
    <w:rsid w:val="00CC181F"/>
    <w:rsid w:val="00CC32AE"/>
    <w:rsid w:val="00CC6EA1"/>
    <w:rsid w:val="00CE16FB"/>
    <w:rsid w:val="00CE3980"/>
    <w:rsid w:val="00D013CE"/>
    <w:rsid w:val="00D07682"/>
    <w:rsid w:val="00D51E59"/>
    <w:rsid w:val="00D53877"/>
    <w:rsid w:val="00D63FBF"/>
    <w:rsid w:val="00D75D01"/>
    <w:rsid w:val="00D772AD"/>
    <w:rsid w:val="00D8249F"/>
    <w:rsid w:val="00D871BC"/>
    <w:rsid w:val="00DB291D"/>
    <w:rsid w:val="00DB641C"/>
    <w:rsid w:val="00DC445D"/>
    <w:rsid w:val="00DD6D46"/>
    <w:rsid w:val="00E027EE"/>
    <w:rsid w:val="00E02FAF"/>
    <w:rsid w:val="00E064E0"/>
    <w:rsid w:val="00E33F2D"/>
    <w:rsid w:val="00E43215"/>
    <w:rsid w:val="00E86EEA"/>
    <w:rsid w:val="00E93A35"/>
    <w:rsid w:val="00E962E8"/>
    <w:rsid w:val="00EA1BD2"/>
    <w:rsid w:val="00EE4A1A"/>
    <w:rsid w:val="00EF3CD3"/>
    <w:rsid w:val="00F020A4"/>
    <w:rsid w:val="00F14D90"/>
    <w:rsid w:val="00F24ABA"/>
    <w:rsid w:val="00F253ED"/>
    <w:rsid w:val="00F25C60"/>
    <w:rsid w:val="00F348CA"/>
    <w:rsid w:val="00F4125B"/>
    <w:rsid w:val="00F5356C"/>
    <w:rsid w:val="00F56C01"/>
    <w:rsid w:val="00F655F8"/>
    <w:rsid w:val="00F65A17"/>
    <w:rsid w:val="00F65A3F"/>
    <w:rsid w:val="00F76408"/>
    <w:rsid w:val="00F822AF"/>
    <w:rsid w:val="00F87212"/>
    <w:rsid w:val="00F87B7D"/>
    <w:rsid w:val="00F9556E"/>
    <w:rsid w:val="00F97FDE"/>
    <w:rsid w:val="00FC0BB9"/>
    <w:rsid w:val="00FC1232"/>
    <w:rsid w:val="00FC28BC"/>
    <w:rsid w:val="00FC5084"/>
    <w:rsid w:val="00FC542B"/>
    <w:rsid w:val="00FC7F8D"/>
    <w:rsid w:val="00FE02EC"/>
    <w:rsid w:val="010827C0"/>
    <w:rsid w:val="0217097D"/>
    <w:rsid w:val="08FD5787"/>
    <w:rsid w:val="0BBE3567"/>
    <w:rsid w:val="0F77FA1F"/>
    <w:rsid w:val="12BF5B72"/>
    <w:rsid w:val="17DF704A"/>
    <w:rsid w:val="17FBBB0C"/>
    <w:rsid w:val="19397006"/>
    <w:rsid w:val="1A772AD5"/>
    <w:rsid w:val="1B755AC0"/>
    <w:rsid w:val="1BDF5F0C"/>
    <w:rsid w:val="1F4F1622"/>
    <w:rsid w:val="253F9308"/>
    <w:rsid w:val="25F5222E"/>
    <w:rsid w:val="2A7F3BBD"/>
    <w:rsid w:val="2EDD8CAB"/>
    <w:rsid w:val="2F5E548D"/>
    <w:rsid w:val="2FFB5387"/>
    <w:rsid w:val="2FFBD9A2"/>
    <w:rsid w:val="33FB5A50"/>
    <w:rsid w:val="341E3B09"/>
    <w:rsid w:val="34FF40D4"/>
    <w:rsid w:val="351F4246"/>
    <w:rsid w:val="35ADD6DC"/>
    <w:rsid w:val="36E110BC"/>
    <w:rsid w:val="372859CB"/>
    <w:rsid w:val="37FCF9D9"/>
    <w:rsid w:val="3B6CAEB5"/>
    <w:rsid w:val="3BB37B36"/>
    <w:rsid w:val="3BBA4DCA"/>
    <w:rsid w:val="3BD7935E"/>
    <w:rsid w:val="3BDA0AD5"/>
    <w:rsid w:val="3BDAFC22"/>
    <w:rsid w:val="3EFDE50F"/>
    <w:rsid w:val="3F7F1E02"/>
    <w:rsid w:val="3F9F04A6"/>
    <w:rsid w:val="3FCFA446"/>
    <w:rsid w:val="3FDB9495"/>
    <w:rsid w:val="3FFB5C8E"/>
    <w:rsid w:val="3FFEF32D"/>
    <w:rsid w:val="3FFF0561"/>
    <w:rsid w:val="3FFF55BE"/>
    <w:rsid w:val="43CC16CE"/>
    <w:rsid w:val="474FE93B"/>
    <w:rsid w:val="47FEFC13"/>
    <w:rsid w:val="4825500D"/>
    <w:rsid w:val="4A4659BE"/>
    <w:rsid w:val="4B37517E"/>
    <w:rsid w:val="4C750E3F"/>
    <w:rsid w:val="4EDF58A7"/>
    <w:rsid w:val="4EE7692A"/>
    <w:rsid w:val="4F7F1509"/>
    <w:rsid w:val="53D7FF26"/>
    <w:rsid w:val="53FB9D29"/>
    <w:rsid w:val="56F5C956"/>
    <w:rsid w:val="57AE8EF0"/>
    <w:rsid w:val="597D35D8"/>
    <w:rsid w:val="59F28AF5"/>
    <w:rsid w:val="5B2F6ABE"/>
    <w:rsid w:val="5CE41110"/>
    <w:rsid w:val="5DFE50C2"/>
    <w:rsid w:val="5F9F106C"/>
    <w:rsid w:val="634E6D7C"/>
    <w:rsid w:val="65FD10D6"/>
    <w:rsid w:val="69FF7B56"/>
    <w:rsid w:val="6A0F65A5"/>
    <w:rsid w:val="6A6D28B7"/>
    <w:rsid w:val="6BA45A10"/>
    <w:rsid w:val="6CBFD99E"/>
    <w:rsid w:val="6DBFED31"/>
    <w:rsid w:val="6DD71582"/>
    <w:rsid w:val="6DEE3B38"/>
    <w:rsid w:val="6DF7F595"/>
    <w:rsid w:val="6E39ABDD"/>
    <w:rsid w:val="6EAF1209"/>
    <w:rsid w:val="6EDD3710"/>
    <w:rsid w:val="6EE7A66C"/>
    <w:rsid w:val="6F7CAEA3"/>
    <w:rsid w:val="6F7EA900"/>
    <w:rsid w:val="6FDFF687"/>
    <w:rsid w:val="6FFD76C8"/>
    <w:rsid w:val="700B2B07"/>
    <w:rsid w:val="71073887"/>
    <w:rsid w:val="7319A71C"/>
    <w:rsid w:val="73679D11"/>
    <w:rsid w:val="739D37E8"/>
    <w:rsid w:val="73EB8717"/>
    <w:rsid w:val="73FD02BB"/>
    <w:rsid w:val="75AFC680"/>
    <w:rsid w:val="75E9499E"/>
    <w:rsid w:val="75FF2281"/>
    <w:rsid w:val="767D67C7"/>
    <w:rsid w:val="769C74E4"/>
    <w:rsid w:val="76BBB6B1"/>
    <w:rsid w:val="76E5F8C3"/>
    <w:rsid w:val="773FFE77"/>
    <w:rsid w:val="776B4E87"/>
    <w:rsid w:val="776DB62D"/>
    <w:rsid w:val="77F70D14"/>
    <w:rsid w:val="78FF5EDA"/>
    <w:rsid w:val="795FC0DE"/>
    <w:rsid w:val="79CF644E"/>
    <w:rsid w:val="79DCBA2E"/>
    <w:rsid w:val="7A577B13"/>
    <w:rsid w:val="7B23B609"/>
    <w:rsid w:val="7B3FC48A"/>
    <w:rsid w:val="7BFB55F8"/>
    <w:rsid w:val="7BFF96FF"/>
    <w:rsid w:val="7D7F32BE"/>
    <w:rsid w:val="7DBF32E0"/>
    <w:rsid w:val="7DFC8B93"/>
    <w:rsid w:val="7EEF393F"/>
    <w:rsid w:val="7EF53BFB"/>
    <w:rsid w:val="7EFBA009"/>
    <w:rsid w:val="7F5CAB89"/>
    <w:rsid w:val="7F75A2C9"/>
    <w:rsid w:val="7F7DA775"/>
    <w:rsid w:val="7FB7D6F9"/>
    <w:rsid w:val="7FD9E72D"/>
    <w:rsid w:val="7FDF5869"/>
    <w:rsid w:val="7FEAE160"/>
    <w:rsid w:val="7FFAE353"/>
    <w:rsid w:val="7FFF0472"/>
    <w:rsid w:val="9AB5C71E"/>
    <w:rsid w:val="9BBFBFE6"/>
    <w:rsid w:val="9DAD10F6"/>
    <w:rsid w:val="9EAF7D75"/>
    <w:rsid w:val="A3F1E56A"/>
    <w:rsid w:val="A47F5BDF"/>
    <w:rsid w:val="A7BEF88F"/>
    <w:rsid w:val="AE57DFBF"/>
    <w:rsid w:val="AFEF60DE"/>
    <w:rsid w:val="AFFE0CBE"/>
    <w:rsid w:val="B67F8FF9"/>
    <w:rsid w:val="B7D3858B"/>
    <w:rsid w:val="B7E621DB"/>
    <w:rsid w:val="B7F719CC"/>
    <w:rsid w:val="BA392244"/>
    <w:rsid w:val="BAFB5F8B"/>
    <w:rsid w:val="BD97073A"/>
    <w:rsid w:val="BDCD196A"/>
    <w:rsid w:val="BDEE45F4"/>
    <w:rsid w:val="BEEF232E"/>
    <w:rsid w:val="BF3E6C24"/>
    <w:rsid w:val="BF538E27"/>
    <w:rsid w:val="BFAF8C5F"/>
    <w:rsid w:val="BFBF43DA"/>
    <w:rsid w:val="BFCA38BF"/>
    <w:rsid w:val="BFCF6868"/>
    <w:rsid w:val="BFDB3D1A"/>
    <w:rsid w:val="BFDD86EE"/>
    <w:rsid w:val="CED3556E"/>
    <w:rsid w:val="CF3FAD55"/>
    <w:rsid w:val="CFFA2AA9"/>
    <w:rsid w:val="D38CBD5A"/>
    <w:rsid w:val="D4BFBFA7"/>
    <w:rsid w:val="D5DD0FD5"/>
    <w:rsid w:val="D5FF3F39"/>
    <w:rsid w:val="D77F4B41"/>
    <w:rsid w:val="D7F97E3F"/>
    <w:rsid w:val="D7FFCC64"/>
    <w:rsid w:val="DB1873B9"/>
    <w:rsid w:val="DBEFADE2"/>
    <w:rsid w:val="DBFD948D"/>
    <w:rsid w:val="DD7AA1E3"/>
    <w:rsid w:val="DDDE014D"/>
    <w:rsid w:val="DDDEAC9A"/>
    <w:rsid w:val="DF7F2AF7"/>
    <w:rsid w:val="DFF68B27"/>
    <w:rsid w:val="E4C75FE5"/>
    <w:rsid w:val="E5F5B50B"/>
    <w:rsid w:val="E5FF05DD"/>
    <w:rsid w:val="E97EBBE5"/>
    <w:rsid w:val="EAFBFF12"/>
    <w:rsid w:val="EBBBBDFC"/>
    <w:rsid w:val="EBEF050A"/>
    <w:rsid w:val="EC5F1FBD"/>
    <w:rsid w:val="EDFD7B4C"/>
    <w:rsid w:val="EDFFDEED"/>
    <w:rsid w:val="EE6F80BC"/>
    <w:rsid w:val="EF2F0B18"/>
    <w:rsid w:val="EF7E0D3C"/>
    <w:rsid w:val="EFAF74CE"/>
    <w:rsid w:val="EFFF9B6F"/>
    <w:rsid w:val="F1FF83C4"/>
    <w:rsid w:val="F3FF79F8"/>
    <w:rsid w:val="F46F607A"/>
    <w:rsid w:val="F4CEFE62"/>
    <w:rsid w:val="F56F4399"/>
    <w:rsid w:val="F66D8973"/>
    <w:rsid w:val="F6DF36AD"/>
    <w:rsid w:val="F6F7674F"/>
    <w:rsid w:val="F6FDDA5C"/>
    <w:rsid w:val="F77749E7"/>
    <w:rsid w:val="F7CE91F0"/>
    <w:rsid w:val="F7D9353A"/>
    <w:rsid w:val="F7F3F653"/>
    <w:rsid w:val="F9F3BAC5"/>
    <w:rsid w:val="FB55BF23"/>
    <w:rsid w:val="FB77C4C1"/>
    <w:rsid w:val="FB7B3A46"/>
    <w:rsid w:val="FB9E02C1"/>
    <w:rsid w:val="FBEA13AD"/>
    <w:rsid w:val="FBEF5290"/>
    <w:rsid w:val="FC5B0DA8"/>
    <w:rsid w:val="FD1F1518"/>
    <w:rsid w:val="FD7B8DE0"/>
    <w:rsid w:val="FDDEBA21"/>
    <w:rsid w:val="FDFFE785"/>
    <w:rsid w:val="FE3AAF4F"/>
    <w:rsid w:val="FEBC5139"/>
    <w:rsid w:val="FEEE6BC7"/>
    <w:rsid w:val="FEFD1752"/>
    <w:rsid w:val="FEFF5BC5"/>
    <w:rsid w:val="FF375D8C"/>
    <w:rsid w:val="FF5F18D7"/>
    <w:rsid w:val="FF65233B"/>
    <w:rsid w:val="FF6EFBC3"/>
    <w:rsid w:val="FF7D3BE7"/>
    <w:rsid w:val="FF7EBADC"/>
    <w:rsid w:val="FF7FFCB2"/>
    <w:rsid w:val="FFBEC3AA"/>
    <w:rsid w:val="FFDD196B"/>
    <w:rsid w:val="FFDF2048"/>
    <w:rsid w:val="FFDFB8F8"/>
    <w:rsid w:val="FFDFBECC"/>
    <w:rsid w:val="FFEFFB2B"/>
    <w:rsid w:val="FFF9D76B"/>
    <w:rsid w:val="FFFBA83E"/>
    <w:rsid w:val="FFFFE7CB"/>
    <w:rsid w:val="FFFFF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640" w:firstLineChars="200"/>
      <w:jc w:val="both"/>
    </w:pPr>
    <w:rPr>
      <w:rFonts w:ascii="Times New Roman" w:hAnsi="Times New Roman" w:eastAsia="仿宋_GB2312" w:cstheme="minorBidi"/>
      <w:kern w:val="2"/>
      <w:sz w:val="32"/>
      <w:szCs w:val="21"/>
      <w:lang w:val="en-US" w:eastAsia="zh-CN" w:bidi="ar-SA"/>
    </w:rPr>
  </w:style>
  <w:style w:type="paragraph" w:styleId="4">
    <w:name w:val="heading 1"/>
    <w:basedOn w:val="1"/>
    <w:next w:val="1"/>
    <w:link w:val="33"/>
    <w:qFormat/>
    <w:uiPriority w:val="9"/>
    <w:pPr>
      <w:keepNext/>
      <w:keepLines/>
      <w:ind w:firstLine="0" w:firstLineChars="0"/>
      <w:contextualSpacing/>
      <w:jc w:val="center"/>
      <w:outlineLvl w:val="0"/>
    </w:pPr>
    <w:rPr>
      <w:rFonts w:eastAsia="黑体"/>
      <w:bCs/>
      <w:kern w:val="44"/>
      <w:szCs w:val="44"/>
    </w:rPr>
  </w:style>
  <w:style w:type="paragraph" w:styleId="5">
    <w:name w:val="heading 2"/>
    <w:basedOn w:val="1"/>
    <w:next w:val="1"/>
    <w:link w:val="34"/>
    <w:unhideWhenUsed/>
    <w:qFormat/>
    <w:uiPriority w:val="9"/>
    <w:pPr>
      <w:keepNext/>
      <w:keepLines/>
      <w:ind w:firstLine="0" w:firstLineChars="0"/>
      <w:jc w:val="center"/>
      <w:outlineLvl w:val="1"/>
    </w:pPr>
    <w:rPr>
      <w:rFonts w:eastAsia="黑体" w:cstheme="majorBidi"/>
      <w:bCs/>
      <w:kern w:val="0"/>
      <w:szCs w:val="32"/>
    </w:rPr>
  </w:style>
  <w:style w:type="paragraph" w:styleId="6">
    <w:name w:val="heading 3"/>
    <w:basedOn w:val="1"/>
    <w:next w:val="1"/>
    <w:link w:val="35"/>
    <w:unhideWhenUsed/>
    <w:qFormat/>
    <w:uiPriority w:val="9"/>
    <w:pPr>
      <w:keepNext/>
      <w:keepLines/>
      <w:ind w:firstLine="643"/>
      <w:outlineLvl w:val="2"/>
    </w:pPr>
    <w:rPr>
      <w:b/>
      <w:bCs/>
      <w:kern w:val="0"/>
      <w:szCs w:val="32"/>
    </w:rPr>
  </w:style>
  <w:style w:type="paragraph" w:styleId="7">
    <w:name w:val="heading 4"/>
    <w:basedOn w:val="1"/>
    <w:next w:val="1"/>
    <w:link w:val="36"/>
    <w:unhideWhenUsed/>
    <w:qFormat/>
    <w:uiPriority w:val="9"/>
    <w:pPr>
      <w:keepNext/>
      <w:keepLines/>
      <w:outlineLvl w:val="3"/>
    </w:pPr>
    <w:rPr>
      <w:b/>
      <w:kern w:val="0"/>
    </w:rPr>
  </w:style>
  <w:style w:type="paragraph" w:styleId="8">
    <w:name w:val="heading 5"/>
    <w:basedOn w:val="1"/>
    <w:next w:val="1"/>
    <w:link w:val="37"/>
    <w:unhideWhenUsed/>
    <w:qFormat/>
    <w:uiPriority w:val="9"/>
    <w:pPr>
      <w:keepNext/>
      <w:keepLines/>
      <w:spacing w:before="280" w:after="290" w:line="376" w:lineRule="atLeast"/>
      <w:outlineLvl w:val="4"/>
    </w:pPr>
    <w:rPr>
      <w:b/>
      <w:bCs/>
      <w:sz w:val="28"/>
      <w:szCs w:val="28"/>
    </w:rPr>
  </w:style>
  <w:style w:type="paragraph" w:styleId="9">
    <w:name w:val="heading 6"/>
    <w:basedOn w:val="1"/>
    <w:next w:val="1"/>
    <w:link w:val="65"/>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10">
    <w:name w:val="heading 7"/>
    <w:basedOn w:val="1"/>
    <w:next w:val="1"/>
    <w:link w:val="6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6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6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qFormat/>
    <w:uiPriority w:val="0"/>
    <w:pPr>
      <w:ind w:firstLine="640" w:firstLineChars="200"/>
    </w:pPr>
    <w:rPr>
      <w:rFonts w:ascii="Calibri" w:cs="Times New Roman"/>
    </w:rPr>
  </w:style>
  <w:style w:type="paragraph" w:customStyle="1" w:styleId="3">
    <w:name w:val="正文1"/>
    <w:basedOn w:val="1"/>
    <w:qFormat/>
    <w:uiPriority w:val="0"/>
    <w:pPr>
      <w:ind w:firstLine="708" w:firstLineChars="236"/>
    </w:pPr>
    <w:rPr>
      <w:rFonts w:ascii="仿宋_GB2312" w:cs="仿宋_GB2312"/>
      <w:sz w:val="30"/>
      <w:szCs w:val="30"/>
    </w:rPr>
  </w:style>
  <w:style w:type="paragraph" w:styleId="13">
    <w:name w:val="caption"/>
    <w:basedOn w:val="1"/>
    <w:next w:val="1"/>
    <w:unhideWhenUsed/>
    <w:qFormat/>
    <w:uiPriority w:val="35"/>
    <w:pPr>
      <w:ind w:firstLine="0" w:firstLineChars="0"/>
      <w:jc w:val="center"/>
    </w:pPr>
    <w:rPr>
      <w:rFonts w:cstheme="majorBidi"/>
      <w:b/>
      <w:sz w:val="28"/>
      <w:szCs w:val="20"/>
    </w:rPr>
  </w:style>
  <w:style w:type="paragraph" w:styleId="14">
    <w:name w:val="annotation text"/>
    <w:basedOn w:val="1"/>
    <w:link w:val="75"/>
    <w:unhideWhenUsed/>
    <w:qFormat/>
    <w:uiPriority w:val="99"/>
    <w:pPr>
      <w:jc w:val="left"/>
    </w:pPr>
  </w:style>
  <w:style w:type="paragraph" w:styleId="15">
    <w:name w:val="Body Text"/>
    <w:basedOn w:val="1"/>
    <w:next w:val="1"/>
    <w:link w:val="73"/>
    <w:unhideWhenUsed/>
    <w:qFormat/>
    <w:uiPriority w:val="99"/>
    <w:pPr>
      <w:spacing w:after="120"/>
    </w:pPr>
  </w:style>
  <w:style w:type="paragraph" w:styleId="16">
    <w:name w:val="footer"/>
    <w:basedOn w:val="1"/>
    <w:link w:val="57"/>
    <w:unhideWhenUsed/>
    <w:qFormat/>
    <w:uiPriority w:val="99"/>
    <w:pPr>
      <w:tabs>
        <w:tab w:val="center" w:pos="4153"/>
        <w:tab w:val="right" w:pos="8306"/>
      </w:tabs>
      <w:snapToGrid w:val="0"/>
      <w:jc w:val="left"/>
    </w:pPr>
    <w:rPr>
      <w:sz w:val="18"/>
      <w:szCs w:val="18"/>
    </w:rPr>
  </w:style>
  <w:style w:type="paragraph" w:styleId="17">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Subtitle"/>
    <w:basedOn w:val="1"/>
    <w:next w:val="1"/>
    <w:link w:val="44"/>
    <w:qFormat/>
    <w:uiPriority w:val="11"/>
    <w:pPr>
      <w:spacing w:before="240" w:after="60" w:line="312" w:lineRule="atLeast"/>
      <w:jc w:val="center"/>
      <w:outlineLvl w:val="1"/>
    </w:pPr>
    <w:rPr>
      <w:rFonts w:asciiTheme="minorHAnsi" w:hAnsiTheme="minorHAnsi" w:eastAsiaTheme="minorEastAsia"/>
      <w:b/>
      <w:bCs/>
      <w:kern w:val="28"/>
      <w:szCs w:val="32"/>
    </w:rPr>
  </w:style>
  <w:style w:type="paragraph" w:styleId="19">
    <w:name w:val="footnote text"/>
    <w:basedOn w:val="1"/>
    <w:link w:val="46"/>
    <w:unhideWhenUsed/>
    <w:qFormat/>
    <w:uiPriority w:val="99"/>
    <w:pPr>
      <w:snapToGrid w:val="0"/>
      <w:spacing w:line="240" w:lineRule="auto"/>
      <w:ind w:firstLine="0" w:firstLineChars="0"/>
      <w:jc w:val="left"/>
    </w:pPr>
    <w:rPr>
      <w:kern w:val="0"/>
      <w:sz w:val="20"/>
      <w:szCs w:val="18"/>
    </w:rPr>
  </w:style>
  <w:style w:type="paragraph" w:styleId="20">
    <w:name w:val="Body Text 2"/>
    <w:basedOn w:val="1"/>
    <w:link w:val="72"/>
    <w:qFormat/>
    <w:uiPriority w:val="0"/>
    <w:pPr>
      <w:ind w:firstLine="200"/>
      <w:jc w:val="center"/>
    </w:pPr>
    <w:rPr>
      <w:rFonts w:ascii="宋体" w:hAnsi="宋体"/>
      <w:szCs w:val="20"/>
    </w:rPr>
  </w:style>
  <w:style w:type="paragraph" w:styleId="21">
    <w:name w:val="Normal (Web)"/>
    <w:basedOn w:val="1"/>
    <w:semiHidden/>
    <w:unhideWhenUsed/>
    <w:qFormat/>
    <w:uiPriority w:val="99"/>
    <w:rPr>
      <w:sz w:val="24"/>
    </w:rPr>
  </w:style>
  <w:style w:type="paragraph" w:styleId="22">
    <w:name w:val="Title"/>
    <w:basedOn w:val="1"/>
    <w:next w:val="1"/>
    <w:link w:val="38"/>
    <w:qFormat/>
    <w:uiPriority w:val="10"/>
    <w:pPr>
      <w:ind w:firstLine="0" w:firstLineChars="0"/>
      <w:jc w:val="center"/>
      <w:outlineLvl w:val="0"/>
    </w:pPr>
    <w:rPr>
      <w:rFonts w:eastAsia="方正小标宋简体" w:cstheme="majorBidi"/>
      <w:bCs/>
      <w:kern w:val="0"/>
      <w:sz w:val="44"/>
      <w:szCs w:val="32"/>
    </w:rPr>
  </w:style>
  <w:style w:type="paragraph" w:styleId="23">
    <w:name w:val="annotation subject"/>
    <w:basedOn w:val="14"/>
    <w:next w:val="14"/>
    <w:link w:val="76"/>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Emphasis"/>
    <w:basedOn w:val="26"/>
    <w:qFormat/>
    <w:uiPriority w:val="20"/>
    <w:rPr>
      <w:i/>
      <w:iCs/>
    </w:rPr>
  </w:style>
  <w:style w:type="character" w:styleId="29">
    <w:name w:val="annotation reference"/>
    <w:basedOn w:val="26"/>
    <w:semiHidden/>
    <w:unhideWhenUsed/>
    <w:qFormat/>
    <w:uiPriority w:val="99"/>
    <w:rPr>
      <w:sz w:val="21"/>
      <w:szCs w:val="21"/>
    </w:rPr>
  </w:style>
  <w:style w:type="character" w:styleId="30">
    <w:name w:val="footnote reference"/>
    <w:basedOn w:val="26"/>
    <w:semiHidden/>
    <w:unhideWhenUsed/>
    <w:qFormat/>
    <w:uiPriority w:val="99"/>
    <w:rPr>
      <w:vertAlign w:val="superscript"/>
    </w:rPr>
  </w:style>
  <w:style w:type="paragraph" w:customStyle="1" w:styleId="31">
    <w:name w:val="报告正文"/>
    <w:link w:val="32"/>
    <w:qFormat/>
    <w:uiPriority w:val="0"/>
    <w:pPr>
      <w:spacing w:line="579" w:lineRule="exact"/>
    </w:pPr>
    <w:rPr>
      <w:rFonts w:asciiTheme="minorHAnsi" w:hAnsiTheme="minorHAnsi" w:eastAsiaTheme="minorEastAsia" w:cstheme="minorBidi"/>
      <w:sz w:val="32"/>
      <w:szCs w:val="28"/>
      <w:lang w:val="en-US" w:eastAsia="zh-CN" w:bidi="ar-SA"/>
    </w:rPr>
  </w:style>
  <w:style w:type="character" w:customStyle="1" w:styleId="32">
    <w:name w:val="报告正文 Char"/>
    <w:link w:val="31"/>
    <w:qFormat/>
    <w:uiPriority w:val="0"/>
    <w:rPr>
      <w:kern w:val="0"/>
      <w:sz w:val="32"/>
      <w:szCs w:val="28"/>
      <w14:ligatures w14:val="none"/>
    </w:rPr>
  </w:style>
  <w:style w:type="character" w:customStyle="1" w:styleId="33">
    <w:name w:val="标题 1 字符"/>
    <w:basedOn w:val="26"/>
    <w:link w:val="4"/>
    <w:qFormat/>
    <w:uiPriority w:val="9"/>
    <w:rPr>
      <w:rFonts w:ascii="Times New Roman" w:hAnsi="Times New Roman" w:eastAsia="黑体"/>
      <w:bCs/>
      <w:kern w:val="44"/>
      <w:sz w:val="32"/>
      <w:szCs w:val="44"/>
      <w14:ligatures w14:val="none"/>
    </w:rPr>
  </w:style>
  <w:style w:type="character" w:customStyle="1" w:styleId="34">
    <w:name w:val="标题 2 字符"/>
    <w:basedOn w:val="26"/>
    <w:link w:val="5"/>
    <w:qFormat/>
    <w:uiPriority w:val="9"/>
    <w:rPr>
      <w:rFonts w:ascii="Times New Roman" w:hAnsi="Times New Roman" w:eastAsia="黑体" w:cstheme="majorBidi"/>
      <w:bCs/>
      <w:kern w:val="0"/>
      <w:sz w:val="32"/>
      <w:szCs w:val="32"/>
      <w14:ligatures w14:val="none"/>
    </w:rPr>
  </w:style>
  <w:style w:type="character" w:customStyle="1" w:styleId="35">
    <w:name w:val="标题 3 字符"/>
    <w:basedOn w:val="26"/>
    <w:link w:val="6"/>
    <w:qFormat/>
    <w:uiPriority w:val="9"/>
    <w:rPr>
      <w:rFonts w:ascii="Times New Roman" w:hAnsi="Times New Roman" w:eastAsia="仿宋_GB2312"/>
      <w:b/>
      <w:bCs/>
      <w:kern w:val="0"/>
      <w:sz w:val="32"/>
      <w:szCs w:val="32"/>
      <w14:ligatures w14:val="none"/>
    </w:rPr>
  </w:style>
  <w:style w:type="character" w:customStyle="1" w:styleId="36">
    <w:name w:val="标题 4 字符"/>
    <w:basedOn w:val="26"/>
    <w:link w:val="7"/>
    <w:qFormat/>
    <w:uiPriority w:val="9"/>
    <w:rPr>
      <w:rFonts w:ascii="Times New Roman" w:hAnsi="Times New Roman" w:eastAsia="仿宋_GB2312"/>
      <w:b/>
      <w:kern w:val="0"/>
      <w:sz w:val="32"/>
      <w:szCs w:val="21"/>
      <w14:ligatures w14:val="none"/>
    </w:rPr>
  </w:style>
  <w:style w:type="character" w:customStyle="1" w:styleId="37">
    <w:name w:val="标题 5 字符"/>
    <w:basedOn w:val="26"/>
    <w:link w:val="8"/>
    <w:qFormat/>
    <w:uiPriority w:val="9"/>
    <w:rPr>
      <w:rFonts w:ascii="Times New Roman" w:hAnsi="Times New Roman" w:eastAsia="仿宋_GB2312"/>
      <w:b/>
      <w:bCs/>
      <w:sz w:val="28"/>
      <w:szCs w:val="28"/>
      <w14:ligatures w14:val="none"/>
    </w:rPr>
  </w:style>
  <w:style w:type="character" w:customStyle="1" w:styleId="38">
    <w:name w:val="标题 字符"/>
    <w:basedOn w:val="26"/>
    <w:link w:val="22"/>
    <w:qFormat/>
    <w:uiPriority w:val="10"/>
    <w:rPr>
      <w:rFonts w:ascii="Times New Roman" w:hAnsi="Times New Roman" w:eastAsia="方正小标宋简体" w:cstheme="majorBidi"/>
      <w:bCs/>
      <w:kern w:val="0"/>
      <w:sz w:val="44"/>
      <w:szCs w:val="32"/>
      <w14:ligatures w14:val="none"/>
    </w:rPr>
  </w:style>
  <w:style w:type="paragraph" w:customStyle="1" w:styleId="39">
    <w:name w:val="表格内容"/>
    <w:basedOn w:val="1"/>
    <w:qFormat/>
    <w:uiPriority w:val="0"/>
    <w:pPr>
      <w:pBdr>
        <w:top w:val="none" w:color="auto" w:sz="0" w:space="1"/>
        <w:left w:val="none" w:color="auto" w:sz="0" w:space="4"/>
        <w:bottom w:val="none" w:color="auto" w:sz="0" w:space="1"/>
        <w:right w:val="none" w:color="auto" w:sz="0" w:space="4"/>
      </w:pBdr>
      <w:adjustRightInd w:val="0"/>
      <w:snapToGrid w:val="0"/>
      <w:spacing w:line="288" w:lineRule="auto"/>
      <w:ind w:firstLine="0" w:firstLineChars="0"/>
    </w:pPr>
    <w:rPr>
      <w:rFonts w:hint="eastAsia"/>
      <w:bCs/>
      <w:kern w:val="44"/>
      <w:sz w:val="24"/>
      <w:szCs w:val="32"/>
    </w:rPr>
  </w:style>
  <w:style w:type="table" w:customStyle="1" w:styleId="40">
    <w:name w:val="表格首行"/>
    <w:basedOn w:val="24"/>
    <w:qFormat/>
    <w:uiPriority w:val="99"/>
    <w:rPr>
      <w:sz w:val="21"/>
      <w:szCs w:val="22"/>
    </w:rPr>
    <w:tblStylePr w:type="firstRow">
      <w:pPr>
        <w:wordWrap/>
        <w:spacing w:line="288" w:lineRule="auto"/>
        <w:ind w:firstLine="0" w:firstLineChars="0"/>
      </w:pPr>
      <w:rPr>
        <w:rFonts w:ascii="Times New Roman" w:hAnsi="Times New Roman" w:eastAsia="仿宋_GB2312"/>
        <w:b/>
        <w:i w:val="0"/>
        <w:sz w:val="24"/>
      </w:rPr>
    </w:tblStylePr>
  </w:style>
  <w:style w:type="paragraph" w:customStyle="1" w:styleId="41">
    <w:name w:val="表头"/>
    <w:basedOn w:val="1"/>
    <w:qFormat/>
    <w:uiPriority w:val="0"/>
    <w:pPr>
      <w:pBdr>
        <w:top w:val="none" w:color="auto" w:sz="0" w:space="1"/>
        <w:left w:val="none" w:color="auto" w:sz="0" w:space="4"/>
        <w:bottom w:val="none" w:color="auto" w:sz="0" w:space="1"/>
        <w:right w:val="none" w:color="auto" w:sz="0" w:space="4"/>
      </w:pBdr>
      <w:adjustRightInd w:val="0"/>
      <w:snapToGrid w:val="0"/>
      <w:spacing w:line="288" w:lineRule="auto"/>
      <w:ind w:firstLine="0" w:firstLineChars="0"/>
      <w:jc w:val="center"/>
    </w:pPr>
    <w:rPr>
      <w:rFonts w:hint="eastAsia"/>
      <w:bCs/>
      <w:kern w:val="44"/>
      <w:sz w:val="24"/>
      <w:szCs w:val="32"/>
    </w:rPr>
  </w:style>
  <w:style w:type="character" w:customStyle="1" w:styleId="42">
    <w:name w:val="不明显参考1"/>
    <w:basedOn w:val="26"/>
    <w:qFormat/>
    <w:uiPriority w:val="31"/>
    <w:rPr>
      <w:smallCaps/>
      <w:color w:val="595959" w:themeColor="text1" w:themeTint="A6"/>
      <w14:textFill>
        <w14:solidFill>
          <w14:schemeClr w14:val="tx1">
            <w14:lumMod w14:val="65000"/>
            <w14:lumOff w14:val="35000"/>
          </w14:schemeClr>
        </w14:solidFill>
      </w14:textFill>
    </w:rPr>
  </w:style>
  <w:style w:type="character" w:customStyle="1" w:styleId="43">
    <w:name w:val="不明显强调1"/>
    <w:basedOn w:val="26"/>
    <w:qFormat/>
    <w:uiPriority w:val="19"/>
    <w:rPr>
      <w:i/>
      <w:iCs/>
      <w:color w:val="404040" w:themeColor="text1" w:themeTint="BF"/>
      <w14:textFill>
        <w14:solidFill>
          <w14:schemeClr w14:val="tx1">
            <w14:lumMod w14:val="75000"/>
            <w14:lumOff w14:val="25000"/>
          </w14:schemeClr>
        </w14:solidFill>
      </w14:textFill>
    </w:rPr>
  </w:style>
  <w:style w:type="character" w:customStyle="1" w:styleId="44">
    <w:name w:val="副标题 字符"/>
    <w:basedOn w:val="26"/>
    <w:link w:val="18"/>
    <w:qFormat/>
    <w:uiPriority w:val="11"/>
    <w:rPr>
      <w:b/>
      <w:bCs/>
      <w:kern w:val="28"/>
      <w:sz w:val="32"/>
      <w:szCs w:val="32"/>
      <w14:ligatures w14:val="none"/>
    </w:rPr>
  </w:style>
  <w:style w:type="paragraph" w:customStyle="1" w:styleId="45">
    <w:name w:val="公文正文"/>
    <w:basedOn w:val="1"/>
    <w:qFormat/>
    <w:uiPriority w:val="0"/>
  </w:style>
  <w:style w:type="character" w:customStyle="1" w:styleId="46">
    <w:name w:val="脚注文本 字符"/>
    <w:basedOn w:val="26"/>
    <w:link w:val="19"/>
    <w:qFormat/>
    <w:uiPriority w:val="99"/>
    <w:rPr>
      <w:rFonts w:ascii="Times New Roman" w:hAnsi="Times New Roman" w:eastAsia="仿宋_GB2312"/>
      <w:kern w:val="0"/>
      <w:sz w:val="20"/>
      <w:szCs w:val="18"/>
      <w14:ligatures w14:val="none"/>
    </w:rPr>
  </w:style>
  <w:style w:type="character" w:customStyle="1" w:styleId="47">
    <w:name w:val="明显强调1"/>
    <w:basedOn w:val="26"/>
    <w:qFormat/>
    <w:uiPriority w:val="21"/>
    <w:rPr>
      <w:i/>
      <w:iCs/>
      <w:color w:val="156082" w:themeColor="accent1"/>
      <w14:textFill>
        <w14:solidFill>
          <w14:schemeClr w14:val="accent1"/>
        </w14:solidFill>
      </w14:textFill>
    </w:rPr>
  </w:style>
  <w:style w:type="paragraph" w:styleId="48">
    <w:name w:val="Intense Quote"/>
    <w:basedOn w:val="1"/>
    <w:next w:val="1"/>
    <w:link w:val="49"/>
    <w:qFormat/>
    <w:uiPriority w:val="30"/>
    <w:pPr>
      <w:pBdr>
        <w:top w:val="single" w:color="156082" w:themeColor="accent1" w:sz="4" w:space="10"/>
        <w:bottom w:val="single" w:color="156082" w:themeColor="accent1" w:sz="4" w:space="10"/>
      </w:pBdr>
      <w:spacing w:before="360" w:after="360"/>
      <w:ind w:left="864" w:right="864"/>
      <w:jc w:val="center"/>
    </w:pPr>
    <w:rPr>
      <w:i/>
      <w:iCs/>
      <w:color w:val="156082" w:themeColor="accent1"/>
      <w14:textFill>
        <w14:solidFill>
          <w14:schemeClr w14:val="accent1"/>
        </w14:solidFill>
      </w14:textFill>
    </w:rPr>
  </w:style>
  <w:style w:type="character" w:customStyle="1" w:styleId="49">
    <w:name w:val="明显引用 字符"/>
    <w:basedOn w:val="26"/>
    <w:link w:val="48"/>
    <w:qFormat/>
    <w:uiPriority w:val="30"/>
    <w:rPr>
      <w:rFonts w:ascii="Times New Roman" w:hAnsi="Times New Roman" w:eastAsia="仿宋_GB2312"/>
      <w:i/>
      <w:iCs/>
      <w:color w:val="156082" w:themeColor="accent1"/>
      <w:sz w:val="32"/>
      <w:szCs w:val="21"/>
      <w14:textFill>
        <w14:solidFill>
          <w14:schemeClr w14:val="accent1"/>
        </w14:solidFill>
      </w14:textFill>
      <w14:ligatures w14:val="none"/>
    </w:rPr>
  </w:style>
  <w:style w:type="character" w:customStyle="1" w:styleId="50">
    <w:name w:val="书籍标题1"/>
    <w:basedOn w:val="26"/>
    <w:qFormat/>
    <w:uiPriority w:val="33"/>
    <w:rPr>
      <w:b/>
      <w:bCs/>
      <w:i/>
      <w:iCs/>
      <w:spacing w:val="5"/>
    </w:rPr>
  </w:style>
  <w:style w:type="paragraph" w:customStyle="1" w:styleId="51">
    <w:name w:val="图表"/>
    <w:basedOn w:val="1"/>
    <w:qFormat/>
    <w:uiPriority w:val="0"/>
    <w:pPr>
      <w:pBdr>
        <w:top w:val="none" w:color="auto" w:sz="0" w:space="1"/>
        <w:left w:val="none" w:color="auto" w:sz="0" w:space="4"/>
        <w:bottom w:val="none" w:color="auto" w:sz="0" w:space="1"/>
        <w:right w:val="none" w:color="auto" w:sz="0" w:space="4"/>
      </w:pBdr>
      <w:adjustRightInd w:val="0"/>
      <w:snapToGrid w:val="0"/>
      <w:spacing w:line="276" w:lineRule="auto"/>
      <w:ind w:firstLine="0" w:firstLineChars="0"/>
      <w:jc w:val="center"/>
    </w:pPr>
    <w:rPr>
      <w:rFonts w:hint="eastAsia"/>
      <w:b/>
      <w:bCs/>
      <w:kern w:val="44"/>
      <w:sz w:val="28"/>
      <w:szCs w:val="32"/>
    </w:rPr>
  </w:style>
  <w:style w:type="paragraph" w:customStyle="1" w:styleId="52">
    <w:name w:val="图表标题"/>
    <w:basedOn w:val="1"/>
    <w:next w:val="31"/>
    <w:link w:val="53"/>
    <w:qFormat/>
    <w:uiPriority w:val="0"/>
    <w:pPr>
      <w:pBdr>
        <w:top w:val="none" w:color="auto" w:sz="0" w:space="1"/>
        <w:left w:val="none" w:color="auto" w:sz="0" w:space="4"/>
        <w:bottom w:val="none" w:color="auto" w:sz="0" w:space="1"/>
        <w:right w:val="none" w:color="auto" w:sz="0" w:space="4"/>
      </w:pBdr>
      <w:adjustRightInd w:val="0"/>
      <w:snapToGrid w:val="0"/>
      <w:spacing w:line="276" w:lineRule="auto"/>
      <w:ind w:firstLine="0" w:firstLineChars="0"/>
      <w:jc w:val="center"/>
    </w:pPr>
    <w:rPr>
      <w:b/>
      <w:bCs/>
      <w:kern w:val="44"/>
      <w:sz w:val="28"/>
      <w:szCs w:val="32"/>
    </w:rPr>
  </w:style>
  <w:style w:type="character" w:customStyle="1" w:styleId="53">
    <w:name w:val="图表标题 字符"/>
    <w:basedOn w:val="26"/>
    <w:link w:val="52"/>
    <w:qFormat/>
    <w:uiPriority w:val="0"/>
    <w:rPr>
      <w:rFonts w:ascii="Times New Roman" w:hAnsi="Times New Roman" w:eastAsia="仿宋_GB2312"/>
      <w:b/>
      <w:bCs/>
      <w:kern w:val="44"/>
      <w:sz w:val="28"/>
      <w:szCs w:val="32"/>
      <w14:ligatures w14:val="none"/>
    </w:rPr>
  </w:style>
  <w:style w:type="paragraph" w:customStyle="1" w:styleId="54">
    <w:name w:val="图片"/>
    <w:basedOn w:val="52"/>
    <w:link w:val="55"/>
    <w:qFormat/>
    <w:uiPriority w:val="0"/>
    <w:pPr>
      <w:spacing w:line="240" w:lineRule="auto"/>
    </w:pPr>
    <w:rPr>
      <w:b w:val="0"/>
      <w:sz w:val="24"/>
    </w:rPr>
  </w:style>
  <w:style w:type="character" w:customStyle="1" w:styleId="55">
    <w:name w:val="图片 字符"/>
    <w:basedOn w:val="26"/>
    <w:link w:val="54"/>
    <w:qFormat/>
    <w:uiPriority w:val="0"/>
    <w:rPr>
      <w:rFonts w:ascii="Times New Roman" w:hAnsi="Times New Roman" w:eastAsia="仿宋_GB2312"/>
      <w:bCs/>
      <w:kern w:val="44"/>
      <w:sz w:val="24"/>
      <w:szCs w:val="32"/>
      <w14:ligatures w14:val="none"/>
    </w:rPr>
  </w:style>
  <w:style w:type="paragraph" w:styleId="56">
    <w:name w:val="No Spacing"/>
    <w:qFormat/>
    <w:uiPriority w:val="1"/>
    <w:pPr>
      <w:widowControl w:val="0"/>
      <w:ind w:firstLine="200" w:firstLineChars="200"/>
      <w:jc w:val="both"/>
    </w:pPr>
    <w:rPr>
      <w:rFonts w:ascii="Times New Roman" w:hAnsi="Times New Roman" w:eastAsia="仿宋_GB2312" w:cstheme="minorBidi"/>
      <w:kern w:val="2"/>
      <w:sz w:val="32"/>
      <w:szCs w:val="21"/>
      <w:lang w:val="en-US" w:eastAsia="zh-CN" w:bidi="ar-SA"/>
    </w:rPr>
  </w:style>
  <w:style w:type="character" w:customStyle="1" w:styleId="57">
    <w:name w:val="页脚 字符"/>
    <w:basedOn w:val="26"/>
    <w:link w:val="16"/>
    <w:qFormat/>
    <w:uiPriority w:val="99"/>
    <w:rPr>
      <w:rFonts w:ascii="Times New Roman" w:hAnsi="Times New Roman" w:eastAsia="仿宋_GB2312"/>
      <w:sz w:val="18"/>
      <w:szCs w:val="18"/>
      <w14:ligatures w14:val="none"/>
    </w:rPr>
  </w:style>
  <w:style w:type="character" w:customStyle="1" w:styleId="58">
    <w:name w:val="页眉 字符"/>
    <w:basedOn w:val="26"/>
    <w:link w:val="17"/>
    <w:qFormat/>
    <w:uiPriority w:val="99"/>
    <w:rPr>
      <w:rFonts w:ascii="Times New Roman" w:hAnsi="Times New Roman" w:eastAsia="仿宋_GB2312"/>
      <w:sz w:val="18"/>
      <w:szCs w:val="18"/>
      <w14:ligatures w14:val="none"/>
    </w:rPr>
  </w:style>
  <w:style w:type="paragraph" w:styleId="59">
    <w:name w:val="Quote"/>
    <w:basedOn w:val="1"/>
    <w:next w:val="1"/>
    <w:link w:val="60"/>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60">
    <w:name w:val="引用 字符"/>
    <w:basedOn w:val="26"/>
    <w:link w:val="59"/>
    <w:qFormat/>
    <w:uiPriority w:val="29"/>
    <w:rPr>
      <w:rFonts w:ascii="Times New Roman" w:hAnsi="Times New Roman" w:eastAsia="仿宋_GB2312"/>
      <w:i/>
      <w:iCs/>
      <w:color w:val="404040" w:themeColor="text1" w:themeTint="BF"/>
      <w:sz w:val="32"/>
      <w:szCs w:val="21"/>
      <w14:textFill>
        <w14:solidFill>
          <w14:schemeClr w14:val="tx1">
            <w14:lumMod w14:val="75000"/>
            <w14:lumOff w14:val="25000"/>
          </w14:schemeClr>
        </w14:solidFill>
      </w14:textFill>
      <w14:ligatures w14:val="none"/>
    </w:rPr>
  </w:style>
  <w:style w:type="paragraph" w:customStyle="1" w:styleId="61">
    <w:name w:val="专栏"/>
    <w:basedOn w:val="4"/>
    <w:link w:val="62"/>
    <w:qFormat/>
    <w:uiPriority w:val="0"/>
    <w:pPr>
      <w:keepNext w:val="0"/>
      <w:keepLines w:val="0"/>
      <w:pBdr>
        <w:top w:val="single" w:color="auto" w:sz="4" w:space="1"/>
        <w:left w:val="single" w:color="auto" w:sz="4" w:space="4"/>
        <w:bottom w:val="single" w:color="auto" w:sz="4" w:space="1"/>
        <w:right w:val="single" w:color="auto" w:sz="4" w:space="4"/>
      </w:pBdr>
      <w:adjustRightInd w:val="0"/>
      <w:snapToGrid w:val="0"/>
      <w:spacing w:line="276" w:lineRule="auto"/>
      <w:outlineLvl w:val="9"/>
    </w:pPr>
    <w:rPr>
      <w:rFonts w:eastAsia="仿宋_GB2312"/>
      <w:sz w:val="28"/>
      <w:szCs w:val="32"/>
    </w:rPr>
  </w:style>
  <w:style w:type="character" w:customStyle="1" w:styleId="62">
    <w:name w:val="专栏 Char"/>
    <w:basedOn w:val="33"/>
    <w:link w:val="61"/>
    <w:qFormat/>
    <w:uiPriority w:val="0"/>
    <w:rPr>
      <w:rFonts w:ascii="Times New Roman" w:hAnsi="Times New Roman" w:eastAsia="仿宋_GB2312"/>
      <w:kern w:val="44"/>
      <w:sz w:val="28"/>
      <w:szCs w:val="32"/>
      <w14:ligatures w14:val="none"/>
    </w:rPr>
  </w:style>
  <w:style w:type="paragraph" w:customStyle="1" w:styleId="63">
    <w:name w:val="专栏标题"/>
    <w:basedOn w:val="61"/>
    <w:link w:val="64"/>
    <w:qFormat/>
    <w:uiPriority w:val="0"/>
    <w:rPr>
      <w:rFonts w:eastAsia="楷体_GB2312"/>
      <w:b/>
    </w:rPr>
  </w:style>
  <w:style w:type="character" w:customStyle="1" w:styleId="64">
    <w:name w:val="专栏标题 Char"/>
    <w:basedOn w:val="62"/>
    <w:link w:val="63"/>
    <w:qFormat/>
    <w:uiPriority w:val="0"/>
    <w:rPr>
      <w:rFonts w:ascii="Times New Roman" w:hAnsi="Times New Roman" w:eastAsia="楷体_GB2312"/>
      <w:b/>
      <w:kern w:val="44"/>
      <w:sz w:val="28"/>
      <w:szCs w:val="32"/>
      <w14:ligatures w14:val="none"/>
    </w:rPr>
  </w:style>
  <w:style w:type="character" w:customStyle="1" w:styleId="65">
    <w:name w:val="标题 6 字符"/>
    <w:basedOn w:val="26"/>
    <w:link w:val="9"/>
    <w:qFormat/>
    <w:uiPriority w:val="9"/>
    <w:rPr>
      <w:rFonts w:cstheme="majorBidi"/>
      <w:b/>
      <w:bCs/>
      <w:color w:val="104862" w:themeColor="accent1" w:themeShade="BF"/>
      <w:sz w:val="32"/>
      <w:szCs w:val="21"/>
      <w14:ligatures w14:val="none"/>
    </w:rPr>
  </w:style>
  <w:style w:type="character" w:customStyle="1" w:styleId="66">
    <w:name w:val="标题 7 字符"/>
    <w:basedOn w:val="26"/>
    <w:link w:val="10"/>
    <w:semiHidden/>
    <w:qFormat/>
    <w:uiPriority w:val="9"/>
    <w:rPr>
      <w:rFonts w:cstheme="majorBidi"/>
      <w:b/>
      <w:bCs/>
      <w:color w:val="595959" w:themeColor="text1" w:themeTint="A6"/>
      <w:sz w:val="32"/>
      <w:szCs w:val="21"/>
      <w14:textFill>
        <w14:solidFill>
          <w14:schemeClr w14:val="tx1">
            <w14:lumMod w14:val="65000"/>
            <w14:lumOff w14:val="35000"/>
          </w14:schemeClr>
        </w14:solidFill>
      </w14:textFill>
      <w14:ligatures w14:val="none"/>
    </w:rPr>
  </w:style>
  <w:style w:type="character" w:customStyle="1" w:styleId="67">
    <w:name w:val="标题 8 字符"/>
    <w:basedOn w:val="26"/>
    <w:link w:val="11"/>
    <w:semiHidden/>
    <w:qFormat/>
    <w:uiPriority w:val="9"/>
    <w:rPr>
      <w:rFonts w:cstheme="majorBidi"/>
      <w:color w:val="595959" w:themeColor="text1" w:themeTint="A6"/>
      <w:sz w:val="32"/>
      <w:szCs w:val="21"/>
      <w14:textFill>
        <w14:solidFill>
          <w14:schemeClr w14:val="tx1">
            <w14:lumMod w14:val="65000"/>
            <w14:lumOff w14:val="35000"/>
          </w14:schemeClr>
        </w14:solidFill>
      </w14:textFill>
      <w14:ligatures w14:val="none"/>
    </w:rPr>
  </w:style>
  <w:style w:type="character" w:customStyle="1" w:styleId="68">
    <w:name w:val="标题 9 字符"/>
    <w:basedOn w:val="26"/>
    <w:link w:val="12"/>
    <w:semiHidden/>
    <w:qFormat/>
    <w:uiPriority w:val="9"/>
    <w:rPr>
      <w:rFonts w:eastAsiaTheme="majorEastAsia" w:cstheme="majorBidi"/>
      <w:color w:val="595959" w:themeColor="text1" w:themeTint="A6"/>
      <w:sz w:val="32"/>
      <w:szCs w:val="21"/>
      <w14:textFill>
        <w14:solidFill>
          <w14:schemeClr w14:val="tx1">
            <w14:lumMod w14:val="65000"/>
            <w14:lumOff w14:val="35000"/>
          </w14:schemeClr>
        </w14:solidFill>
      </w14:textFill>
      <w14:ligatures w14:val="none"/>
    </w:rPr>
  </w:style>
  <w:style w:type="paragraph" w:styleId="69">
    <w:name w:val="List Paragraph"/>
    <w:basedOn w:val="1"/>
    <w:qFormat/>
    <w:uiPriority w:val="34"/>
    <w:pPr>
      <w:ind w:left="720"/>
      <w:contextualSpacing/>
    </w:pPr>
  </w:style>
  <w:style w:type="character" w:customStyle="1" w:styleId="70">
    <w:name w:val="明显强调2"/>
    <w:basedOn w:val="26"/>
    <w:qFormat/>
    <w:uiPriority w:val="21"/>
    <w:rPr>
      <w:i/>
      <w:iCs/>
      <w:color w:val="104862" w:themeColor="accent1" w:themeShade="BF"/>
    </w:rPr>
  </w:style>
  <w:style w:type="character" w:customStyle="1" w:styleId="71">
    <w:name w:val="明显参考1"/>
    <w:basedOn w:val="26"/>
    <w:qFormat/>
    <w:uiPriority w:val="32"/>
    <w:rPr>
      <w:b/>
      <w:bCs/>
      <w:smallCaps/>
      <w:color w:val="104862" w:themeColor="accent1" w:themeShade="BF"/>
      <w:spacing w:val="5"/>
    </w:rPr>
  </w:style>
  <w:style w:type="character" w:customStyle="1" w:styleId="72">
    <w:name w:val="正文文本 2 字符"/>
    <w:basedOn w:val="26"/>
    <w:link w:val="20"/>
    <w:qFormat/>
    <w:uiPriority w:val="0"/>
    <w:rPr>
      <w:rFonts w:ascii="宋体" w:hAnsi="宋体" w:eastAsia="仿宋_GB2312"/>
      <w:sz w:val="32"/>
      <w:szCs w:val="20"/>
      <w14:ligatures w14:val="none"/>
    </w:rPr>
  </w:style>
  <w:style w:type="character" w:customStyle="1" w:styleId="73">
    <w:name w:val="正文文本 字符"/>
    <w:basedOn w:val="26"/>
    <w:link w:val="15"/>
    <w:qFormat/>
    <w:uiPriority w:val="99"/>
    <w:rPr>
      <w:rFonts w:ascii="Times New Roman" w:hAnsi="Times New Roman" w:eastAsia="仿宋_GB2312"/>
      <w:sz w:val="32"/>
      <w:szCs w:val="21"/>
      <w14:ligatures w14:val="none"/>
    </w:rPr>
  </w:style>
  <w:style w:type="paragraph" w:customStyle="1" w:styleId="74">
    <w:name w:val="p1"/>
    <w:basedOn w:val="1"/>
    <w:qFormat/>
    <w:uiPriority w:val="0"/>
    <w:pPr>
      <w:jc w:val="left"/>
    </w:pPr>
    <w:rPr>
      <w:rFonts w:ascii="Helvetica" w:hAnsi="Helvetica" w:eastAsia="Helvetica" w:cs="Times New Roman"/>
      <w:kern w:val="0"/>
      <w:szCs w:val="32"/>
    </w:rPr>
  </w:style>
  <w:style w:type="character" w:customStyle="1" w:styleId="75">
    <w:name w:val="批注文字 字符"/>
    <w:basedOn w:val="26"/>
    <w:link w:val="14"/>
    <w:qFormat/>
    <w:uiPriority w:val="99"/>
    <w:rPr>
      <w:rFonts w:eastAsia="仿宋_GB2312" w:cstheme="minorBidi"/>
      <w:kern w:val="2"/>
      <w:sz w:val="32"/>
      <w:szCs w:val="21"/>
    </w:rPr>
  </w:style>
  <w:style w:type="character" w:customStyle="1" w:styleId="76">
    <w:name w:val="批注主题 字符"/>
    <w:basedOn w:val="75"/>
    <w:link w:val="23"/>
    <w:semiHidden/>
    <w:qFormat/>
    <w:uiPriority w:val="99"/>
    <w:rPr>
      <w:rFonts w:eastAsia="仿宋_GB2312" w:cstheme="minorBidi"/>
      <w:b/>
      <w:bCs/>
      <w:kern w:val="2"/>
      <w:sz w:val="32"/>
      <w:szCs w:val="21"/>
    </w:rPr>
  </w:style>
  <w:style w:type="paragraph" w:customStyle="1" w:styleId="77">
    <w:name w:val="修订1"/>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78">
    <w:name w:val="修订2"/>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79">
    <w:name w:val="修订3"/>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80">
    <w:name w:val="修订4"/>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81">
    <w:name w:val="修订5"/>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82">
    <w:name w:val="Revision"/>
    <w:hidden/>
    <w:unhideWhenUsed/>
    <w:qFormat/>
    <w:uiPriority w:val="99"/>
    <w:rPr>
      <w:rFonts w:ascii="Times New Roman" w:hAnsi="Times New Roman" w:eastAsia="仿宋_GB2312" w:cstheme="minorBidi"/>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4FA7F2DD-3999-480D-A386-D6B05321B84D}">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7815</Words>
  <Characters>7868</Characters>
  <Lines>56</Lines>
  <Paragraphs>15</Paragraphs>
  <TotalTime>20</TotalTime>
  <ScaleCrop>false</ScaleCrop>
  <LinksUpToDate>false</LinksUpToDate>
  <CharactersWithSpaces>7869</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2026-01-15T18:11:00Z</dcterms:created>
  <dc:creator>多元一号</dc:creator>
  <cp:lastModifiedBy>Anita 王祎玮</cp:lastModifiedBy>
  <cp:lastPrinted>2026-01-16T12:09:00Z</cp:lastPrinted>
  <dcterms:modified xsi:type="dcterms:W3CDTF">2026-02-05T09:12:31Z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eyJoZGlkIjoiMzEwNTM5NzYwMDRjMzkwZTVkZjY2ODkwMGIxNGU0OTUiLCJ1c2VySWQiOiI0NzI3NzQyNDQifQ==</vt:lpwstr>
  </property>
  <property fmtid="{D5CDD505-2E9C-101B-9397-08002B2CF9AE}" pid="3" name="KSOProductBuildVer">
    <vt:lpwstr>2052-12.1.0.17900</vt:lpwstr>
  </property>
  <property fmtid="{D5CDD505-2E9C-101B-9397-08002B2CF9AE}" pid="4" name="ICV">
    <vt:lpwstr>9F037FF7BED20D588C847169C39AF37A_43</vt:lpwstr>
  </property>
</Properties>
</file>