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69903">
      <w:pPr>
        <w:pStyle w:val="3"/>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方正小标宋_GBK" w:cs="方正小标宋_GBK"/>
          <w:sz w:val="44"/>
          <w:szCs w:val="52"/>
          <w:highlight w:val="none"/>
          <w:u w:val="none"/>
          <w:lang w:val="en-US" w:eastAsia="zh-CN"/>
        </w:rPr>
      </w:pPr>
      <w:r>
        <w:rPr>
          <w:rFonts w:hint="eastAsia" w:ascii="Times New Roman" w:hAnsi="Times New Roman" w:eastAsia="黑体" w:cs="黑体"/>
          <w:b w:val="0"/>
          <w:bCs w:val="0"/>
          <w:sz w:val="32"/>
          <w:szCs w:val="32"/>
          <w:highlight w:val="none"/>
          <w:lang w:eastAsia="zh-CN"/>
        </w:rPr>
        <w:t>附件</w:t>
      </w:r>
      <w:r>
        <w:rPr>
          <w:rFonts w:hint="eastAsia" w:ascii="Times New Roman" w:hAnsi="Times New Roman" w:eastAsia="黑体" w:cs="黑体"/>
          <w:b w:val="0"/>
          <w:bCs w:val="0"/>
          <w:sz w:val="32"/>
          <w:szCs w:val="32"/>
          <w:highlight w:val="none"/>
          <w:lang w:val="en-US" w:eastAsia="zh-CN"/>
        </w:rPr>
        <w:t>1</w:t>
      </w:r>
    </w:p>
    <w:p w14:paraId="20250C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44"/>
          <w:szCs w:val="52"/>
          <w:highlight w:val="none"/>
          <w:u w:val="none"/>
          <w:lang w:val="en-US" w:eastAsia="zh-CN"/>
        </w:rPr>
      </w:pPr>
      <w:r>
        <w:rPr>
          <w:rFonts w:hint="eastAsia" w:ascii="Times New Roman" w:hAnsi="Times New Roman" w:eastAsia="方正小标宋_GBK" w:cs="方正小标宋_GBK"/>
          <w:sz w:val="44"/>
          <w:szCs w:val="52"/>
          <w:highlight w:val="none"/>
          <w:u w:val="none"/>
          <w:lang w:val="en-US" w:eastAsia="zh-CN"/>
        </w:rPr>
        <w:t>惠州市支持银发经济发展</w:t>
      </w:r>
      <w:bookmarkStart w:id="0" w:name="_GoBack"/>
      <w:bookmarkEnd w:id="0"/>
      <w:r>
        <w:rPr>
          <w:rFonts w:hint="eastAsia" w:ascii="Times New Roman" w:hAnsi="Times New Roman" w:eastAsia="方正小标宋_GBK" w:cs="方正小标宋_GBK"/>
          <w:sz w:val="44"/>
          <w:szCs w:val="52"/>
          <w:highlight w:val="none"/>
          <w:u w:val="none"/>
          <w:lang w:val="en-US" w:eastAsia="zh-CN"/>
        </w:rPr>
        <w:t>若干措施</w:t>
      </w:r>
    </w:p>
    <w:p w14:paraId="4CF8DF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44"/>
          <w:szCs w:val="52"/>
          <w:highlight w:val="none"/>
          <w:u w:val="none"/>
          <w:lang w:val="en-US" w:eastAsia="zh-CN"/>
        </w:rPr>
      </w:pPr>
      <w:r>
        <w:rPr>
          <w:rFonts w:hint="eastAsia" w:ascii="Times New Roman" w:hAnsi="Times New Roman" w:eastAsia="方正小标宋_GBK" w:cs="方正小标宋_GBK"/>
          <w:sz w:val="44"/>
          <w:szCs w:val="52"/>
          <w:highlight w:val="none"/>
          <w:u w:val="none"/>
          <w:lang w:val="en-US" w:eastAsia="zh-CN"/>
        </w:rPr>
        <w:t>（征求意见稿）</w:t>
      </w:r>
    </w:p>
    <w:p w14:paraId="0A7B40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sz w:val="32"/>
          <w:szCs w:val="40"/>
          <w:highlight w:val="none"/>
          <w:u w:val="none"/>
          <w:lang w:val="en-US" w:eastAsia="zh-CN"/>
        </w:rPr>
      </w:pPr>
    </w:p>
    <w:p w14:paraId="49D9C6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highlight w:val="none"/>
          <w:u w:val="none"/>
          <w:lang w:val="en-US" w:eastAsia="zh-CN"/>
        </w:rPr>
      </w:pPr>
      <w:r>
        <w:rPr>
          <w:rFonts w:hint="default" w:ascii="Times New Roman" w:hAnsi="Times New Roman" w:eastAsia="仿宋_GB2312" w:cs="Times New Roman"/>
          <w:sz w:val="32"/>
          <w:szCs w:val="40"/>
          <w:highlight w:val="none"/>
          <w:u w:val="none"/>
          <w:lang w:val="en-US" w:eastAsia="zh-CN"/>
        </w:rPr>
        <w:t>为深入贯彻党中央、国务院关于积极应对人口老龄化战略部署</w:t>
      </w:r>
      <w:r>
        <w:rPr>
          <w:rFonts w:hint="eastAsia" w:ascii="Times New Roman" w:hAnsi="Times New Roman" w:eastAsia="仿宋_GB2312" w:cs="Times New Roman"/>
          <w:sz w:val="32"/>
          <w:szCs w:val="40"/>
          <w:highlight w:val="none"/>
          <w:u w:val="none"/>
          <w:lang w:val="en-US" w:eastAsia="zh-CN"/>
        </w:rPr>
        <w:t>，认真落实国家和省关于大力发展银发经济的文件精神，进一步促进我市养老产业发展</w:t>
      </w:r>
      <w:r>
        <w:rPr>
          <w:rFonts w:hint="default" w:ascii="Times New Roman" w:hAnsi="Times New Roman" w:eastAsia="仿宋_GB2312" w:cs="Times New Roman"/>
          <w:sz w:val="32"/>
          <w:szCs w:val="40"/>
          <w:highlight w:val="none"/>
          <w:u w:val="none"/>
          <w:lang w:val="en-US" w:eastAsia="zh-CN"/>
        </w:rPr>
        <w:t>，培育壮大银发经济新增长点</w:t>
      </w:r>
      <w:r>
        <w:rPr>
          <w:rFonts w:hint="eastAsia" w:ascii="Times New Roman" w:hAnsi="Times New Roman" w:eastAsia="仿宋_GB2312" w:cs="仿宋_GB2312"/>
          <w:sz w:val="32"/>
          <w:szCs w:val="40"/>
          <w:highlight w:val="none"/>
          <w:u w:val="none"/>
          <w:lang w:val="en-US" w:eastAsia="zh-CN"/>
        </w:rPr>
        <w:t>，结合实际，制定本措施。</w:t>
      </w:r>
    </w:p>
    <w:p w14:paraId="3F2787F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40"/>
          <w:highlight w:val="none"/>
          <w:u w:val="none"/>
          <w:lang w:val="en-US" w:eastAsia="zh-CN"/>
        </w:rPr>
      </w:pPr>
      <w:r>
        <w:rPr>
          <w:rFonts w:hint="eastAsia" w:ascii="Times New Roman" w:hAnsi="Times New Roman" w:eastAsia="黑体" w:cs="黑体"/>
          <w:sz w:val="32"/>
          <w:szCs w:val="40"/>
          <w:highlight w:val="none"/>
          <w:u w:val="none"/>
          <w:lang w:val="en-US" w:eastAsia="zh-CN"/>
        </w:rPr>
        <w:t>支持养老服务业发展</w:t>
      </w:r>
    </w:p>
    <w:p w14:paraId="223BE1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40"/>
          <w:highlight w:val="none"/>
          <w:u w:val="none"/>
          <w:lang w:val="en-US" w:eastAsia="zh-CN"/>
        </w:rPr>
      </w:pPr>
      <w:r>
        <w:rPr>
          <w:rFonts w:hint="eastAsia" w:ascii="Times New Roman" w:hAnsi="Times New Roman" w:eastAsia="仿宋_GB2312" w:cs="Times New Roman"/>
          <w:sz w:val="32"/>
          <w:szCs w:val="40"/>
          <w:highlight w:val="none"/>
          <w:u w:val="none"/>
          <w:lang w:val="en-US" w:eastAsia="zh-CN"/>
        </w:rPr>
        <w:t>加快</w:t>
      </w:r>
      <w:r>
        <w:rPr>
          <w:rFonts w:hint="default" w:ascii="Times New Roman" w:hAnsi="Times New Roman" w:eastAsia="仿宋_GB2312" w:cs="Times New Roman"/>
          <w:sz w:val="32"/>
          <w:szCs w:val="40"/>
          <w:highlight w:val="none"/>
          <w:u w:val="none"/>
          <w:lang w:val="en-US" w:eastAsia="zh-CN"/>
        </w:rPr>
        <w:t>完善县、镇、村三级养老服务网络。</w:t>
      </w:r>
      <w:r>
        <w:rPr>
          <w:rFonts w:hint="default" w:ascii="Times New Roman" w:hAnsi="Times New Roman" w:eastAsia="仿宋_GB2312" w:cs="Times New Roman"/>
          <w:sz w:val="32"/>
          <w:szCs w:val="40"/>
          <w:highlight w:val="none"/>
          <w:u w:val="none"/>
        </w:rPr>
        <w:t>建设县级综合养老服务管理平台</w:t>
      </w:r>
      <w:r>
        <w:rPr>
          <w:rFonts w:hint="default" w:ascii="Times New Roman" w:hAnsi="Times New Roman" w:eastAsia="仿宋_GB2312" w:cs="Times New Roman"/>
          <w:sz w:val="32"/>
          <w:szCs w:val="40"/>
          <w:highlight w:val="none"/>
          <w:u w:val="none"/>
          <w:lang w:eastAsia="zh-CN"/>
        </w:rPr>
        <w:t>，</w:t>
      </w:r>
      <w:r>
        <w:rPr>
          <w:rFonts w:hint="default" w:ascii="Times New Roman" w:hAnsi="Times New Roman" w:eastAsia="仿宋_GB2312" w:cs="Times New Roman"/>
          <w:i w:val="0"/>
          <w:iCs w:val="0"/>
          <w:caps w:val="0"/>
          <w:color w:val="auto"/>
          <w:spacing w:val="0"/>
          <w:sz w:val="32"/>
          <w:szCs w:val="40"/>
          <w:highlight w:val="none"/>
          <w:u w:val="none"/>
          <w:shd w:val="clear" w:fill="auto"/>
        </w:rPr>
        <w:t>统筹推动县域养老服务资源高效利用。加强乡镇（街道）区域养老服务能力建设</w:t>
      </w:r>
      <w:r>
        <w:rPr>
          <w:rFonts w:hint="default" w:ascii="Times New Roman" w:hAnsi="Times New Roman" w:eastAsia="仿宋_GB2312" w:cs="Times New Roman"/>
          <w:i w:val="0"/>
          <w:iCs w:val="0"/>
          <w:caps w:val="0"/>
          <w:color w:val="auto"/>
          <w:spacing w:val="0"/>
          <w:sz w:val="32"/>
          <w:szCs w:val="40"/>
          <w:highlight w:val="none"/>
          <w:u w:val="none"/>
          <w:shd w:val="clear" w:fill="auto"/>
          <w:lang w:eastAsia="zh-CN"/>
        </w:rPr>
        <w:t>，</w:t>
      </w:r>
      <w:r>
        <w:rPr>
          <w:rFonts w:hint="default" w:ascii="Times New Roman" w:hAnsi="Times New Roman" w:eastAsia="仿宋_GB2312" w:cs="Times New Roman"/>
          <w:i w:val="0"/>
          <w:iCs w:val="0"/>
          <w:caps w:val="0"/>
          <w:color w:val="auto"/>
          <w:spacing w:val="0"/>
          <w:sz w:val="32"/>
          <w:szCs w:val="40"/>
          <w:highlight w:val="none"/>
          <w:u w:val="none"/>
          <w:shd w:val="clear" w:fill="auto"/>
        </w:rPr>
        <w:t>强化乡镇（街道）专业照护、服务转介功能</w:t>
      </w:r>
      <w:r>
        <w:rPr>
          <w:rFonts w:hint="eastAsia" w:ascii="Times New Roman" w:hAnsi="Times New Roman" w:eastAsia="仿宋_GB2312" w:cs="Times New Roman"/>
          <w:i w:val="0"/>
          <w:iCs w:val="0"/>
          <w:caps w:val="0"/>
          <w:color w:val="auto"/>
          <w:spacing w:val="0"/>
          <w:sz w:val="32"/>
          <w:szCs w:val="40"/>
          <w:highlight w:val="none"/>
          <w:u w:val="none"/>
          <w:shd w:val="clear" w:fill="auto"/>
          <w:lang w:eastAsia="zh-CN"/>
        </w:rPr>
        <w:t>。</w:t>
      </w:r>
      <w:r>
        <w:rPr>
          <w:rFonts w:hint="default" w:ascii="Times New Roman" w:hAnsi="Times New Roman" w:eastAsia="仿宋_GB2312" w:cs="Times New Roman"/>
          <w:i w:val="0"/>
          <w:iCs w:val="0"/>
          <w:caps w:val="0"/>
          <w:color w:val="auto"/>
          <w:spacing w:val="0"/>
          <w:sz w:val="32"/>
          <w:szCs w:val="40"/>
          <w:highlight w:val="none"/>
          <w:u w:val="none"/>
          <w:shd w:val="clear" w:fill="auto"/>
        </w:rPr>
        <w:t>以</w:t>
      </w:r>
      <w:r>
        <w:rPr>
          <w:rFonts w:hint="eastAsia" w:ascii="Times New Roman" w:hAnsi="Times New Roman" w:eastAsia="仿宋_GB2312" w:cs="Times New Roman"/>
          <w:i w:val="0"/>
          <w:iCs w:val="0"/>
          <w:caps w:val="0"/>
          <w:color w:val="auto"/>
          <w:spacing w:val="0"/>
          <w:sz w:val="32"/>
          <w:szCs w:val="40"/>
          <w:highlight w:val="none"/>
          <w:u w:val="none"/>
          <w:shd w:val="clear" w:fill="auto"/>
          <w:lang w:eastAsia="zh-CN"/>
        </w:rPr>
        <w:t>“</w:t>
      </w:r>
      <w:r>
        <w:rPr>
          <w:rFonts w:hint="eastAsia" w:ascii="Times New Roman" w:hAnsi="Times New Roman" w:eastAsia="仿宋_GB2312" w:cs="Times New Roman"/>
          <w:i w:val="0"/>
          <w:iCs w:val="0"/>
          <w:caps w:val="0"/>
          <w:color w:val="auto"/>
          <w:spacing w:val="0"/>
          <w:sz w:val="32"/>
          <w:szCs w:val="40"/>
          <w:highlight w:val="none"/>
          <w:u w:val="none"/>
          <w:shd w:val="clear" w:fill="auto"/>
          <w:lang w:eastAsia="zh-CN"/>
        </w:rPr>
        <w:t>一</w:t>
      </w:r>
      <w:r>
        <w:rPr>
          <w:rFonts w:hint="eastAsia" w:ascii="Times New Roman" w:hAnsi="Times New Roman" w:eastAsia="仿宋_GB2312" w:cs="Times New Roman"/>
          <w:i w:val="0"/>
          <w:iCs w:val="0"/>
          <w:caps w:val="0"/>
          <w:color w:val="auto"/>
          <w:spacing w:val="0"/>
          <w:sz w:val="32"/>
          <w:szCs w:val="40"/>
          <w:highlight w:val="none"/>
          <w:u w:val="none"/>
          <w:shd w:val="clear" w:fill="auto"/>
        </w:rPr>
        <w:t>中心</w:t>
      </w:r>
      <w:r>
        <w:rPr>
          <w:rFonts w:hint="eastAsia" w:ascii="Times New Roman" w:hAnsi="Times New Roman" w:eastAsia="仿宋_GB2312" w:cs="Times New Roman"/>
          <w:i w:val="0"/>
          <w:iCs w:val="0"/>
          <w:caps w:val="0"/>
          <w:color w:val="auto"/>
          <w:spacing w:val="0"/>
          <w:sz w:val="32"/>
          <w:szCs w:val="40"/>
          <w:highlight w:val="none"/>
          <w:u w:val="none"/>
          <w:shd w:val="clear" w:fill="auto"/>
          <w:lang w:eastAsia="zh-CN"/>
        </w:rPr>
        <w:t>多</w:t>
      </w:r>
      <w:r>
        <w:rPr>
          <w:rFonts w:hint="eastAsia" w:ascii="Times New Roman" w:hAnsi="Times New Roman" w:eastAsia="仿宋_GB2312" w:cs="Times New Roman"/>
          <w:i w:val="0"/>
          <w:iCs w:val="0"/>
          <w:caps w:val="0"/>
          <w:color w:val="auto"/>
          <w:spacing w:val="0"/>
          <w:sz w:val="32"/>
          <w:szCs w:val="40"/>
          <w:highlight w:val="none"/>
          <w:u w:val="none"/>
          <w:shd w:val="clear" w:fill="auto"/>
        </w:rPr>
        <w:t>站点</w:t>
      </w:r>
      <w:r>
        <w:rPr>
          <w:rFonts w:hint="eastAsia" w:ascii="Times New Roman" w:hAnsi="Times New Roman" w:eastAsia="仿宋_GB2312" w:cs="Times New Roman"/>
          <w:i w:val="0"/>
          <w:iCs w:val="0"/>
          <w:caps w:val="0"/>
          <w:color w:val="auto"/>
          <w:spacing w:val="0"/>
          <w:sz w:val="32"/>
          <w:szCs w:val="40"/>
          <w:highlight w:val="none"/>
          <w:u w:val="none"/>
          <w:shd w:val="clear" w:fill="auto"/>
          <w:lang w:eastAsia="zh-CN"/>
        </w:rPr>
        <w:t>”</w:t>
      </w:r>
      <w:r>
        <w:rPr>
          <w:rFonts w:hint="default" w:ascii="Times New Roman" w:hAnsi="Times New Roman" w:eastAsia="仿宋_GB2312" w:cs="Times New Roman"/>
          <w:i w:val="0"/>
          <w:iCs w:val="0"/>
          <w:caps w:val="0"/>
          <w:color w:val="auto"/>
          <w:spacing w:val="0"/>
          <w:sz w:val="32"/>
          <w:szCs w:val="40"/>
          <w:highlight w:val="none"/>
          <w:u w:val="none"/>
          <w:shd w:val="clear" w:fill="auto"/>
        </w:rPr>
        <w:t>模式，发展嵌入式、互助性</w:t>
      </w:r>
      <w:r>
        <w:rPr>
          <w:rFonts w:hint="eastAsia" w:ascii="Times New Roman" w:hAnsi="Times New Roman" w:eastAsia="仿宋_GB2312" w:cs="Times New Roman"/>
          <w:i w:val="0"/>
          <w:iCs w:val="0"/>
          <w:caps w:val="0"/>
          <w:color w:val="auto"/>
          <w:spacing w:val="0"/>
          <w:sz w:val="32"/>
          <w:szCs w:val="40"/>
          <w:highlight w:val="none"/>
          <w:u w:val="none"/>
          <w:shd w:val="clear" w:fill="auto"/>
          <w:lang w:eastAsia="zh-CN"/>
        </w:rPr>
        <w:t>村（社区）</w:t>
      </w:r>
      <w:r>
        <w:rPr>
          <w:rFonts w:hint="default" w:ascii="Times New Roman" w:hAnsi="Times New Roman" w:eastAsia="仿宋_GB2312" w:cs="Times New Roman"/>
          <w:i w:val="0"/>
          <w:iCs w:val="0"/>
          <w:caps w:val="0"/>
          <w:color w:val="auto"/>
          <w:spacing w:val="0"/>
          <w:sz w:val="32"/>
          <w:szCs w:val="40"/>
          <w:highlight w:val="none"/>
          <w:u w:val="none"/>
          <w:shd w:val="clear" w:fill="auto"/>
        </w:rPr>
        <w:t>养老设施，衔接家庭与社会服务。落实《惠州市住宅区配建养老服务设施管理办法》，新建住宅区按照每百户不低于20平方米的标准</w:t>
      </w:r>
      <w:r>
        <w:rPr>
          <w:rFonts w:hint="eastAsia" w:ascii="Times New Roman" w:hAnsi="Times New Roman" w:eastAsia="仿宋_GB2312" w:cs="Times New Roman"/>
          <w:i w:val="0"/>
          <w:iCs w:val="0"/>
          <w:caps w:val="0"/>
          <w:color w:val="auto"/>
          <w:spacing w:val="0"/>
          <w:sz w:val="32"/>
          <w:szCs w:val="40"/>
          <w:highlight w:val="none"/>
          <w:u w:val="none"/>
          <w:shd w:val="clear" w:fill="auto"/>
          <w:lang w:eastAsia="zh-CN"/>
        </w:rPr>
        <w:t>，</w:t>
      </w:r>
      <w:r>
        <w:rPr>
          <w:rFonts w:hint="eastAsia" w:ascii="Times New Roman" w:hAnsi="Times New Roman" w:eastAsia="仿宋_GB2312" w:cs="Times New Roman"/>
          <w:i w:val="0"/>
          <w:iCs w:val="0"/>
          <w:caps w:val="0"/>
          <w:color w:val="auto"/>
          <w:spacing w:val="0"/>
          <w:sz w:val="32"/>
          <w:szCs w:val="40"/>
          <w:highlight w:val="none"/>
          <w:u w:val="none"/>
          <w:shd w:val="clear" w:fill="auto"/>
        </w:rPr>
        <w:t>已建住宅区</w:t>
      </w:r>
      <w:r>
        <w:rPr>
          <w:rFonts w:hint="eastAsia" w:ascii="Times New Roman" w:hAnsi="Times New Roman" w:eastAsia="仿宋_GB2312" w:cs="Times New Roman"/>
          <w:i w:val="0"/>
          <w:iCs w:val="0"/>
          <w:caps w:val="0"/>
          <w:color w:val="auto"/>
          <w:spacing w:val="0"/>
          <w:sz w:val="32"/>
          <w:szCs w:val="40"/>
          <w:highlight w:val="none"/>
          <w:u w:val="none"/>
          <w:shd w:val="clear" w:fill="auto"/>
          <w:lang w:eastAsia="zh-CN"/>
        </w:rPr>
        <w:t>按</w:t>
      </w:r>
      <w:r>
        <w:rPr>
          <w:rFonts w:hint="eastAsia" w:ascii="Times New Roman" w:hAnsi="Times New Roman" w:eastAsia="仿宋_GB2312" w:cs="Times New Roman"/>
          <w:i w:val="0"/>
          <w:iCs w:val="0"/>
          <w:caps w:val="0"/>
          <w:color w:val="auto"/>
          <w:spacing w:val="0"/>
          <w:sz w:val="32"/>
          <w:szCs w:val="40"/>
          <w:highlight w:val="none"/>
          <w:u w:val="none"/>
          <w:shd w:val="clear" w:fill="auto"/>
        </w:rPr>
        <w:t>每百户不低于</w:t>
      </w:r>
      <w:r>
        <w:rPr>
          <w:rFonts w:hint="eastAsia" w:ascii="Times New Roman" w:hAnsi="Times New Roman" w:eastAsia="仿宋_GB2312" w:cs="Times New Roman"/>
          <w:i w:val="0"/>
          <w:iCs w:val="0"/>
          <w:caps w:val="0"/>
          <w:color w:val="auto"/>
          <w:spacing w:val="0"/>
          <w:sz w:val="32"/>
          <w:szCs w:val="40"/>
          <w:highlight w:val="none"/>
          <w:u w:val="none"/>
          <w:shd w:val="clear" w:fill="auto"/>
          <w:lang w:val="en-US" w:eastAsia="zh-CN"/>
        </w:rPr>
        <w:t>15</w:t>
      </w:r>
      <w:r>
        <w:rPr>
          <w:rFonts w:hint="eastAsia" w:ascii="Times New Roman" w:hAnsi="Times New Roman" w:eastAsia="仿宋_GB2312" w:cs="Times New Roman"/>
          <w:i w:val="0"/>
          <w:iCs w:val="0"/>
          <w:caps w:val="0"/>
          <w:color w:val="auto"/>
          <w:spacing w:val="0"/>
          <w:sz w:val="32"/>
          <w:szCs w:val="40"/>
          <w:highlight w:val="none"/>
          <w:u w:val="none"/>
          <w:shd w:val="clear" w:fill="auto"/>
        </w:rPr>
        <w:t>平方米的标准，</w:t>
      </w:r>
      <w:r>
        <w:rPr>
          <w:rFonts w:hint="default" w:ascii="Times New Roman" w:hAnsi="Times New Roman" w:eastAsia="仿宋_GB2312" w:cs="Times New Roman"/>
          <w:i w:val="0"/>
          <w:iCs w:val="0"/>
          <w:caps w:val="0"/>
          <w:color w:val="auto"/>
          <w:spacing w:val="0"/>
          <w:sz w:val="32"/>
          <w:szCs w:val="40"/>
          <w:highlight w:val="none"/>
          <w:u w:val="none"/>
          <w:shd w:val="clear" w:fill="auto"/>
        </w:rPr>
        <w:t>配建养老服务设施，有效保障养老服务设施用地需求。落实养老服务机构供水、供电、供气执行居民生活类价格政策。将本级用于社会福利的彩票公益金预算总额按不低于55%的比例用于老年人福利类项目</w:t>
      </w:r>
      <w:r>
        <w:rPr>
          <w:rStyle w:val="12"/>
          <w:rFonts w:hint="default" w:ascii="Times New Roman" w:hAnsi="Times New Roman" w:eastAsia="仿宋_GB2312" w:cs="Times New Roman"/>
          <w:i w:val="0"/>
          <w:iCs w:val="0"/>
          <w:caps w:val="0"/>
          <w:color w:val="auto"/>
          <w:spacing w:val="0"/>
          <w:sz w:val="32"/>
          <w:szCs w:val="40"/>
          <w:highlight w:val="none"/>
          <w:u w:val="none"/>
          <w:shd w:val="clear" w:fill="auto"/>
        </w:rPr>
        <w:footnoteReference w:id="0"/>
      </w:r>
      <w:r>
        <w:rPr>
          <w:rFonts w:hint="default" w:ascii="Times New Roman" w:hAnsi="Times New Roman" w:eastAsia="仿宋_GB2312" w:cs="Times New Roman"/>
          <w:i w:val="0"/>
          <w:iCs w:val="0"/>
          <w:caps w:val="0"/>
          <w:color w:val="auto"/>
          <w:spacing w:val="0"/>
          <w:sz w:val="32"/>
          <w:szCs w:val="40"/>
          <w:highlight w:val="none"/>
          <w:u w:val="none"/>
          <w:shd w:val="clear" w:fill="auto"/>
        </w:rPr>
        <w:t>。</w:t>
      </w:r>
      <w:r>
        <w:rPr>
          <w:rFonts w:hint="eastAsia" w:ascii="Times New Roman" w:hAnsi="Times New Roman" w:eastAsia="仿宋_GB2312" w:cs="仿宋_GB2312"/>
          <w:sz w:val="32"/>
          <w:szCs w:val="40"/>
          <w:highlight w:val="none"/>
          <w:u w:val="none"/>
          <w:lang w:val="en-US" w:eastAsia="zh-CN"/>
        </w:rPr>
        <w:t>完善惠州市养老服务补贴政策，探索在机构床位运营、居家上门服务、养老服务人才等方面进行激励，鼓励社会力量参与惠州养老服务体系建设。加强养老服务与长期护理保险制度的衔接，在失能人员护理服务上，原则上按照先长期护理保险待遇再各项补贴的顺序落实，推动机构和居家长期护理服务专业化、规范化发展。</w:t>
      </w:r>
      <w:r>
        <w:rPr>
          <w:rFonts w:hint="eastAsia" w:ascii="Times New Roman" w:hAnsi="Times New Roman" w:eastAsia="仿宋_GB2312" w:cs="Times New Roman"/>
          <w:b w:val="0"/>
          <w:bCs w:val="0"/>
          <w:sz w:val="32"/>
          <w:szCs w:val="40"/>
          <w:highlight w:val="none"/>
          <w:u w:val="none"/>
          <w:lang w:val="en-US" w:eastAsia="zh-CN"/>
        </w:rPr>
        <w:t>（责任单位：市民政局、市自然资源局、市发展和改革局、市财政局、市医疗保障局）</w:t>
      </w:r>
    </w:p>
    <w:p w14:paraId="7ACD51E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40"/>
          <w:highlight w:val="none"/>
          <w:u w:val="none"/>
          <w:lang w:val="en-US" w:eastAsia="zh-CN"/>
        </w:rPr>
      </w:pPr>
      <w:r>
        <w:rPr>
          <w:rFonts w:hint="eastAsia" w:ascii="Times New Roman" w:hAnsi="Times New Roman" w:eastAsia="黑体" w:cs="黑体"/>
          <w:sz w:val="32"/>
          <w:szCs w:val="40"/>
          <w:highlight w:val="none"/>
          <w:u w:val="none"/>
          <w:lang w:val="en-US" w:eastAsia="zh-CN"/>
        </w:rPr>
        <w:t>支持培育银发经济经营主体</w:t>
      </w:r>
    </w:p>
    <w:p w14:paraId="40444F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highlight w:val="none"/>
          <w:u w:val="none"/>
          <w:lang w:val="en-US" w:eastAsia="zh-CN"/>
        </w:rPr>
      </w:pPr>
      <w:r>
        <w:rPr>
          <w:rFonts w:hint="default" w:ascii="Times New Roman" w:hAnsi="Times New Roman" w:eastAsia="仿宋_GB2312" w:cs="Times New Roman"/>
          <w:color w:val="auto"/>
          <w:sz w:val="32"/>
          <w:szCs w:val="40"/>
          <w:highlight w:val="none"/>
          <w:u w:val="none"/>
          <w:lang w:val="en-US" w:eastAsia="zh-CN"/>
        </w:rPr>
        <w:t>支持银发经济领域企业</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新升规</w:t>
      </w:r>
      <w:r>
        <w:rPr>
          <w:rFonts w:hint="eastAsia" w:ascii="Times New Roman" w:hAnsi="Times New Roman" w:eastAsia="Times New Roman"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，对惠州市内首次</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新升规</w:t>
      </w:r>
      <w:r>
        <w:rPr>
          <w:rFonts w:hint="eastAsia" w:ascii="仿宋_GB2312" w:hAnsi="仿宋_GB2312" w:eastAsia="仿宋_GB2312" w:cs="仿宋_GB2312"/>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银发经济领域企业，</w:t>
      </w:r>
      <w:r>
        <w:rPr>
          <w:rFonts w:hint="default" w:ascii="Times New Roman" w:hAnsi="Times New Roman" w:eastAsia="仿宋_GB2312" w:cs="Times New Roman"/>
          <w:color w:val="auto"/>
          <w:sz w:val="32"/>
          <w:szCs w:val="40"/>
          <w:highlight w:val="none"/>
          <w:u w:val="none"/>
          <w:lang w:val="en-US" w:eastAsia="zh-CN"/>
        </w:rPr>
        <w:t>市级奖励4万元，对首次</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新升规</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当年产值超1亿元（含）且次年工业增加值正增长的企业奖励4万元</w:t>
      </w:r>
      <w:r>
        <w:rPr>
          <w:rStyle w:val="12"/>
          <w:rFonts w:hint="default" w:ascii="Times New Roman" w:hAnsi="Times New Roman" w:eastAsia="仿宋_GB2312" w:cs="Times New Roman"/>
          <w:color w:val="auto"/>
          <w:sz w:val="32"/>
          <w:szCs w:val="40"/>
          <w:highlight w:val="none"/>
          <w:u w:val="none"/>
          <w:lang w:val="en-US" w:eastAsia="zh-CN"/>
        </w:rPr>
        <w:footnoteReference w:id="1"/>
      </w:r>
      <w:r>
        <w:rPr>
          <w:rFonts w:hint="default" w:ascii="Times New Roman" w:hAnsi="Times New Roman" w:eastAsia="仿宋_GB2312" w:cs="Times New Roman"/>
          <w:color w:val="auto"/>
          <w:sz w:val="32"/>
          <w:szCs w:val="40"/>
          <w:highlight w:val="none"/>
          <w:u w:val="none"/>
          <w:lang w:val="en-US" w:eastAsia="zh-CN"/>
        </w:rPr>
        <w:t>。对各县（区）当年新投产当年上规纳统的企业给予一次性奖励10万元</w:t>
      </w:r>
      <w:r>
        <w:rPr>
          <w:rStyle w:val="12"/>
          <w:rFonts w:hint="default" w:ascii="Times New Roman" w:hAnsi="Times New Roman" w:eastAsia="仿宋_GB2312" w:cs="Times New Roman"/>
          <w:color w:val="auto"/>
          <w:sz w:val="32"/>
          <w:szCs w:val="40"/>
          <w:highlight w:val="none"/>
          <w:u w:val="none"/>
          <w:lang w:val="en-US" w:eastAsia="zh-CN"/>
        </w:rPr>
        <w:footnoteReference w:id="2"/>
      </w:r>
      <w:r>
        <w:rPr>
          <w:rFonts w:hint="default"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鼓励和引导国有企业结合主责主业积极拓</w:t>
      </w:r>
      <w:r>
        <w:rPr>
          <w:rFonts w:hint="default" w:ascii="Times New Roman" w:hAnsi="Times New Roman" w:eastAsia="仿宋_GB2312" w:cs="Times New Roman"/>
          <w:sz w:val="32"/>
          <w:szCs w:val="40"/>
          <w:highlight w:val="none"/>
          <w:u w:val="none"/>
          <w:lang w:val="en-US" w:eastAsia="zh-CN"/>
        </w:rPr>
        <w:t>展银发经济相关业务，探索搭建银发经济产业平台。</w:t>
      </w:r>
      <w:r>
        <w:rPr>
          <w:rFonts w:hint="default" w:ascii="Times New Roman" w:hAnsi="Times New Roman" w:eastAsia="仿宋_GB2312" w:cs="Times New Roman"/>
          <w:sz w:val="32"/>
          <w:szCs w:val="40"/>
          <w:highlight w:val="none"/>
          <w:u w:val="none"/>
          <w:lang w:val="en-US" w:eastAsia="zh-CN"/>
        </w:rPr>
        <w:t>市属</w:t>
      </w:r>
      <w:r>
        <w:rPr>
          <w:rFonts w:hint="default" w:ascii="Times New Roman" w:hAnsi="Times New Roman" w:eastAsia="仿宋_GB2312" w:cs="Times New Roman"/>
          <w:sz w:val="32"/>
          <w:szCs w:val="40"/>
          <w:highlight w:val="none"/>
          <w:u w:val="none"/>
          <w:lang w:val="en-US" w:eastAsia="zh-CN"/>
        </w:rPr>
        <w:t>国有企业提供场地设施用于承担普惠性、公益性养老服</w:t>
      </w:r>
      <w:r>
        <w:rPr>
          <w:rFonts w:hint="eastAsia" w:ascii="Times New Roman" w:hAnsi="Times New Roman" w:eastAsia="仿宋_GB2312" w:cs="仿宋_GB2312"/>
          <w:sz w:val="32"/>
          <w:szCs w:val="40"/>
          <w:highlight w:val="none"/>
          <w:u w:val="none"/>
          <w:lang w:val="en-US" w:eastAsia="zh-CN"/>
        </w:rPr>
        <w:t>务，对经营业绩产生不利影响的，可按规定在经营业绩考核中予以统筹考虑。</w:t>
      </w:r>
      <w:r>
        <w:rPr>
          <w:rFonts w:hint="eastAsia" w:ascii="Times New Roman" w:hAnsi="Times New Roman" w:eastAsia="仿宋_GB2312" w:cs="仿宋_GB2312"/>
          <w:sz w:val="32"/>
          <w:szCs w:val="40"/>
          <w:highlight w:val="none"/>
          <w:u w:val="none"/>
          <w:lang w:val="en-US" w:eastAsia="zh-CN"/>
        </w:rPr>
        <w:t>（责任单位：市工业和信息化局、市财政局、市国资委）</w:t>
      </w:r>
    </w:p>
    <w:p w14:paraId="3C74951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 w:val="0"/>
          <w:bCs w:val="0"/>
          <w:sz w:val="32"/>
          <w:szCs w:val="40"/>
          <w:highlight w:val="none"/>
          <w:u w:val="none"/>
          <w:lang w:val="en-US" w:eastAsia="zh-CN"/>
        </w:rPr>
      </w:pPr>
      <w:r>
        <w:rPr>
          <w:rFonts w:hint="eastAsia" w:ascii="Times New Roman" w:hAnsi="Times New Roman" w:eastAsia="黑体" w:cs="黑体"/>
          <w:b w:val="0"/>
          <w:bCs w:val="0"/>
          <w:sz w:val="32"/>
          <w:szCs w:val="40"/>
          <w:highlight w:val="none"/>
          <w:u w:val="none"/>
          <w:lang w:val="en-US" w:eastAsia="zh-CN"/>
        </w:rPr>
        <w:t>支持老年产品用品研发制造</w:t>
      </w:r>
    </w:p>
    <w:p w14:paraId="56D997E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sz w:val="32"/>
          <w:szCs w:val="40"/>
          <w:highlight w:val="none"/>
          <w:u w:val="none"/>
          <w:lang w:val="en-US" w:eastAsia="zh-CN"/>
        </w:rPr>
      </w:pPr>
      <w:r>
        <w:rPr>
          <w:rFonts w:hint="eastAsia" w:ascii="Times New Roman" w:hAnsi="Times New Roman" w:eastAsia="仿宋_GB2312" w:cs="Times New Roman"/>
          <w:sz w:val="32"/>
          <w:szCs w:val="40"/>
          <w:highlight w:val="none"/>
          <w:u w:val="none"/>
          <w:lang w:val="en-US" w:eastAsia="zh-CN"/>
        </w:rPr>
        <w:t>引导企业加强智能养老机器人、康复辅具、</w:t>
      </w:r>
      <w:r>
        <w:rPr>
          <w:rFonts w:hint="default" w:ascii="Times New Roman" w:hAnsi="Times New Roman" w:eastAsia="仿宋_GB2312" w:cs="Times New Roman"/>
          <w:sz w:val="32"/>
          <w:szCs w:val="32"/>
          <w:highlight w:val="none"/>
          <w:u w:val="none"/>
          <w:lang w:eastAsia="zh-CN"/>
        </w:rPr>
        <w:t>生物医药、抗衰老</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40"/>
          <w:highlight w:val="none"/>
          <w:u w:val="none"/>
          <w:lang w:val="en-US" w:eastAsia="zh-CN"/>
        </w:rPr>
        <w:t>营养保健、福祉车辆、功能性服装鞋帽等老年用品及辅助产品的研发生产，</w:t>
      </w:r>
      <w:r>
        <w:rPr>
          <w:rFonts w:hint="eastAsia" w:ascii="Times New Roman" w:hAnsi="Times New Roman" w:eastAsia="仿宋_GB2312" w:cs="Times New Roman"/>
          <w:sz w:val="32"/>
          <w:szCs w:val="40"/>
          <w:highlight w:val="none"/>
          <w:u w:val="none"/>
          <w:lang w:val="en-US" w:eastAsia="zh-CN"/>
        </w:rPr>
        <w:t>对新获评国家级专精特新</w:t>
      </w:r>
      <w:r>
        <w:rPr>
          <w:rFonts w:hint="eastAsia" w:ascii="Times New Roman" w:hAnsi="Times New Roman" w:eastAsia="仿宋_GB2312" w:cs="Times New Roman"/>
          <w:sz w:val="32"/>
          <w:szCs w:val="40"/>
          <w:highlight w:val="none"/>
          <w:u w:val="none"/>
          <w:lang w:val="en-US" w:eastAsia="zh-CN"/>
        </w:rPr>
        <w:t>“</w:t>
      </w:r>
      <w:r>
        <w:rPr>
          <w:rFonts w:hint="eastAsia" w:ascii="Times New Roman" w:hAnsi="Times New Roman" w:eastAsia="仿宋_GB2312" w:cs="Times New Roman"/>
          <w:sz w:val="32"/>
          <w:szCs w:val="40"/>
          <w:highlight w:val="none"/>
          <w:u w:val="none"/>
          <w:lang w:val="en-US" w:eastAsia="zh-CN"/>
        </w:rPr>
        <w:t>小巨人</w:t>
      </w:r>
      <w:r>
        <w:rPr>
          <w:rFonts w:hint="eastAsia" w:ascii="Times New Roman" w:hAnsi="Times New Roman" w:eastAsia="仿宋_GB2312" w:cs="Times New Roman"/>
          <w:sz w:val="32"/>
          <w:szCs w:val="40"/>
          <w:highlight w:val="none"/>
          <w:u w:val="none"/>
          <w:lang w:val="en-US" w:eastAsia="zh-CN"/>
        </w:rPr>
        <w:t>”</w:t>
      </w:r>
      <w:r>
        <w:rPr>
          <w:rFonts w:hint="eastAsia" w:ascii="Times New Roman" w:hAnsi="Times New Roman" w:eastAsia="仿宋_GB2312" w:cs="Times New Roman"/>
          <w:sz w:val="32"/>
          <w:szCs w:val="40"/>
          <w:highlight w:val="none"/>
          <w:u w:val="none"/>
          <w:lang w:val="en-US" w:eastAsia="zh-CN"/>
        </w:rPr>
        <w:t>企业、制造业单项冠军企业、智能制造试点示范、智能工厂等称号的企业，市级给予一次性奖励30万元</w:t>
      </w:r>
      <w:r>
        <w:rPr>
          <w:rStyle w:val="12"/>
          <w:rFonts w:hint="eastAsia" w:ascii="Times New Roman" w:hAnsi="Times New Roman" w:eastAsia="仿宋_GB2312" w:cs="Times New Roman"/>
          <w:sz w:val="32"/>
          <w:szCs w:val="40"/>
          <w:highlight w:val="none"/>
          <w:u w:val="none"/>
          <w:lang w:val="en-US" w:eastAsia="zh-CN"/>
        </w:rPr>
        <w:footnoteReference w:id="3"/>
      </w:r>
      <w:r>
        <w:rPr>
          <w:rFonts w:hint="eastAsia" w:ascii="Times New Roman" w:hAnsi="Times New Roman" w:eastAsia="仿宋_GB2312" w:cs="Times New Roman"/>
          <w:sz w:val="32"/>
          <w:szCs w:val="40"/>
          <w:highlight w:val="none"/>
          <w:u w:val="none"/>
          <w:lang w:val="en-US" w:eastAsia="zh-CN"/>
        </w:rPr>
        <w:t>。</w:t>
      </w:r>
      <w:r>
        <w:rPr>
          <w:rFonts w:hint="eastAsia" w:ascii="Times New Roman" w:hAnsi="Times New Roman" w:eastAsia="仿宋_GB2312" w:cs="Times New Roman"/>
          <w:sz w:val="32"/>
          <w:szCs w:val="40"/>
          <w:highlight w:val="none"/>
          <w:u w:val="none"/>
          <w:lang w:val="en-US" w:eastAsia="zh-CN"/>
        </w:rPr>
        <w:t>对新获评省级专精特新中小企业、制造业单项冠军企业、智能制造生态合作伙伴等称号的企业，</w:t>
      </w:r>
      <w:r>
        <w:rPr>
          <w:rFonts w:hint="default" w:ascii="Times New Roman" w:hAnsi="Times New Roman" w:eastAsia="仿宋_GB2312" w:cs="Times New Roman"/>
          <w:sz w:val="32"/>
          <w:szCs w:val="40"/>
          <w:highlight w:val="none"/>
          <w:u w:val="none"/>
          <w:lang w:val="en-US" w:eastAsia="zh-CN"/>
        </w:rPr>
        <w:t>市级给予一次性奖励10万元</w:t>
      </w:r>
      <w:r>
        <w:rPr>
          <w:rStyle w:val="12"/>
          <w:rFonts w:hint="default" w:ascii="Times New Roman" w:hAnsi="Times New Roman" w:eastAsia="仿宋_GB2312" w:cs="Times New Roman"/>
          <w:sz w:val="32"/>
          <w:szCs w:val="40"/>
          <w:highlight w:val="none"/>
          <w:u w:val="none"/>
          <w:lang w:val="en-US" w:eastAsia="zh-CN"/>
        </w:rPr>
        <w:footnoteReference w:id="4"/>
      </w:r>
      <w:r>
        <w:rPr>
          <w:rFonts w:hint="eastAsia" w:ascii="Times New Roman" w:hAnsi="Times New Roman" w:eastAsia="仿宋_GB2312" w:cs="Times New Roman"/>
          <w:sz w:val="32"/>
          <w:szCs w:val="40"/>
          <w:highlight w:val="none"/>
          <w:u w:val="none"/>
          <w:lang w:val="en-US" w:eastAsia="zh-CN"/>
        </w:rPr>
        <w:t>。</w:t>
      </w:r>
      <w:r>
        <w:rPr>
          <w:rFonts w:hint="default" w:ascii="Times New Roman" w:hAnsi="Times New Roman" w:eastAsia="仿宋_GB2312" w:cs="Times New Roman"/>
          <w:sz w:val="32"/>
          <w:szCs w:val="40"/>
          <w:highlight w:val="none"/>
          <w:u w:val="none"/>
          <w:lang w:val="en-US" w:eastAsia="zh-CN"/>
        </w:rPr>
        <w:t>对新认定为国家级、省级工业设计中心或工业设计研究院的企业，市级分别给予一次性奖励80万元、40万元</w:t>
      </w:r>
      <w:r>
        <w:rPr>
          <w:rStyle w:val="12"/>
          <w:rFonts w:hint="default" w:ascii="Times New Roman" w:hAnsi="Times New Roman" w:eastAsia="仿宋_GB2312" w:cs="Times New Roman"/>
          <w:sz w:val="32"/>
          <w:szCs w:val="40"/>
          <w:highlight w:val="none"/>
          <w:u w:val="none"/>
          <w:lang w:val="en-US" w:eastAsia="zh-CN"/>
        </w:rPr>
        <w:footnoteReference w:id="5"/>
      </w:r>
      <w:r>
        <w:rPr>
          <w:rFonts w:hint="default" w:ascii="Times New Roman" w:hAnsi="Times New Roman" w:eastAsia="仿宋_GB2312" w:cs="Times New Roman"/>
          <w:sz w:val="32"/>
          <w:szCs w:val="40"/>
          <w:highlight w:val="none"/>
          <w:u w:val="none"/>
          <w:lang w:val="en-US" w:eastAsia="zh-CN"/>
        </w:rPr>
        <w:t>。对新获省级工业设计赛事钻石、金、银、铜奖（含品牌（企业）奖）的作品，每件市级分别给予一次性奖励20万元、15万元、10万元和8万元</w:t>
      </w:r>
      <w:r>
        <w:rPr>
          <w:rStyle w:val="12"/>
          <w:rFonts w:hint="default" w:ascii="Times New Roman" w:hAnsi="Times New Roman" w:eastAsia="仿宋_GB2312" w:cs="Times New Roman"/>
          <w:sz w:val="32"/>
          <w:szCs w:val="40"/>
          <w:highlight w:val="none"/>
          <w:u w:val="none"/>
          <w:lang w:val="en-US" w:eastAsia="zh-CN"/>
        </w:rPr>
        <w:footnoteReference w:id="6"/>
      </w:r>
      <w:r>
        <w:rPr>
          <w:rFonts w:hint="default" w:ascii="Times New Roman" w:hAnsi="Times New Roman" w:eastAsia="仿宋_GB2312" w:cs="Times New Roman"/>
          <w:sz w:val="32"/>
          <w:szCs w:val="40"/>
          <w:highlight w:val="none"/>
          <w:u w:val="none"/>
          <w:lang w:val="en-US" w:eastAsia="zh-CN"/>
        </w:rPr>
        <w:t>。</w:t>
      </w:r>
      <w:r>
        <w:rPr>
          <w:rFonts w:hint="default" w:ascii="Times New Roman" w:hAnsi="Times New Roman" w:eastAsia="仿宋_GB2312" w:cs="Times New Roman"/>
          <w:sz w:val="32"/>
          <w:szCs w:val="40"/>
          <w:highlight w:val="none"/>
          <w:u w:val="none"/>
          <w:lang w:val="en-US" w:eastAsia="zh-CN"/>
        </w:rPr>
        <w:t>对同一企业同一项目获得国家级、省级荣誉称号的，按最高奖励级别对企业或单位进行一次性奖励，不重复奖励。鼓励和引导本市银发经济领域企业申报工业和信息化部、民政部、卫生健康委《智慧健康养老产品及服务推广目录》、智慧健康养老应用试点示范企业、园区或基地，以及工业和信息化部《老年用品产品推广目录》</w:t>
      </w:r>
      <w:r>
        <w:rPr>
          <w:rFonts w:hint="default" w:ascii="Times New Roman" w:hAnsi="Times New Roman" w:eastAsia="仿宋_GB2312" w:cs="Times New Roman"/>
          <w:sz w:val="32"/>
          <w:szCs w:val="40"/>
          <w:highlight w:val="none"/>
          <w:u w:val="none"/>
          <w:lang w:val="en-US" w:eastAsia="zh-CN"/>
        </w:rPr>
        <w:t>。</w:t>
      </w:r>
      <w:r>
        <w:rPr>
          <w:rFonts w:hint="eastAsia" w:ascii="Times New Roman" w:hAnsi="Times New Roman" w:eastAsia="仿宋_GB2312" w:cs="Times New Roman"/>
          <w:sz w:val="32"/>
          <w:szCs w:val="40"/>
          <w:highlight w:val="none"/>
          <w:u w:val="none"/>
          <w:lang w:val="en-US" w:eastAsia="zh-CN"/>
        </w:rPr>
        <w:t>（</w:t>
      </w:r>
      <w:r>
        <w:rPr>
          <w:rFonts w:hint="default" w:ascii="Times New Roman" w:hAnsi="Times New Roman" w:eastAsia="仿宋_GB2312" w:cs="Times New Roman"/>
          <w:sz w:val="32"/>
          <w:szCs w:val="40"/>
          <w:highlight w:val="none"/>
          <w:u w:val="none"/>
          <w:lang w:val="en-US" w:eastAsia="zh-CN"/>
        </w:rPr>
        <w:t>责任单位：市工业和信息化局、市民政局、市卫生健康局</w:t>
      </w:r>
      <w:r>
        <w:rPr>
          <w:rFonts w:hint="default" w:ascii="Times New Roman" w:hAnsi="Times New Roman" w:eastAsia="仿宋_GB2312" w:cs="Times New Roman"/>
          <w:strike w:val="0"/>
          <w:dstrike w:val="0"/>
          <w:color w:val="auto"/>
          <w:sz w:val="32"/>
          <w:szCs w:val="40"/>
          <w:highlight w:val="none"/>
          <w:u w:val="none"/>
          <w:lang w:val="en-US" w:eastAsia="zh-CN"/>
        </w:rPr>
        <w:t>、市财政局</w:t>
      </w:r>
      <w:r>
        <w:rPr>
          <w:rFonts w:hint="eastAsia" w:ascii="Times New Roman" w:hAnsi="Times New Roman" w:eastAsia="仿宋_GB2312" w:cs="Times New Roman"/>
          <w:sz w:val="32"/>
          <w:szCs w:val="40"/>
          <w:highlight w:val="none"/>
          <w:u w:val="none"/>
          <w:lang w:val="en-US" w:eastAsia="zh-CN"/>
        </w:rPr>
        <w:t>）</w:t>
      </w:r>
    </w:p>
    <w:p w14:paraId="159C633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 w:val="0"/>
          <w:bCs w:val="0"/>
          <w:sz w:val="32"/>
          <w:szCs w:val="40"/>
          <w:highlight w:val="none"/>
          <w:u w:val="none"/>
          <w:lang w:val="en-US" w:eastAsia="zh-CN"/>
        </w:rPr>
      </w:pPr>
      <w:r>
        <w:rPr>
          <w:rFonts w:hint="eastAsia" w:ascii="Times New Roman" w:hAnsi="Times New Roman" w:eastAsia="黑体" w:cs="黑体"/>
          <w:b w:val="0"/>
          <w:bCs w:val="0"/>
          <w:sz w:val="32"/>
          <w:szCs w:val="40"/>
          <w:highlight w:val="none"/>
          <w:u w:val="none"/>
          <w:lang w:val="en-US" w:eastAsia="zh-CN"/>
        </w:rPr>
        <w:t>支持银发经济领域科技创新</w:t>
      </w:r>
    </w:p>
    <w:p w14:paraId="0272C0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highlight w:val="none"/>
          <w:u w:val="none"/>
          <w:lang w:val="en-US" w:eastAsia="zh-CN"/>
        </w:rPr>
      </w:pPr>
      <w:r>
        <w:rPr>
          <w:rFonts w:hint="default" w:ascii="Times New Roman" w:hAnsi="Times New Roman" w:eastAsia="仿宋_GB2312" w:cs="Times New Roman"/>
          <w:sz w:val="32"/>
          <w:szCs w:val="40"/>
          <w:highlight w:val="none"/>
          <w:u w:val="none"/>
          <w:lang w:val="en-US" w:eastAsia="zh-CN"/>
        </w:rPr>
        <w:t>通过认定的省级新型研发机构，市财政一次性奖励支持1</w:t>
      </w:r>
      <w:r>
        <w:rPr>
          <w:rFonts w:hint="eastAsia" w:ascii="Times New Roman" w:hAnsi="Times New Roman" w:eastAsia="仿宋_GB2312" w:cs="Times New Roman"/>
          <w:sz w:val="32"/>
          <w:szCs w:val="40"/>
          <w:highlight w:val="none"/>
          <w:u w:val="none"/>
          <w:lang w:val="en-US" w:eastAsia="zh-CN"/>
        </w:rPr>
        <w:t>0</w:t>
      </w:r>
      <w:r>
        <w:rPr>
          <w:rFonts w:hint="default" w:ascii="Times New Roman" w:hAnsi="Times New Roman" w:eastAsia="仿宋_GB2312" w:cs="Times New Roman"/>
          <w:sz w:val="32"/>
          <w:szCs w:val="40"/>
          <w:highlight w:val="none"/>
          <w:u w:val="none"/>
          <w:lang w:val="en-US" w:eastAsia="zh-CN"/>
        </w:rPr>
        <w:t>0万元</w:t>
      </w:r>
      <w:r>
        <w:rPr>
          <w:rStyle w:val="12"/>
          <w:rFonts w:hint="default" w:ascii="Times New Roman" w:hAnsi="Times New Roman" w:eastAsia="仿宋_GB2312" w:cs="Times New Roman"/>
          <w:sz w:val="32"/>
          <w:szCs w:val="40"/>
          <w:highlight w:val="none"/>
          <w:u w:val="none"/>
          <w:lang w:val="en-US" w:eastAsia="zh-CN"/>
        </w:rPr>
        <w:footnoteReference w:id="7"/>
      </w:r>
      <w:r>
        <w:rPr>
          <w:rFonts w:hint="default" w:ascii="Times New Roman" w:hAnsi="Times New Roman" w:eastAsia="仿宋_GB2312" w:cs="Times New Roman"/>
          <w:sz w:val="32"/>
          <w:szCs w:val="40"/>
          <w:highlight w:val="none"/>
          <w:u w:val="none"/>
          <w:lang w:val="en-US" w:eastAsia="zh-CN"/>
        </w:rPr>
        <w:t>。实施新型研发机构综合评价后补助政策，评价结果为优秀的补助</w:t>
      </w:r>
      <w:r>
        <w:rPr>
          <w:rFonts w:hint="eastAsia" w:ascii="Times New Roman" w:hAnsi="Times New Roman" w:eastAsia="仿宋_GB2312" w:cs="Times New Roman"/>
          <w:sz w:val="32"/>
          <w:szCs w:val="40"/>
          <w:highlight w:val="none"/>
          <w:u w:val="none"/>
          <w:lang w:val="en-US" w:eastAsia="zh-CN"/>
        </w:rPr>
        <w:t>50</w:t>
      </w:r>
      <w:r>
        <w:rPr>
          <w:rFonts w:hint="default" w:ascii="Times New Roman" w:hAnsi="Times New Roman" w:eastAsia="仿宋_GB2312" w:cs="Times New Roman"/>
          <w:sz w:val="32"/>
          <w:szCs w:val="40"/>
          <w:highlight w:val="none"/>
          <w:u w:val="none"/>
          <w:lang w:val="en-US" w:eastAsia="zh-CN"/>
        </w:rPr>
        <w:t>万元，评价结果为良好的补助30万元</w:t>
      </w:r>
      <w:r>
        <w:rPr>
          <w:rStyle w:val="12"/>
          <w:rFonts w:hint="default" w:ascii="Times New Roman" w:hAnsi="Times New Roman" w:eastAsia="仿宋_GB2312" w:cs="Times New Roman"/>
          <w:sz w:val="32"/>
          <w:szCs w:val="40"/>
          <w:highlight w:val="none"/>
          <w:u w:val="none"/>
          <w:lang w:val="en-US" w:eastAsia="zh-CN"/>
        </w:rPr>
        <w:footnoteReference w:id="8"/>
      </w:r>
      <w:r>
        <w:rPr>
          <w:rFonts w:hint="default" w:ascii="Times New Roman" w:hAnsi="Times New Roman" w:eastAsia="仿宋_GB2312" w:cs="Times New Roman"/>
          <w:sz w:val="32"/>
          <w:szCs w:val="40"/>
          <w:highlight w:val="none"/>
          <w:u w:val="none"/>
          <w:lang w:val="en-US" w:eastAsia="zh-CN"/>
        </w:rPr>
        <w:t>。</w:t>
      </w:r>
      <w:r>
        <w:rPr>
          <w:rFonts w:hint="default" w:ascii="Times New Roman" w:hAnsi="Times New Roman" w:eastAsia="仿宋_GB2312" w:cs="Times New Roman"/>
          <w:sz w:val="32"/>
          <w:szCs w:val="40"/>
          <w:highlight w:val="none"/>
          <w:u w:val="none"/>
          <w:lang w:val="en-US" w:eastAsia="zh-CN"/>
        </w:rPr>
        <w:t>对</w:t>
      </w:r>
      <w:r>
        <w:rPr>
          <w:rFonts w:hint="eastAsia" w:ascii="Times New Roman" w:hAnsi="Times New Roman" w:eastAsia="仿宋_GB2312" w:cs="Times New Roman"/>
          <w:sz w:val="32"/>
          <w:szCs w:val="40"/>
          <w:highlight w:val="none"/>
          <w:u w:val="none"/>
          <w:lang w:val="en-US" w:eastAsia="zh-CN"/>
        </w:rPr>
        <w:t>银发经济领域</w:t>
      </w:r>
      <w:r>
        <w:rPr>
          <w:rFonts w:hint="default" w:ascii="Times New Roman" w:hAnsi="Times New Roman" w:eastAsia="仿宋_GB2312" w:cs="Times New Roman"/>
          <w:sz w:val="32"/>
          <w:szCs w:val="40"/>
          <w:highlight w:val="none"/>
          <w:u w:val="none"/>
          <w:lang w:val="en-US" w:eastAsia="zh-CN"/>
        </w:rPr>
        <w:t>竞争性重大研发项目和重点研发项目，分别给予最低200万元和50万元资助</w:t>
      </w:r>
      <w:r>
        <w:rPr>
          <w:rStyle w:val="12"/>
          <w:rFonts w:hint="default" w:ascii="Times New Roman" w:hAnsi="Times New Roman" w:eastAsia="仿宋_GB2312" w:cs="Times New Roman"/>
          <w:sz w:val="32"/>
          <w:szCs w:val="40"/>
          <w:highlight w:val="none"/>
          <w:u w:val="none"/>
          <w:lang w:val="en-US" w:eastAsia="zh-CN"/>
        </w:rPr>
        <w:footnoteReference w:id="9"/>
      </w:r>
      <w:r>
        <w:rPr>
          <w:rFonts w:hint="eastAsia" w:ascii="Times New Roman" w:hAnsi="Times New Roman" w:eastAsia="仿宋_GB2312" w:cs="Times New Roman"/>
          <w:sz w:val="32"/>
          <w:szCs w:val="40"/>
          <w:highlight w:val="none"/>
          <w:u w:val="none"/>
          <w:lang w:val="en-US" w:eastAsia="zh-CN"/>
        </w:rPr>
        <w:t>。支持企业将新技术、新工艺、新材料、新产品应用于银发经济场景，对经评审符合条件的示范应用场景项目，</w:t>
      </w:r>
      <w:r>
        <w:rPr>
          <w:rFonts w:hint="eastAsia" w:ascii="Times New Roman" w:hAnsi="Times New Roman" w:eastAsia="仿宋_GB2312" w:cs="Times New Roman"/>
          <w:sz w:val="32"/>
          <w:szCs w:val="40"/>
          <w:highlight w:val="none"/>
          <w:u w:val="none"/>
          <w:lang w:val="en-US" w:eastAsia="zh-CN"/>
        </w:rPr>
        <w:t>按其当年度首次购买使用的首张订单开票金额的一定比例给予补助，最高单个不超过100万元，年度总补助金额不超过500万元</w:t>
      </w:r>
      <w:r>
        <w:rPr>
          <w:rStyle w:val="12"/>
          <w:rFonts w:hint="eastAsia" w:ascii="Times New Roman" w:hAnsi="Times New Roman" w:eastAsia="仿宋_GB2312" w:cs="Times New Roman"/>
          <w:sz w:val="32"/>
          <w:szCs w:val="40"/>
          <w:highlight w:val="none"/>
          <w:u w:val="none"/>
          <w:lang w:val="en-US" w:eastAsia="zh-CN"/>
        </w:rPr>
        <w:footnoteReference w:id="10"/>
      </w:r>
      <w:r>
        <w:rPr>
          <w:rFonts w:hint="eastAsia" w:ascii="Times New Roman" w:hAnsi="Times New Roman" w:eastAsia="仿宋_GB2312" w:cs="Times New Roman"/>
          <w:sz w:val="32"/>
          <w:szCs w:val="40"/>
          <w:highlight w:val="none"/>
          <w:u w:val="none"/>
          <w:lang w:val="en-US" w:eastAsia="zh-CN"/>
        </w:rPr>
        <w:t>。</w:t>
      </w:r>
      <w:r>
        <w:rPr>
          <w:rFonts w:hint="eastAsia" w:ascii="Times New Roman" w:hAnsi="Times New Roman" w:eastAsia="仿宋_GB2312" w:cs="Times New Roman"/>
          <w:sz w:val="32"/>
          <w:szCs w:val="40"/>
          <w:highlight w:val="none"/>
          <w:u w:val="none"/>
          <w:lang w:val="en-US" w:eastAsia="zh-CN"/>
        </w:rPr>
        <w:t>对新获得国家自然科学、技术发明、科技进步一等奖、二等奖的第一完成单位，分别给予100万元、50万元奖励；对新获得省科技奖特等奖、一等奖、二</w:t>
      </w:r>
      <w:r>
        <w:rPr>
          <w:rFonts w:hint="eastAsia" w:ascii="Times New Roman" w:hAnsi="Times New Roman" w:eastAsia="仿宋_GB2312" w:cs="Times New Roman"/>
          <w:sz w:val="32"/>
          <w:szCs w:val="40"/>
          <w:highlight w:val="none"/>
          <w:u w:val="none"/>
          <w:lang w:val="en-US" w:eastAsia="zh-CN"/>
        </w:rPr>
        <w:t>等奖的第一完成单位，分别给予30万元、20万元、10万元奖励</w:t>
      </w:r>
      <w:r>
        <w:rPr>
          <w:rStyle w:val="12"/>
          <w:rFonts w:hint="eastAsia" w:ascii="Times New Roman" w:hAnsi="Times New Roman" w:eastAsia="仿宋_GB2312" w:cs="Times New Roman"/>
          <w:sz w:val="32"/>
          <w:szCs w:val="40"/>
          <w:highlight w:val="none"/>
          <w:u w:val="none"/>
          <w:lang w:val="en-US" w:eastAsia="zh-CN"/>
        </w:rPr>
        <w:footnoteReference w:id="11"/>
      </w:r>
      <w:r>
        <w:rPr>
          <w:rFonts w:hint="eastAsia" w:ascii="Times New Roman" w:hAnsi="Times New Roman" w:eastAsia="仿宋_GB2312" w:cs="Times New Roman"/>
          <w:sz w:val="32"/>
          <w:szCs w:val="40"/>
          <w:highlight w:val="none"/>
          <w:u w:val="none"/>
          <w:lang w:val="en-US" w:eastAsia="zh-CN"/>
        </w:rPr>
        <w:t>。</w:t>
      </w:r>
      <w:r>
        <w:rPr>
          <w:rFonts w:hint="default" w:ascii="Times New Roman" w:hAnsi="Times New Roman" w:eastAsia="仿宋_GB2312" w:cs="Times New Roman"/>
          <w:sz w:val="32"/>
          <w:szCs w:val="40"/>
          <w:highlight w:val="none"/>
          <w:u w:val="none"/>
          <w:lang w:val="en-US" w:eastAsia="zh-CN"/>
        </w:rPr>
        <w:t>市级对新认定的国家级、省级制造业创新中心分别给予一次性奖励100万元、50万元</w:t>
      </w:r>
      <w:r>
        <w:rPr>
          <w:rStyle w:val="12"/>
          <w:rFonts w:hint="default" w:ascii="Times New Roman" w:hAnsi="Times New Roman" w:eastAsia="仿宋_GB2312" w:cs="Times New Roman"/>
          <w:sz w:val="32"/>
          <w:szCs w:val="40"/>
          <w:highlight w:val="none"/>
          <w:u w:val="none"/>
          <w:lang w:val="en-US" w:eastAsia="zh-CN"/>
        </w:rPr>
        <w:footnoteReference w:id="12"/>
      </w:r>
      <w:r>
        <w:rPr>
          <w:rFonts w:hint="default" w:ascii="Times New Roman" w:hAnsi="Times New Roman" w:eastAsia="仿宋_GB2312" w:cs="Times New Roman"/>
          <w:sz w:val="32"/>
          <w:szCs w:val="40"/>
          <w:highlight w:val="none"/>
          <w:u w:val="none"/>
          <w:lang w:val="en-US" w:eastAsia="zh-CN"/>
        </w:rPr>
        <w:t>。</w:t>
      </w:r>
      <w:r>
        <w:rPr>
          <w:rFonts w:hint="eastAsia" w:ascii="Times New Roman" w:hAnsi="Times New Roman" w:eastAsia="仿宋_GB2312" w:cs="Times New Roman"/>
          <w:sz w:val="32"/>
          <w:szCs w:val="40"/>
          <w:highlight w:val="none"/>
          <w:u w:val="none"/>
          <w:lang w:val="en-US" w:eastAsia="zh-CN"/>
        </w:rPr>
        <w:t>（责任单位：市科技局、市工业和信息化局、市财政局）</w:t>
      </w:r>
    </w:p>
    <w:p w14:paraId="76911D9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 w:val="0"/>
          <w:bCs w:val="0"/>
          <w:sz w:val="32"/>
          <w:szCs w:val="40"/>
          <w:highlight w:val="none"/>
          <w:u w:val="none"/>
          <w:lang w:val="en-US" w:eastAsia="zh-CN"/>
        </w:rPr>
      </w:pPr>
      <w:r>
        <w:rPr>
          <w:rFonts w:hint="eastAsia" w:ascii="Times New Roman" w:hAnsi="Times New Roman" w:eastAsia="黑体" w:cs="黑体"/>
          <w:b w:val="0"/>
          <w:bCs w:val="0"/>
          <w:sz w:val="32"/>
          <w:szCs w:val="40"/>
          <w:highlight w:val="none"/>
          <w:u w:val="none"/>
          <w:lang w:val="en-US" w:eastAsia="zh-CN"/>
        </w:rPr>
        <w:t>支持养老金融发展</w:t>
      </w:r>
    </w:p>
    <w:p w14:paraId="45DD26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highlight w:val="none"/>
          <w:u w:val="none"/>
          <w:lang w:val="en-US" w:eastAsia="zh-CN"/>
        </w:rPr>
      </w:pPr>
      <w:r>
        <w:rPr>
          <w:rFonts w:hint="eastAsia" w:ascii="Times New Roman" w:hAnsi="Times New Roman" w:eastAsia="仿宋_GB2312" w:cs="仿宋_GB2312"/>
          <w:sz w:val="32"/>
          <w:szCs w:val="40"/>
          <w:highlight w:val="none"/>
          <w:u w:val="none"/>
          <w:lang w:val="en-US" w:eastAsia="zh-CN"/>
        </w:rPr>
        <w:t>丰富养老金融产品与服务，发展养老基金、理财、储蓄、保险产品，鼓励开发粤港澳大湾区跨境养老金融产品，满足不同风险偏好人群的养老需求。支持市属国有企业发起设立银发经济产业投资基金，重点向本市银发经济产业领域的初创期、成长期创新型企业。通过服务消费与养老再贷款，激励引导金融机构加大对服务消费与养老的信贷支持。鼓励银行加大对老年用品研发制造、养老照护服务、养老设施建设等企业信贷支持，合理确定贷款期限和利率水平，丰富还款结息方式，精准有效地支持银发经济经营主体的合理融资需求。支持金融机构开展知识产权质押融资业务，完善知识产权质押融资风险分担及补偿机制。</w:t>
      </w:r>
      <w:r>
        <w:rPr>
          <w:rFonts w:hint="eastAsia" w:ascii="Times New Roman" w:hAnsi="Times New Roman" w:eastAsia="仿宋_GB2312" w:cs="仿宋_GB2312"/>
          <w:sz w:val="32"/>
          <w:szCs w:val="40"/>
          <w:highlight w:val="none"/>
          <w:u w:val="none"/>
          <w:lang w:val="en-US" w:eastAsia="zh-CN"/>
        </w:rPr>
        <w:t>企业</w:t>
      </w:r>
      <w:r>
        <w:rPr>
          <w:rFonts w:hint="default" w:ascii="Times New Roman" w:hAnsi="Times New Roman" w:eastAsia="仿宋_GB2312" w:cs="Times New Roman"/>
          <w:sz w:val="32"/>
          <w:szCs w:val="40"/>
          <w:highlight w:val="none"/>
          <w:u w:val="none"/>
          <w:lang w:val="en-US" w:eastAsia="zh-CN"/>
        </w:rPr>
        <w:t>以知识产权出质获得贷款的，按实缴利息的30%给予贴息资助，同一企业每年获得资助最高不超过20万元</w:t>
      </w:r>
      <w:r>
        <w:rPr>
          <w:rStyle w:val="12"/>
          <w:rFonts w:hint="default" w:ascii="Times New Roman" w:hAnsi="Times New Roman" w:eastAsia="仿宋_GB2312" w:cs="Times New Roman"/>
          <w:sz w:val="32"/>
          <w:szCs w:val="40"/>
          <w:highlight w:val="none"/>
          <w:u w:val="none"/>
          <w:lang w:val="en-US" w:eastAsia="zh-CN"/>
        </w:rPr>
        <w:footnoteReference w:id="13"/>
      </w:r>
      <w:r>
        <w:rPr>
          <w:rFonts w:hint="default" w:ascii="Times New Roman" w:hAnsi="Times New Roman" w:eastAsia="仿宋_GB2312" w:cs="Times New Roman"/>
          <w:sz w:val="32"/>
          <w:szCs w:val="40"/>
          <w:highlight w:val="none"/>
          <w:u w:val="none"/>
          <w:lang w:val="en-US" w:eastAsia="zh-CN"/>
        </w:rPr>
        <w:t>。发挥小微企业融资协调工作机制，开启</w:t>
      </w:r>
      <w:r>
        <w:rPr>
          <w:rFonts w:hint="eastAsia" w:ascii="Times New Roman" w:hAnsi="Times New Roman" w:eastAsia="仿宋_GB2312" w:cs="Times New Roman"/>
          <w:sz w:val="32"/>
          <w:szCs w:val="40"/>
          <w:highlight w:val="none"/>
          <w:u w:val="none"/>
          <w:lang w:val="en-US" w:eastAsia="zh-CN"/>
        </w:rPr>
        <w:t>“</w:t>
      </w:r>
      <w:r>
        <w:rPr>
          <w:rFonts w:hint="default" w:ascii="Times New Roman" w:hAnsi="Times New Roman" w:eastAsia="仿宋_GB2312" w:cs="Times New Roman"/>
          <w:sz w:val="32"/>
          <w:szCs w:val="40"/>
          <w:highlight w:val="none"/>
          <w:u w:val="none"/>
          <w:lang w:val="en-US" w:eastAsia="zh-CN"/>
        </w:rPr>
        <w:t>绿色审批通道</w:t>
      </w:r>
      <w:r>
        <w:rPr>
          <w:rFonts w:hint="eastAsia" w:ascii="Times New Roman" w:hAnsi="Times New Roman" w:eastAsia="仿宋_GB2312" w:cs="Times New Roman"/>
          <w:sz w:val="32"/>
          <w:szCs w:val="40"/>
          <w:highlight w:val="none"/>
          <w:u w:val="none"/>
          <w:lang w:val="en-US" w:eastAsia="zh-CN"/>
        </w:rPr>
        <w:t>”</w:t>
      </w:r>
      <w:r>
        <w:rPr>
          <w:rFonts w:hint="default" w:ascii="Times New Roman" w:hAnsi="Times New Roman" w:eastAsia="仿宋_GB2312" w:cs="Times New Roman"/>
          <w:sz w:val="32"/>
          <w:szCs w:val="40"/>
          <w:highlight w:val="none"/>
          <w:u w:val="none"/>
          <w:lang w:val="en-US" w:eastAsia="zh-CN"/>
        </w:rPr>
        <w:t>，降低小微企业的综合融资成本，运用无还本续贷、展期、调整还款安排等方式，做好小微企业贷款到期接续支持，缓解</w:t>
      </w:r>
      <w:r>
        <w:rPr>
          <w:rFonts w:hint="eastAsia" w:ascii="Times New Roman" w:hAnsi="Times New Roman" w:eastAsia="仿宋_GB2312" w:cs="仿宋_GB2312"/>
          <w:sz w:val="32"/>
          <w:szCs w:val="40"/>
          <w:highlight w:val="none"/>
          <w:u w:val="none"/>
          <w:lang w:val="en-US" w:eastAsia="zh-CN"/>
        </w:rPr>
        <w:t>小微企业资金周转难题。（责任单位：中国人民银行惠州市分行、国家金融监督管理总局惠州监管分局、市财政局、市市场监督管理局）</w:t>
      </w:r>
    </w:p>
    <w:p w14:paraId="2079BA9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 w:val="0"/>
          <w:bCs w:val="0"/>
          <w:sz w:val="32"/>
          <w:szCs w:val="40"/>
          <w:highlight w:val="none"/>
          <w:u w:val="none"/>
          <w:lang w:val="en-US" w:eastAsia="zh-CN"/>
        </w:rPr>
      </w:pPr>
      <w:r>
        <w:rPr>
          <w:rFonts w:hint="eastAsia" w:ascii="Times New Roman" w:hAnsi="Times New Roman" w:eastAsia="黑体" w:cs="黑体"/>
          <w:b w:val="0"/>
          <w:bCs w:val="0"/>
          <w:sz w:val="32"/>
          <w:szCs w:val="40"/>
          <w:highlight w:val="none"/>
          <w:u w:val="none"/>
          <w:lang w:val="en-US" w:eastAsia="zh-CN"/>
        </w:rPr>
        <w:t>促进银发经济领域消费</w:t>
      </w:r>
    </w:p>
    <w:p w14:paraId="33E2E05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highlight w:val="none"/>
          <w:u w:val="none"/>
          <w:lang w:val="en-US" w:eastAsia="zh-CN"/>
        </w:rPr>
      </w:pPr>
      <w:r>
        <w:rPr>
          <w:rFonts w:hint="eastAsia" w:ascii="Times New Roman" w:hAnsi="Times New Roman" w:eastAsia="仿宋_GB2312" w:cs="Times New Roman"/>
          <w:sz w:val="32"/>
          <w:szCs w:val="40"/>
          <w:highlight w:val="none"/>
          <w:u w:val="none"/>
          <w:lang w:val="en-US" w:eastAsia="zh-CN"/>
        </w:rPr>
        <w:t>支持各类市场主体，在老年人较聚集的地区，</w:t>
      </w:r>
      <w:r>
        <w:rPr>
          <w:rFonts w:hint="eastAsia" w:ascii="Times New Roman" w:hAnsi="Times New Roman" w:eastAsia="仿宋_GB2312" w:cs="仿宋_GB2312"/>
          <w:sz w:val="32"/>
          <w:szCs w:val="40"/>
          <w:highlight w:val="none"/>
          <w:u w:val="none"/>
          <w:lang w:val="en-US" w:eastAsia="zh-CN"/>
        </w:rPr>
        <w:t>打造、升级一批兼具体验、销售、租赁、上门改造等功能的适老化产品体验销售店。加强无障碍环境和适老化改造，持续开展居家适老化所需产品</w:t>
      </w:r>
      <w:r>
        <w:rPr>
          <w:rFonts w:hint="eastAsia" w:ascii="Times New Roman" w:hAnsi="Times New Roman" w:eastAsia="仿宋_GB2312" w:cs="Times New Roman"/>
          <w:color w:val="auto"/>
          <w:sz w:val="32"/>
          <w:szCs w:val="40"/>
          <w:highlight w:val="none"/>
          <w:u w:val="none"/>
          <w:lang w:val="en-US" w:eastAsia="zh-CN"/>
        </w:rPr>
        <w:t>“</w:t>
      </w:r>
      <w:r>
        <w:rPr>
          <w:rFonts w:hint="eastAsia" w:ascii="Times New Roman" w:hAnsi="Times New Roman" w:eastAsia="仿宋_GB2312" w:cs="仿宋_GB2312"/>
          <w:sz w:val="32"/>
          <w:szCs w:val="40"/>
          <w:highlight w:val="none"/>
          <w:u w:val="none"/>
          <w:lang w:val="en-US" w:eastAsia="zh-CN"/>
        </w:rPr>
        <w:t>焕新</w:t>
      </w:r>
      <w:r>
        <w:rPr>
          <w:rFonts w:hint="eastAsia" w:ascii="Times New Roman" w:hAnsi="Times New Roman" w:eastAsia="仿宋_GB2312" w:cs="Times New Roman"/>
          <w:color w:val="auto"/>
          <w:sz w:val="32"/>
          <w:szCs w:val="40"/>
          <w:highlight w:val="none"/>
          <w:u w:val="none"/>
          <w:lang w:val="en-US" w:eastAsia="zh-CN"/>
        </w:rPr>
        <w:t>”</w:t>
      </w:r>
      <w:r>
        <w:rPr>
          <w:rFonts w:hint="eastAsia" w:ascii="Times New Roman" w:hAnsi="Times New Roman" w:eastAsia="仿宋_GB2312" w:cs="仿宋_GB2312"/>
          <w:sz w:val="32"/>
          <w:szCs w:val="40"/>
          <w:highlight w:val="none"/>
          <w:u w:val="none"/>
          <w:lang w:val="en-US" w:eastAsia="zh-CN"/>
        </w:rPr>
        <w:t>补贴工作，落实省级部门制定的补贴品类，争取将养老服务、医疗保健、老年日常用品等纳入补贴范围。推动养老与医疗、康复、教育、文旅等多业态融合发展，鼓励电商平台和零售商通过设立银发消费专区、举办老年购物节、开展</w:t>
      </w:r>
      <w:r>
        <w:rPr>
          <w:rFonts w:hint="eastAsia" w:ascii="Times New Roman" w:hAnsi="Times New Roman" w:eastAsia="仿宋_GB2312" w:cs="Times New Roman"/>
          <w:color w:val="auto"/>
          <w:sz w:val="32"/>
          <w:szCs w:val="40"/>
          <w:highlight w:val="none"/>
          <w:u w:val="none"/>
          <w:lang w:val="en-US" w:eastAsia="zh-CN"/>
        </w:rPr>
        <w:t>“</w:t>
      </w:r>
      <w:r>
        <w:rPr>
          <w:rFonts w:hint="eastAsia" w:ascii="Times New Roman" w:hAnsi="Times New Roman" w:eastAsia="仿宋_GB2312" w:cs="仿宋_GB2312"/>
          <w:sz w:val="32"/>
          <w:szCs w:val="40"/>
          <w:highlight w:val="none"/>
          <w:u w:val="none"/>
          <w:lang w:val="en-US" w:eastAsia="zh-CN"/>
        </w:rPr>
        <w:t>养老服务消费促进月</w:t>
      </w:r>
      <w:r>
        <w:rPr>
          <w:rFonts w:hint="eastAsia" w:ascii="Times New Roman" w:hAnsi="Times New Roman" w:eastAsia="仿宋_GB2312" w:cs="Times New Roman"/>
          <w:color w:val="auto"/>
          <w:sz w:val="32"/>
          <w:szCs w:val="40"/>
          <w:highlight w:val="none"/>
          <w:u w:val="none"/>
          <w:lang w:val="en-US" w:eastAsia="zh-CN"/>
        </w:rPr>
        <w:t>”</w:t>
      </w:r>
      <w:r>
        <w:rPr>
          <w:rFonts w:hint="eastAsia" w:ascii="Times New Roman" w:hAnsi="Times New Roman" w:eastAsia="仿宋_GB2312" w:cs="仿宋_GB2312"/>
          <w:sz w:val="32"/>
          <w:szCs w:val="40"/>
          <w:highlight w:val="none"/>
          <w:u w:val="none"/>
          <w:lang w:val="en-US" w:eastAsia="zh-CN"/>
        </w:rPr>
        <w:t>、发放消费券、促销优惠等方式，便利线上线下消费，激活老年人潜在消费需求，培育银发经济新增长点。支持银发领域企业参加广交会、进博会、粤贸全国系列展会和市重点境外展会等活动。（责任单位：市商务局、市文化广电旅游体育局、市民政局、市卫生健康局、市财政局）</w:t>
      </w:r>
    </w:p>
    <w:p w14:paraId="66A3212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 w:val="0"/>
          <w:bCs w:val="0"/>
          <w:sz w:val="32"/>
          <w:szCs w:val="40"/>
          <w:highlight w:val="none"/>
          <w:u w:val="none"/>
          <w:lang w:val="en-US" w:eastAsia="zh-CN"/>
        </w:rPr>
      </w:pPr>
      <w:r>
        <w:rPr>
          <w:rFonts w:hint="eastAsia" w:ascii="Times New Roman" w:hAnsi="Times New Roman" w:eastAsia="黑体" w:cs="黑体"/>
          <w:b w:val="0"/>
          <w:bCs w:val="0"/>
          <w:sz w:val="32"/>
          <w:szCs w:val="40"/>
          <w:highlight w:val="none"/>
          <w:u w:val="none"/>
          <w:lang w:val="en-US" w:eastAsia="zh-CN"/>
        </w:rPr>
        <w:t>加强银发经济标准化建设和知识产权保护</w:t>
      </w:r>
    </w:p>
    <w:p w14:paraId="620900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40"/>
          <w:highlight w:val="none"/>
          <w:u w:val="none"/>
          <w:lang w:val="en-US" w:eastAsia="zh-CN"/>
        </w:rPr>
      </w:pPr>
      <w:r>
        <w:rPr>
          <w:rFonts w:hint="eastAsia" w:ascii="Times New Roman" w:hAnsi="Times New Roman" w:eastAsia="仿宋_GB2312" w:cs="Times New Roman"/>
          <w:sz w:val="32"/>
          <w:szCs w:val="40"/>
          <w:highlight w:val="none"/>
          <w:u w:val="none"/>
          <w:lang w:val="en-US" w:eastAsia="zh-CN"/>
        </w:rPr>
        <w:t>对被认定为中国驰名商标、商标首次被纳入广东省重点商标保护名录的商标注册人，可按照《惠州市关于促进知识产权高质量发展若干措施》的规定，申请给予扶持资助。（责任单位：市市场监管局、市民政局、市财政局）</w:t>
      </w:r>
    </w:p>
    <w:p w14:paraId="79043CE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 w:val="0"/>
          <w:bCs w:val="0"/>
          <w:sz w:val="32"/>
          <w:szCs w:val="40"/>
          <w:highlight w:val="none"/>
          <w:u w:val="none"/>
          <w:lang w:val="en-US" w:eastAsia="zh-CN"/>
        </w:rPr>
      </w:pPr>
      <w:r>
        <w:rPr>
          <w:rFonts w:hint="eastAsia" w:ascii="Times New Roman" w:hAnsi="Times New Roman" w:eastAsia="黑体" w:cs="黑体"/>
          <w:b w:val="0"/>
          <w:bCs w:val="0"/>
          <w:sz w:val="32"/>
          <w:szCs w:val="40"/>
          <w:highlight w:val="none"/>
          <w:u w:val="none"/>
          <w:lang w:val="en-US" w:eastAsia="zh-CN"/>
        </w:rPr>
        <w:t>支持降低企业用地成本</w:t>
      </w:r>
    </w:p>
    <w:p w14:paraId="4C8276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40"/>
          <w:highlight w:val="none"/>
          <w:u w:val="none"/>
          <w:lang w:val="en-US" w:eastAsia="zh-CN"/>
        </w:rPr>
      </w:pPr>
      <w:r>
        <w:rPr>
          <w:rFonts w:hint="eastAsia" w:ascii="Times New Roman" w:hAnsi="Times New Roman" w:eastAsia="仿宋_GB2312" w:cs="仿宋_GB2312"/>
          <w:sz w:val="32"/>
          <w:szCs w:val="40"/>
          <w:highlight w:val="none"/>
          <w:u w:val="none"/>
        </w:rPr>
        <w:t>按照人均用地不少于</w:t>
      </w:r>
      <w:r>
        <w:rPr>
          <w:rFonts w:hint="eastAsia" w:ascii="Times New Roman" w:hAnsi="Times New Roman" w:eastAsia="仿宋_GB2312" w:cs="仿宋_GB2312"/>
          <w:sz w:val="32"/>
          <w:szCs w:val="40"/>
          <w:highlight w:val="none"/>
          <w:u w:val="none"/>
          <w:lang w:eastAsia="zh-CN"/>
        </w:rPr>
        <w:t>0</w:t>
      </w:r>
      <w:r>
        <w:rPr>
          <w:rFonts w:hint="eastAsia" w:ascii="Times New Roman" w:hAnsi="Times New Roman" w:eastAsia="仿宋_GB2312" w:cs="仿宋_GB2312"/>
          <w:sz w:val="32"/>
          <w:szCs w:val="40"/>
          <w:highlight w:val="none"/>
          <w:u w:val="none"/>
          <w:lang w:val="en-US" w:eastAsia="zh-CN"/>
        </w:rPr>
        <w:t>.1</w:t>
      </w:r>
      <w:r>
        <w:rPr>
          <w:rFonts w:hint="eastAsia" w:ascii="Times New Roman" w:hAnsi="Times New Roman" w:eastAsia="仿宋_GB2312" w:cs="仿宋_GB2312"/>
          <w:sz w:val="32"/>
          <w:szCs w:val="40"/>
          <w:highlight w:val="none"/>
          <w:u w:val="none"/>
        </w:rPr>
        <w:t>平方米的标准分区分级规划养老服务设施，并根据本地经济社会发展水平和养老服务需求等情况逐步提高标准</w:t>
      </w:r>
      <w:r>
        <w:rPr>
          <w:rStyle w:val="12"/>
          <w:rFonts w:hint="eastAsia" w:ascii="Times New Roman" w:hAnsi="Times New Roman" w:eastAsia="仿宋_GB2312" w:cs="仿宋_GB2312"/>
          <w:sz w:val="32"/>
          <w:szCs w:val="40"/>
          <w:highlight w:val="none"/>
          <w:u w:val="none"/>
        </w:rPr>
        <w:footnoteReference w:id="14"/>
      </w:r>
      <w:r>
        <w:rPr>
          <w:rFonts w:hint="eastAsia" w:ascii="Times New Roman" w:hAnsi="Times New Roman" w:eastAsia="仿宋_GB2312" w:cs="仿宋_GB2312"/>
          <w:sz w:val="32"/>
          <w:szCs w:val="40"/>
          <w:highlight w:val="none"/>
          <w:u w:val="none"/>
        </w:rPr>
        <w:t>；养老服务设施选址应符合国土空间总体规划，纳入详细规划和土地利用年度计划，予以优先安排</w:t>
      </w:r>
      <w:r>
        <w:rPr>
          <w:rFonts w:hint="eastAsia" w:ascii="Times New Roman" w:hAnsi="Times New Roman" w:eastAsia="仿宋_GB2312" w:cs="仿宋_GB2312"/>
          <w:sz w:val="32"/>
          <w:szCs w:val="40"/>
          <w:highlight w:val="none"/>
          <w:u w:val="none"/>
          <w:lang w:eastAsia="zh-CN"/>
        </w:rPr>
        <w:t>，</w:t>
      </w:r>
      <w:r>
        <w:rPr>
          <w:rFonts w:hint="eastAsia" w:ascii="Times New Roman" w:hAnsi="Times New Roman" w:eastAsia="仿宋_GB2312" w:cs="仿宋_GB2312"/>
          <w:sz w:val="32"/>
          <w:szCs w:val="40"/>
          <w:highlight w:val="none"/>
          <w:u w:val="none"/>
          <w:lang w:val="en-US" w:eastAsia="zh-CN"/>
        </w:rPr>
        <w:t>保障</w:t>
      </w:r>
      <w:r>
        <w:rPr>
          <w:rFonts w:hint="eastAsia" w:ascii="Times New Roman" w:hAnsi="Times New Roman" w:eastAsia="仿宋_GB2312" w:cs="仿宋_GB2312"/>
          <w:sz w:val="32"/>
          <w:szCs w:val="40"/>
          <w:highlight w:val="none"/>
          <w:u w:val="none"/>
        </w:rPr>
        <w:t>养老服务设施用地供应</w:t>
      </w:r>
      <w:r>
        <w:rPr>
          <w:rFonts w:hint="eastAsia" w:ascii="Times New Roman" w:hAnsi="Times New Roman" w:eastAsia="仿宋_GB2312" w:cs="仿宋_GB2312"/>
          <w:sz w:val="32"/>
          <w:szCs w:val="40"/>
          <w:highlight w:val="none"/>
          <w:u w:val="none"/>
          <w:lang w:eastAsia="zh-CN"/>
        </w:rPr>
        <w:t>。</w:t>
      </w:r>
      <w:r>
        <w:rPr>
          <w:rFonts w:hint="eastAsia" w:ascii="Times New Roman" w:hAnsi="Times New Roman" w:eastAsia="仿宋_GB2312" w:cs="仿宋_GB2312"/>
          <w:sz w:val="32"/>
          <w:szCs w:val="40"/>
          <w:highlight w:val="none"/>
          <w:u w:val="none"/>
        </w:rPr>
        <w:t>依法保障非营利性养老服务机构用地。以出让方式供应的社会福利用地，出让底价可按不低于所在级别公共服务用地基准地价的70%确定</w:t>
      </w:r>
      <w:r>
        <w:rPr>
          <w:rStyle w:val="12"/>
          <w:rFonts w:hint="eastAsia" w:ascii="Times New Roman" w:hAnsi="Times New Roman" w:eastAsia="仿宋_GB2312" w:cs="仿宋_GB2312"/>
          <w:sz w:val="32"/>
          <w:szCs w:val="40"/>
          <w:highlight w:val="none"/>
          <w:u w:val="none"/>
        </w:rPr>
        <w:footnoteReference w:id="15"/>
      </w:r>
      <w:r>
        <w:rPr>
          <w:rFonts w:hint="eastAsia" w:ascii="Times New Roman" w:hAnsi="Times New Roman" w:eastAsia="仿宋_GB2312" w:cs="仿宋_GB2312"/>
          <w:sz w:val="32"/>
          <w:szCs w:val="40"/>
          <w:highlight w:val="none"/>
          <w:u w:val="none"/>
          <w:lang w:eastAsia="zh-CN"/>
        </w:rPr>
        <w:t>。</w:t>
      </w:r>
      <w:r>
        <w:rPr>
          <w:rFonts w:hint="eastAsia" w:ascii="Times New Roman" w:hAnsi="Times New Roman" w:eastAsia="仿宋_GB2312" w:cs="仿宋_GB2312"/>
          <w:sz w:val="32"/>
          <w:szCs w:val="40"/>
          <w:highlight w:val="none"/>
          <w:u w:val="none"/>
          <w:lang w:val="en-US" w:eastAsia="zh-CN"/>
        </w:rPr>
        <w:t>在确保安全的前提下，</w:t>
      </w:r>
      <w:r>
        <w:rPr>
          <w:rFonts w:hint="eastAsia" w:ascii="Times New Roman" w:hAnsi="Times New Roman" w:eastAsia="仿宋_GB2312" w:cs="仿宋_GB2312"/>
          <w:sz w:val="32"/>
          <w:szCs w:val="40"/>
          <w:highlight w:val="none"/>
          <w:u w:val="none"/>
          <w:lang w:val="en-US" w:eastAsia="zh-CN"/>
        </w:rPr>
        <w:t>支持利用闲置商业、办公、工业、仓储等存量场所改建养老服务设施</w:t>
      </w:r>
      <w:r>
        <w:rPr>
          <w:rFonts w:hint="eastAsia" w:ascii="Times New Roman" w:hAnsi="Times New Roman" w:eastAsia="仿宋_GB2312" w:cs="仿宋_GB2312"/>
          <w:sz w:val="32"/>
          <w:szCs w:val="40"/>
          <w:highlight w:val="none"/>
          <w:u w:val="none"/>
          <w:lang w:val="en-US" w:eastAsia="zh-CN"/>
        </w:rPr>
        <w:t>，完善城市服务功能。降低工业用地成本，</w:t>
      </w:r>
      <w:r>
        <w:rPr>
          <w:rFonts w:hint="eastAsia" w:ascii="Times New Roman" w:hAnsi="Times New Roman" w:eastAsia="仿宋_GB2312" w:cs="仿宋_GB2312"/>
          <w:sz w:val="32"/>
          <w:szCs w:val="40"/>
          <w:highlight w:val="none"/>
          <w:u w:val="none"/>
          <w:lang w:val="en-US" w:eastAsia="zh-CN"/>
        </w:rPr>
        <w:t>鼓励民营工业企业用地长期租赁、先租后让、弹性年期出让结合供应</w:t>
      </w:r>
      <w:r>
        <w:rPr>
          <w:rFonts w:hint="eastAsia" w:ascii="Times New Roman" w:hAnsi="Times New Roman" w:eastAsia="仿宋_GB2312" w:cs="仿宋_GB2312"/>
          <w:sz w:val="32"/>
          <w:szCs w:val="40"/>
          <w:highlight w:val="none"/>
          <w:u w:val="none"/>
          <w:lang w:val="en-US" w:eastAsia="zh-CN"/>
        </w:rPr>
        <w:t>，工</w:t>
      </w:r>
      <w:r>
        <w:rPr>
          <w:rFonts w:hint="eastAsia" w:ascii="Times New Roman" w:hAnsi="Times New Roman" w:eastAsia="仿宋_GB2312" w:cs="仿宋_GB2312"/>
          <w:color w:val="auto"/>
          <w:sz w:val="32"/>
          <w:szCs w:val="40"/>
          <w:highlight w:val="none"/>
          <w:u w:val="none"/>
          <w:lang w:val="en-US" w:eastAsia="zh-CN"/>
        </w:rPr>
        <w:t>业用地的使用者可在规定期限内按合同约定分期缴纳土地出让金。属于老年用品、智慧养老等银发经济相关制造业项目，</w:t>
      </w:r>
      <w:r>
        <w:rPr>
          <w:rFonts w:hint="eastAsia" w:ascii="Times New Roman" w:hAnsi="Times New Roman" w:eastAsia="仿宋_GB2312" w:cs="仿宋_GB2312"/>
          <w:color w:val="auto"/>
          <w:sz w:val="32"/>
          <w:szCs w:val="40"/>
          <w:highlight w:val="none"/>
          <w:u w:val="none"/>
          <w:lang w:val="en-US" w:eastAsia="zh-CN"/>
        </w:rPr>
        <w:t>土地出让底价可按不低于所在级别工业用地基准地价的70%确定</w:t>
      </w:r>
      <w:r>
        <w:rPr>
          <w:rStyle w:val="12"/>
          <w:rFonts w:hint="eastAsia" w:ascii="Times New Roman" w:hAnsi="Times New Roman" w:eastAsia="仿宋_GB2312" w:cs="仿宋_GB2312"/>
          <w:sz w:val="32"/>
          <w:szCs w:val="40"/>
          <w:highlight w:val="none"/>
          <w:u w:val="none"/>
        </w:rPr>
        <w:footnoteReference w:id="16"/>
      </w:r>
      <w:r>
        <w:rPr>
          <w:rFonts w:hint="eastAsia" w:ascii="Times New Roman" w:hAnsi="Times New Roman" w:eastAsia="仿宋_GB2312" w:cs="仿宋_GB2312"/>
          <w:color w:val="auto"/>
          <w:sz w:val="32"/>
          <w:szCs w:val="40"/>
          <w:highlight w:val="none"/>
          <w:u w:val="none"/>
          <w:lang w:val="en-US" w:eastAsia="zh-CN"/>
        </w:rPr>
        <w:t>。</w:t>
      </w:r>
      <w:r>
        <w:rPr>
          <w:rFonts w:hint="eastAsia" w:ascii="Times New Roman" w:hAnsi="Times New Roman" w:eastAsia="仿宋_GB2312" w:cs="仿宋_GB2312"/>
          <w:color w:val="auto"/>
          <w:sz w:val="32"/>
          <w:szCs w:val="40"/>
          <w:highlight w:val="none"/>
          <w:u w:val="none"/>
          <w:lang w:val="en-US" w:eastAsia="zh-CN"/>
        </w:rPr>
        <w:t>（责任单位：市自然资源局、市发展和改革局、市财政局）</w:t>
      </w:r>
    </w:p>
    <w:p w14:paraId="6D19F4C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 w:val="0"/>
          <w:bCs w:val="0"/>
          <w:sz w:val="32"/>
          <w:szCs w:val="40"/>
          <w:highlight w:val="none"/>
          <w:u w:val="none"/>
          <w:lang w:val="en-US" w:eastAsia="zh-CN"/>
        </w:rPr>
      </w:pPr>
      <w:r>
        <w:rPr>
          <w:rFonts w:hint="eastAsia" w:ascii="Times New Roman" w:hAnsi="Times New Roman" w:eastAsia="黑体" w:cs="黑体"/>
          <w:b w:val="0"/>
          <w:bCs w:val="0"/>
          <w:sz w:val="32"/>
          <w:szCs w:val="40"/>
          <w:highlight w:val="none"/>
          <w:u w:val="none"/>
          <w:lang w:val="en-US" w:eastAsia="zh-CN"/>
        </w:rPr>
        <w:t>引育银发产业人才</w:t>
      </w:r>
    </w:p>
    <w:p w14:paraId="01A62E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highlight w:val="none"/>
          <w:u w:val="none"/>
          <w:lang w:val="en-US" w:eastAsia="zh-CN"/>
        </w:rPr>
      </w:pPr>
      <w:r>
        <w:rPr>
          <w:rFonts w:hint="eastAsia" w:ascii="Times New Roman" w:hAnsi="Times New Roman" w:eastAsia="仿宋_GB2312" w:cs="仿宋_GB2312"/>
          <w:sz w:val="32"/>
          <w:szCs w:val="40"/>
          <w:highlight w:val="none"/>
          <w:u w:val="none"/>
          <w:lang w:val="en-US" w:eastAsia="zh-CN"/>
        </w:rPr>
        <w:t>支持和引导我市中高职院校结合自身优势和社会需求，申报增设养老服务、健康服务、护理等银发经济相关专业，扩大</w:t>
      </w:r>
      <w:r>
        <w:rPr>
          <w:rFonts w:hint="default" w:ascii="Times New Roman" w:hAnsi="Times New Roman" w:eastAsia="仿宋_GB2312" w:cs="Times New Roman"/>
          <w:sz w:val="32"/>
          <w:szCs w:val="40"/>
          <w:highlight w:val="none"/>
          <w:u w:val="none"/>
          <w:lang w:val="en-US" w:eastAsia="zh-CN"/>
        </w:rPr>
        <w:t>招生规模。支持银发经济领域符合条件的优秀人才认定惠州市高层次人才，按照《惠州市高层次人才认定和举荐办法》规定享受政</w:t>
      </w:r>
      <w:r>
        <w:rPr>
          <w:rFonts w:hint="eastAsia" w:ascii="Times New Roman" w:hAnsi="Times New Roman" w:eastAsia="仿宋_GB2312" w:cs="仿宋_GB2312"/>
          <w:sz w:val="32"/>
          <w:szCs w:val="40"/>
          <w:highlight w:val="none"/>
          <w:u w:val="none"/>
          <w:lang w:val="en-US" w:eastAsia="zh-CN"/>
        </w:rPr>
        <w:t>府服务、子女入学、人才入户、住房保障、医疗保障等服务优待</w:t>
      </w:r>
      <w:r>
        <w:rPr>
          <w:rFonts w:hint="default" w:ascii="Times New Roman" w:hAnsi="Times New Roman" w:eastAsia="仿宋_GB2312" w:cs="Times New Roman"/>
          <w:sz w:val="32"/>
          <w:szCs w:val="40"/>
          <w:highlight w:val="none"/>
          <w:u w:val="none"/>
          <w:lang w:val="en-US" w:eastAsia="zh-CN"/>
        </w:rPr>
        <w:t>。</w:t>
      </w:r>
      <w:r>
        <w:rPr>
          <w:rFonts w:hint="eastAsia" w:ascii="Times New Roman" w:hAnsi="Times New Roman" w:eastAsia="仿宋_GB2312" w:cs="Times New Roman"/>
          <w:sz w:val="32"/>
          <w:szCs w:val="40"/>
          <w:highlight w:val="none"/>
          <w:u w:val="none"/>
          <w:lang w:val="en-US" w:eastAsia="zh-CN"/>
        </w:rPr>
        <w:t>（责任单位：市教育局、市人力资源和社会保障局、市财政局）</w:t>
      </w:r>
    </w:p>
    <w:p w14:paraId="6453FCD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黑体"/>
          <w:b w:val="0"/>
          <w:bCs w:val="0"/>
          <w:sz w:val="32"/>
          <w:szCs w:val="40"/>
          <w:highlight w:val="none"/>
          <w:u w:val="none"/>
          <w:lang w:val="en-US" w:eastAsia="zh-CN"/>
        </w:rPr>
      </w:pPr>
      <w:r>
        <w:rPr>
          <w:rFonts w:hint="eastAsia" w:ascii="Times New Roman" w:hAnsi="Times New Roman" w:eastAsia="黑体" w:cs="黑体"/>
          <w:b w:val="0"/>
          <w:bCs w:val="0"/>
          <w:sz w:val="32"/>
          <w:szCs w:val="40"/>
          <w:highlight w:val="none"/>
          <w:u w:val="none"/>
          <w:lang w:val="en-US" w:eastAsia="zh-CN"/>
        </w:rPr>
        <w:t>强化要素保障</w:t>
      </w:r>
    </w:p>
    <w:p w14:paraId="483A2C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highlight w:val="none"/>
          <w:u w:val="none"/>
          <w:lang w:val="en-US" w:eastAsia="zh-CN"/>
        </w:rPr>
      </w:pPr>
      <w:r>
        <w:rPr>
          <w:rFonts w:hint="default" w:ascii="Times New Roman" w:hAnsi="Times New Roman" w:eastAsia="仿宋_GB2312" w:cs="Times New Roman"/>
          <w:sz w:val="32"/>
          <w:szCs w:val="40"/>
          <w:highlight w:val="none"/>
          <w:u w:val="none"/>
          <w:lang w:val="en-US" w:eastAsia="zh-CN"/>
        </w:rPr>
        <w:t>落实相关税费优惠政策保障养老服务组织等银发经济主体依法享受国家规定的税收优惠</w:t>
      </w:r>
      <w:r>
        <w:rPr>
          <w:rFonts w:hint="eastAsia" w:ascii="Times New Roman" w:hAnsi="Times New Roman" w:eastAsia="仿宋_GB2312" w:cs="Times New Roman"/>
          <w:sz w:val="32"/>
          <w:szCs w:val="40"/>
          <w:highlight w:val="none"/>
          <w:u w:val="none"/>
          <w:lang w:val="en-US" w:eastAsia="zh-CN"/>
        </w:rPr>
        <w:t>。养老机构用水、用电、用气严格按居民生活类价格执行。报装容量200千瓦及以下各类民营经济组织采用低压接入，无需用户投资外部电力接入工程</w:t>
      </w:r>
      <w:r>
        <w:rPr>
          <w:rStyle w:val="12"/>
          <w:rFonts w:hint="eastAsia" w:ascii="Times New Roman" w:hAnsi="Times New Roman" w:eastAsia="仿宋_GB2312" w:cs="Times New Roman"/>
          <w:sz w:val="32"/>
          <w:szCs w:val="40"/>
          <w:highlight w:val="none"/>
          <w:u w:val="none"/>
          <w:lang w:val="en-US" w:eastAsia="zh-CN"/>
        </w:rPr>
        <w:footnoteReference w:id="17"/>
      </w:r>
      <w:r>
        <w:rPr>
          <w:rFonts w:hint="eastAsia" w:ascii="Times New Roman" w:hAnsi="Times New Roman" w:eastAsia="仿宋_GB2312" w:cs="Times New Roman"/>
          <w:sz w:val="32"/>
          <w:szCs w:val="40"/>
          <w:highlight w:val="none"/>
          <w:u w:val="none"/>
          <w:lang w:val="en-US" w:eastAsia="zh-CN"/>
        </w:rPr>
        <w:t>。</w:t>
      </w:r>
      <w:r>
        <w:rPr>
          <w:rFonts w:hint="eastAsia" w:ascii="Times New Roman" w:hAnsi="Times New Roman" w:eastAsia="仿宋_GB2312" w:cs="Times New Roman"/>
          <w:sz w:val="32"/>
          <w:szCs w:val="40"/>
          <w:highlight w:val="none"/>
          <w:u w:val="none"/>
          <w:lang w:val="en-US" w:eastAsia="zh-CN"/>
        </w:rPr>
        <w:t>加快推进产业园区转供电改造，减少供电层级，降低制造业企业用电成本</w:t>
      </w:r>
      <w:r>
        <w:rPr>
          <w:rFonts w:hint="eastAsia" w:ascii="Times New Roman" w:hAnsi="Times New Roman" w:eastAsia="仿宋_GB2312" w:cs="Times New Roman"/>
          <w:sz w:val="32"/>
          <w:szCs w:val="40"/>
          <w:highlight w:val="none"/>
          <w:u w:val="none"/>
          <w:lang w:val="en-US" w:eastAsia="zh-CN"/>
        </w:rPr>
        <w:t>，逐步</w:t>
      </w:r>
      <w:r>
        <w:rPr>
          <w:rFonts w:hint="eastAsia" w:ascii="Times New Roman" w:hAnsi="Times New Roman" w:eastAsia="仿宋_GB2312" w:cs="Times New Roman"/>
          <w:sz w:val="32"/>
          <w:szCs w:val="40"/>
          <w:highlight w:val="none"/>
          <w:u w:val="none"/>
          <w:lang w:val="en-US" w:eastAsia="zh-CN"/>
        </w:rPr>
        <w:t>实现供电直接抄表、服务到户</w:t>
      </w:r>
      <w:r>
        <w:rPr>
          <w:rFonts w:hint="eastAsia" w:ascii="Times New Roman" w:hAnsi="Times New Roman" w:eastAsia="仿宋_GB2312" w:cs="Times New Roman"/>
          <w:sz w:val="32"/>
          <w:szCs w:val="40"/>
          <w:highlight w:val="none"/>
          <w:u w:val="none"/>
          <w:lang w:val="en-US" w:eastAsia="zh-CN"/>
        </w:rPr>
        <w:t>。（责任单位：市税务局、市发展和改革局、市财政局、惠州市能源和重点项目局、广东电网有限责任公司惠州供电局、惠州市城市燃气发展有限公司）</w:t>
      </w:r>
    </w:p>
    <w:p w14:paraId="1B6E22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40"/>
          <w:highlight w:val="none"/>
          <w:u w:val="none"/>
          <w:lang w:val="en-US" w:eastAsia="zh-CN"/>
        </w:rPr>
      </w:pPr>
      <w:r>
        <w:rPr>
          <w:rFonts w:hint="eastAsia" w:ascii="Times New Roman" w:hAnsi="Times New Roman" w:eastAsia="仿宋_GB2312" w:cs="Times New Roman"/>
          <w:sz w:val="32"/>
          <w:szCs w:val="40"/>
          <w:highlight w:val="none"/>
          <w:u w:val="none"/>
          <w:lang w:val="en-US" w:eastAsia="zh-CN"/>
        </w:rPr>
        <w:t>本政策自印发之日起实施。政策相关扶持奖励补贴的比例和限额均为上限数额，具体政策扶持兑现以主管部门发布的申报通知为准</w:t>
      </w:r>
      <w:r>
        <w:rPr>
          <w:rFonts w:hint="eastAsia" w:ascii="Times New Roman" w:hAnsi="Times New Roman" w:eastAsia="仿宋_GB2312" w:cs="Times New Roman"/>
          <w:sz w:val="32"/>
          <w:szCs w:val="40"/>
          <w:highlight w:val="none"/>
          <w:u w:val="none"/>
          <w:lang w:val="en-US" w:eastAsia="zh-CN"/>
        </w:rPr>
        <w:t>。符合本政策措施规定的同一项目、同一事项同时符合多项扶持政策规定的，按照就高不就低、不重复的原则予以支持。国家及省有关部门新出台的政策规定与本政策规定不一致的，以新的政策规定为准。</w:t>
      </w:r>
    </w:p>
    <w:p w14:paraId="1402D7B3">
      <w:pPr>
        <w:keepNext w:val="0"/>
        <w:keepLines w:val="0"/>
        <w:pageBreakBefore w:val="0"/>
        <w:kinsoku/>
        <w:wordWrap/>
        <w:overflowPunct/>
        <w:topLinePunct w:val="0"/>
        <w:autoSpaceDE/>
        <w:autoSpaceDN/>
        <w:bidi w:val="0"/>
        <w:adjustRightInd/>
        <w:snapToGrid/>
        <w:textAlignment w:val="auto"/>
        <w:rPr>
          <w:highlight w:val="none"/>
          <w:u w:val="none"/>
        </w:rPr>
      </w:pPr>
    </w:p>
    <w:p w14:paraId="757F59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textAlignment w:val="auto"/>
        <w:rPr>
          <w:rFonts w:hint="default" w:ascii="Times New Roman" w:hAnsi="Times New Roman" w:eastAsia="仿宋_GB2312" w:cs="Times New Roman"/>
          <w:sz w:val="32"/>
          <w:szCs w:val="40"/>
          <w:highlight w:val="none"/>
          <w:u w:val="none"/>
          <w:lang w:val="en-US" w:eastAsia="zh-CN"/>
        </w:rPr>
      </w:pPr>
      <w:r>
        <w:rPr>
          <w:rFonts w:hint="default" w:ascii="Times New Roman" w:hAnsi="Times New Roman" w:eastAsia="仿宋_GB2312" w:cs="Times New Roman"/>
          <w:sz w:val="32"/>
          <w:szCs w:val="40"/>
          <w:highlight w:val="none"/>
          <w:u w:val="none"/>
          <w:lang w:val="en-US" w:eastAsia="zh-CN"/>
        </w:rPr>
        <w:t>附件：《惠州市支持银发经济发展若干措施》引用文件</w:t>
      </w:r>
      <w:r>
        <w:rPr>
          <w:rFonts w:hint="eastAsia" w:ascii="Times New Roman" w:hAnsi="Times New Roman" w:eastAsia="仿宋_GB2312" w:cs="Times New Roman"/>
          <w:sz w:val="32"/>
          <w:szCs w:val="40"/>
          <w:highlight w:val="none"/>
          <w:u w:val="none"/>
          <w:lang w:val="en-US" w:eastAsia="zh-CN"/>
        </w:rPr>
        <w:t>清单</w:t>
      </w:r>
    </w:p>
    <w:p w14:paraId="585311CB">
      <w:pPr>
        <w:keepNext w:val="0"/>
        <w:keepLines w:val="0"/>
        <w:pageBreakBefore w:val="0"/>
        <w:kinsoku/>
        <w:wordWrap/>
        <w:overflowPunct/>
        <w:topLinePunct w:val="0"/>
        <w:autoSpaceDE/>
        <w:autoSpaceDN/>
        <w:bidi w:val="0"/>
        <w:adjustRightInd/>
        <w:snapToGrid/>
        <w:textAlignment w:val="auto"/>
        <w:rPr>
          <w:highlight w:val="none"/>
          <w:u w:val="none"/>
        </w:rPr>
      </w:pPr>
    </w:p>
    <w:sectPr>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原版宋体"/>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原版宋体">
    <w:panose1 w:val="02010600030101010101"/>
    <w:charset w:val="86"/>
    <w:family w:val="auto"/>
    <w:pitch w:val="default"/>
    <w:sig w:usb0="00000003" w:usb1="080E0000" w:usb2="00000000" w:usb3="00000000" w:csb0="00040001" w:csb1="00000000"/>
  </w:font>
  <w:font w:name="方正仿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3000509000000000000"/>
    <w:charset w:val="86"/>
    <w:family w:val="auto"/>
    <w:pitch w:val="default"/>
    <w:sig w:usb0="00000001" w:usb1="080E0000" w:usb2="00000000" w:usb3="00000000" w:csb0="00040000" w:csb1="00000000"/>
  </w:font>
  <w:font w:name="Times New">
    <w:altName w:val="Times New Roman"/>
    <w:panose1 w:val="00000000000000000000"/>
    <w:charset w:val="00"/>
    <w:family w:val="auto"/>
    <w:pitch w:val="default"/>
    <w:sig w:usb0="00000000" w:usb1="00000000" w:usb2="00000000" w:usb3="00000000" w:csb0="00000000" w:csb1="00000000"/>
  </w:font>
  <w:font w:name="Times Ne">
    <w:altName w:val="Times New Roman"/>
    <w:panose1 w:val="00000000000000000000"/>
    <w:charset w:val="00"/>
    <w:family w:val="auto"/>
    <w:pitch w:val="default"/>
    <w:sig w:usb0="00000000" w:usb1="00000000" w:usb2="00000000" w:usb3="00000000" w:csb0="00000000" w:csb1="00000000"/>
  </w:font>
  <w:font w:name="Times N">
    <w:altName w:val="Times New Roman"/>
    <w:panose1 w:val="00000000000000000000"/>
    <w:charset w:val="00"/>
    <w:family w:val="auto"/>
    <w:pitch w:val="default"/>
    <w:sig w:usb0="00000000" w:usb1="00000000" w:usb2="00000000" w:usb3="00000000" w:csb0="00000000" w:csb1="00000000"/>
  </w:font>
  <w:font w:name="Times">
    <w:altName w:val="Times New Roman"/>
    <w:panose1 w:val="00000000000000000000"/>
    <w:charset w:val="00"/>
    <w:family w:val="auto"/>
    <w:pitch w:val="default"/>
    <w:sig w:usb0="00000000" w:usb1="00000000" w:usb2="00000000" w:usb3="00000000" w:csb0="00000000" w:csb1="00000000"/>
  </w:font>
  <w:font w:name="Time">
    <w:altName w:val="仿宋_GB2312"/>
    <w:panose1 w:val="00000000000000000000"/>
    <w:charset w:val="00"/>
    <w:family w:val="auto"/>
    <w:pitch w:val="default"/>
    <w:sig w:usb0="00000000" w:usb1="00000000" w:usb2="00000000" w:usb3="00000000" w:csb0="00000000" w:csb1="00000000"/>
  </w:font>
  <w:font w:name="Tim">
    <w:altName w:val="仿宋_GB2312"/>
    <w:panose1 w:val="00000000000000000000"/>
    <w:charset w:val="00"/>
    <w:family w:val="auto"/>
    <w:pitch w:val="default"/>
    <w:sig w:usb0="00000000" w:usb1="00000000" w:usb2="00000000" w:usb3="00000000" w:csb0="00000000" w:csb1="00000000"/>
  </w:font>
  <w:font w:name="Ti">
    <w:altName w:val="仿宋_GB2312"/>
    <w:panose1 w:val="00000000000000000000"/>
    <w:charset w:val="00"/>
    <w:family w:val="auto"/>
    <w:pitch w:val="default"/>
    <w:sig w:usb0="00000000" w:usb1="00000000" w:usb2="00000000" w:usb3="00000000" w:csb0="00000000" w:csb1="00000000"/>
  </w:font>
  <w:font w:name="T">
    <w:altName w:val="仿宋_GB2312"/>
    <w:panose1 w:val="00000000000000000000"/>
    <w:charset w:val="00"/>
    <w:family w:val="auto"/>
    <w:pitch w:val="default"/>
    <w:sig w:usb0="00000000" w:usb1="00000000" w:usb2="00000000" w:usb3="00000000" w:csb0="00000000" w:csb1="00000000"/>
  </w:font>
  <w:font w:name="仿宋">
    <w:altName w:val="仿宋_GB2312"/>
    <w:panose1 w:val="00000000000000000000"/>
    <w:charset w:val="00"/>
    <w:family w:val="auto"/>
    <w:pitch w:val="default"/>
    <w:sig w:usb0="00000000" w:usb1="00000000" w:usb2="00000000" w:usb3="00000000" w:csb0="00000000" w:csb1="00000000"/>
  </w:font>
  <w:font w:name="等线">
    <w:altName w:val="Noto Sans CJK SC"/>
    <w:panose1 w:val="00000000000000000000"/>
    <w:charset w:val="00"/>
    <w:family w:val="auto"/>
    <w:pitch w:val="default"/>
    <w:sig w:usb0="00000000" w:usb1="00000000" w:usb2="00000000" w:usb3="00000000" w:csb0="00000000" w:csb1="00000000"/>
  </w:font>
  <w:font w:name="Noto Sans CJK SC">
    <w:panose1 w:val="020B05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23FD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0CC25F">
                          <w:pPr>
                            <w:pStyle w:val="6"/>
                            <w:rPr>
                              <w:rFonts w:hint="eastAsia" w:ascii="原版宋体" w:hAnsi="原版宋体" w:eastAsia="原版宋体" w:cs="原版宋体"/>
                              <w:sz w:val="28"/>
                              <w:szCs w:val="28"/>
                            </w:rPr>
                          </w:pPr>
                          <w:r>
                            <w:rPr>
                              <w:rFonts w:hint="eastAsia" w:ascii="原版宋体" w:hAnsi="原版宋体" w:eastAsia="原版宋体" w:cs="原版宋体"/>
                              <w:sz w:val="28"/>
                              <w:szCs w:val="28"/>
                            </w:rPr>
                            <w:t>—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1</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　—</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3F0CC25F">
                    <w:pPr>
                      <w:pStyle w:val="6"/>
                      <w:rPr>
                        <w:rFonts w:hint="eastAsia" w:ascii="原版宋体" w:hAnsi="原版宋体" w:eastAsia="原版宋体" w:cs="原版宋体"/>
                        <w:sz w:val="28"/>
                        <w:szCs w:val="28"/>
                      </w:rPr>
                    </w:pPr>
                    <w:r>
                      <w:rPr>
                        <w:rFonts w:hint="eastAsia" w:ascii="原版宋体" w:hAnsi="原版宋体" w:eastAsia="原版宋体" w:cs="原版宋体"/>
                        <w:sz w:val="28"/>
                        <w:szCs w:val="28"/>
                      </w:rPr>
                      <w:t>—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1</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6">
    <w:p>
      <w:r>
        <w:separator/>
      </w:r>
    </w:p>
  </w:footnote>
  <w:footnote w:type="continuationSeparator" w:id="37">
    <w:p>
      <w:r>
        <w:continuationSeparator/>
      </w:r>
    </w:p>
  </w:footnote>
  <w:footnote w:id="0">
    <w:p w14:paraId="4059F886">
      <w:pPr>
        <w:pStyle w:val="8"/>
        <w:snapToGrid w:val="0"/>
        <w:rPr>
          <w:highlight w:val="none"/>
        </w:rPr>
      </w:pPr>
      <w:r>
        <w:rPr>
          <w:rStyle w:val="12"/>
          <w:highlight w:val="none"/>
        </w:rPr>
        <w:footnoteRef/>
      </w:r>
      <w:r>
        <w:rPr>
          <w:highlight w:val="none"/>
        </w:rPr>
        <w:t xml:space="preserve"> </w:t>
      </w:r>
      <w:r>
        <w:rPr>
          <w:rFonts w:hint="eastAsia"/>
          <w:highlight w:val="none"/>
          <w:lang w:eastAsia="zh-CN"/>
        </w:rPr>
        <w:t>依据《中央集中彩票公益金支持社会福利事业资金管理办法》制定</w:t>
      </w:r>
    </w:p>
  </w:footnote>
  <w:footnote w:id="1">
    <w:p w14:paraId="0809F67E">
      <w:pPr>
        <w:pStyle w:val="8"/>
        <w:snapToGrid w:val="0"/>
        <w:rPr>
          <w:rFonts w:hint="eastAsia"/>
          <w:lang w:eastAsia="zh-CN"/>
        </w:rPr>
      </w:pPr>
      <w:r>
        <w:rPr>
          <w:rStyle w:val="12"/>
        </w:rPr>
        <w:footnoteRef/>
      </w:r>
      <w:r>
        <w:t xml:space="preserve"> </w:t>
      </w:r>
      <w:r>
        <w:rPr>
          <w:rFonts w:hint="eastAsia"/>
          <w:lang w:eastAsia="zh-CN"/>
        </w:rPr>
        <w:t>《惠州市推进制造业高质量发展若干措施》第一条</w:t>
      </w:r>
    </w:p>
  </w:footnote>
  <w:footnote w:id="2">
    <w:p w14:paraId="4E5DE7F1">
      <w:pPr>
        <w:pStyle w:val="8"/>
        <w:snapToGrid w:val="0"/>
        <w:rPr>
          <w:rFonts w:hint="eastAsia"/>
          <w:lang w:eastAsia="zh-CN"/>
        </w:rPr>
      </w:pPr>
      <w:r>
        <w:rPr>
          <w:rStyle w:val="12"/>
        </w:rPr>
        <w:footnoteRef/>
      </w:r>
      <w:r>
        <w:t xml:space="preserve"> </w:t>
      </w:r>
      <w:r>
        <w:rPr>
          <w:rFonts w:hint="eastAsia"/>
          <w:lang w:eastAsia="zh-CN"/>
        </w:rPr>
        <w:t>《惠州市推进制造业高质量发展若干措施》第一条</w:t>
      </w:r>
    </w:p>
  </w:footnote>
  <w:footnote w:id="3">
    <w:p w14:paraId="049FF6B6">
      <w:pPr>
        <w:pStyle w:val="8"/>
        <w:snapToGrid w:val="0"/>
        <w:rPr>
          <w:rFonts w:hint="eastAsia" w:eastAsia="宋体"/>
          <w:lang w:eastAsia="zh-CN"/>
        </w:rPr>
      </w:pPr>
      <w:r>
        <w:rPr>
          <w:rStyle w:val="12"/>
        </w:rPr>
        <w:footnoteRef/>
      </w:r>
      <w:r>
        <w:t xml:space="preserve"> </w:t>
      </w:r>
      <w:r>
        <w:rPr>
          <w:rFonts w:hint="eastAsia"/>
          <w:lang w:eastAsia="zh-CN"/>
        </w:rPr>
        <w:t>《惠州市推进制造业高质量发展若干措施》第三条</w:t>
      </w:r>
    </w:p>
  </w:footnote>
  <w:footnote w:id="4">
    <w:p w14:paraId="460AAF87">
      <w:pPr>
        <w:pStyle w:val="8"/>
        <w:snapToGrid w:val="0"/>
      </w:pPr>
      <w:r>
        <w:rPr>
          <w:rStyle w:val="12"/>
        </w:rPr>
        <w:footnoteRef/>
      </w:r>
      <w:r>
        <w:t xml:space="preserve"> </w:t>
      </w:r>
      <w:r>
        <w:rPr>
          <w:rFonts w:hint="eastAsia"/>
          <w:lang w:eastAsia="zh-CN"/>
        </w:rPr>
        <w:t>《惠州市推进制造业高质量发展若干措施》第三条</w:t>
      </w:r>
    </w:p>
  </w:footnote>
  <w:footnote w:id="5">
    <w:p w14:paraId="04098869">
      <w:pPr>
        <w:pStyle w:val="8"/>
        <w:snapToGrid w:val="0"/>
      </w:pPr>
      <w:r>
        <w:rPr>
          <w:rStyle w:val="12"/>
        </w:rPr>
        <w:footnoteRef/>
      </w:r>
      <w:r>
        <w:t xml:space="preserve"> </w:t>
      </w:r>
      <w:r>
        <w:rPr>
          <w:rFonts w:hint="eastAsia"/>
          <w:lang w:eastAsia="zh-CN"/>
        </w:rPr>
        <w:t>《惠州市推进制造业高质量发展若干措施》第三条</w:t>
      </w:r>
    </w:p>
  </w:footnote>
  <w:footnote w:id="6">
    <w:p w14:paraId="6B07DC4F">
      <w:pPr>
        <w:pStyle w:val="8"/>
        <w:snapToGrid w:val="0"/>
      </w:pPr>
      <w:r>
        <w:rPr>
          <w:rStyle w:val="12"/>
        </w:rPr>
        <w:footnoteRef/>
      </w:r>
      <w:r>
        <w:t xml:space="preserve"> </w:t>
      </w:r>
      <w:r>
        <w:rPr>
          <w:rFonts w:hint="eastAsia"/>
          <w:lang w:eastAsia="zh-CN"/>
        </w:rPr>
        <w:t>《惠州市推进制造业高质量发展若干措施》第三条</w:t>
      </w:r>
    </w:p>
  </w:footnote>
  <w:footnote w:id="7">
    <w:p w14:paraId="1C175BCF">
      <w:pPr>
        <w:pStyle w:val="8"/>
        <w:snapToGrid w:val="0"/>
      </w:pPr>
      <w:r>
        <w:rPr>
          <w:rStyle w:val="12"/>
        </w:rPr>
        <w:footnoteRef/>
      </w:r>
      <w:r>
        <w:t xml:space="preserve"> </w:t>
      </w:r>
      <w:r>
        <w:rPr>
          <w:rFonts w:hint="eastAsia"/>
        </w:rPr>
        <w:t>《惠州市新型研发机构管理办法》</w:t>
      </w:r>
      <w:r>
        <w:rPr>
          <w:rFonts w:hint="eastAsia"/>
          <w:lang w:eastAsia="zh-CN"/>
        </w:rPr>
        <w:t>第十二条</w:t>
      </w:r>
    </w:p>
  </w:footnote>
  <w:footnote w:id="8">
    <w:p w14:paraId="102CE6D0">
      <w:pPr>
        <w:pStyle w:val="8"/>
        <w:snapToGrid w:val="0"/>
        <w:rPr>
          <w:rFonts w:hint="eastAsia" w:eastAsia="宋体"/>
          <w:lang w:eastAsia="zh-CN"/>
        </w:rPr>
      </w:pPr>
      <w:r>
        <w:rPr>
          <w:rStyle w:val="12"/>
        </w:rPr>
        <w:footnoteRef/>
      </w:r>
      <w:r>
        <w:t xml:space="preserve"> </w:t>
      </w:r>
      <w:r>
        <w:rPr>
          <w:rFonts w:hint="eastAsia"/>
        </w:rPr>
        <w:t>《惠州市新型研发机构管理办法》</w:t>
      </w:r>
      <w:r>
        <w:rPr>
          <w:rFonts w:hint="eastAsia"/>
          <w:lang w:eastAsia="zh-CN"/>
        </w:rPr>
        <w:t>第十三条</w:t>
      </w:r>
    </w:p>
  </w:footnote>
  <w:footnote w:id="9">
    <w:p w14:paraId="236096A7">
      <w:pPr>
        <w:pStyle w:val="8"/>
        <w:snapToGrid w:val="0"/>
        <w:rPr>
          <w:rFonts w:hint="default" w:eastAsia="宋体"/>
          <w:lang w:val="en-US" w:eastAsia="zh-CN"/>
        </w:rPr>
      </w:pPr>
      <w:r>
        <w:rPr>
          <w:rStyle w:val="12"/>
        </w:rPr>
        <w:footnoteRef/>
      </w:r>
      <w:r>
        <w:t xml:space="preserve"> </w:t>
      </w:r>
      <w:r>
        <w:rPr>
          <w:rFonts w:hint="eastAsia"/>
          <w:lang w:eastAsia="zh-CN"/>
        </w:rPr>
        <w:t>《</w:t>
      </w:r>
      <w:r>
        <w:rPr>
          <w:rFonts w:hint="eastAsia"/>
        </w:rPr>
        <w:t>惠州打造粤港澳大湾区科技成果转移转化首选地的若干措施</w:t>
      </w:r>
      <w:r>
        <w:rPr>
          <w:rFonts w:hint="eastAsia"/>
          <w:lang w:eastAsia="zh-CN"/>
        </w:rPr>
        <w:t>》第一条第</w:t>
      </w:r>
      <w:r>
        <w:rPr>
          <w:rFonts w:hint="default" w:ascii="Times New Roman" w:hAnsi="Times New Roman" w:eastAsia="原版宋体" w:cs="Times New Roman"/>
          <w:lang w:val="en-US" w:eastAsia="zh-CN"/>
        </w:rPr>
        <w:t>2</w:t>
      </w:r>
      <w:r>
        <w:rPr>
          <w:rFonts w:hint="eastAsia"/>
          <w:lang w:val="en-US" w:eastAsia="zh-CN"/>
        </w:rPr>
        <w:t>项</w:t>
      </w:r>
    </w:p>
  </w:footnote>
  <w:footnote w:id="10">
    <w:p w14:paraId="283F5B63">
      <w:pPr>
        <w:pStyle w:val="8"/>
        <w:snapToGrid w:val="0"/>
        <w:rPr>
          <w:rFonts w:hint="default"/>
          <w:lang w:val="en-US"/>
        </w:rPr>
      </w:pPr>
      <w:r>
        <w:rPr>
          <w:rStyle w:val="12"/>
        </w:rPr>
        <w:footnoteRef/>
      </w:r>
      <w:r>
        <w:t xml:space="preserve"> </w:t>
      </w:r>
      <w:r>
        <w:rPr>
          <w:rFonts w:hint="eastAsia"/>
          <w:lang w:eastAsia="zh-CN"/>
        </w:rPr>
        <w:t>《</w:t>
      </w:r>
      <w:r>
        <w:rPr>
          <w:rFonts w:hint="eastAsia"/>
        </w:rPr>
        <w:t>惠州打造粤港澳大湾区科技成果转移转化首选地的若干措施</w:t>
      </w:r>
      <w:r>
        <w:rPr>
          <w:rFonts w:hint="eastAsia"/>
          <w:lang w:eastAsia="zh-CN"/>
        </w:rPr>
        <w:t>》第二条第</w:t>
      </w:r>
      <w:r>
        <w:rPr>
          <w:rFonts w:hint="eastAsia" w:ascii="Times New Roman" w:hAnsi="Times New Roman" w:eastAsia="原版宋体" w:cs="Times New Roman"/>
          <w:lang w:val="en-US" w:eastAsia="zh-CN"/>
        </w:rPr>
        <w:t>6</w:t>
      </w:r>
      <w:r>
        <w:rPr>
          <w:rFonts w:hint="eastAsia"/>
          <w:lang w:val="en-US" w:eastAsia="zh-CN"/>
        </w:rPr>
        <w:t>项</w:t>
      </w:r>
    </w:p>
  </w:footnote>
  <w:footnote w:id="11">
    <w:p w14:paraId="591C8931">
      <w:pPr>
        <w:pStyle w:val="8"/>
        <w:snapToGrid w:val="0"/>
        <w:rPr>
          <w:rFonts w:hint="default"/>
          <w:lang w:val="en-US"/>
        </w:rPr>
      </w:pPr>
      <w:r>
        <w:rPr>
          <w:rStyle w:val="12"/>
        </w:rPr>
        <w:footnoteRef/>
      </w:r>
      <w:r>
        <w:t xml:space="preserve"> </w:t>
      </w:r>
      <w:r>
        <w:rPr>
          <w:rFonts w:hint="eastAsia"/>
          <w:lang w:eastAsia="zh-CN"/>
        </w:rPr>
        <w:t>《</w:t>
      </w:r>
      <w:r>
        <w:rPr>
          <w:rFonts w:hint="eastAsia"/>
        </w:rPr>
        <w:t>惠州打造粤港澳大湾区科技成果转移转化首选地的若干措施</w:t>
      </w:r>
      <w:r>
        <w:rPr>
          <w:rFonts w:hint="eastAsia"/>
          <w:lang w:eastAsia="zh-CN"/>
        </w:rPr>
        <w:t>》第二条第</w:t>
      </w:r>
      <w:r>
        <w:rPr>
          <w:rFonts w:hint="eastAsia" w:ascii="Times New Roman" w:hAnsi="Times New Roman" w:eastAsia="原版宋体" w:cs="Times New Roman"/>
          <w:lang w:val="en-US" w:eastAsia="zh-CN"/>
        </w:rPr>
        <w:t>8</w:t>
      </w:r>
      <w:r>
        <w:rPr>
          <w:rFonts w:hint="eastAsia"/>
          <w:lang w:val="en-US" w:eastAsia="zh-CN"/>
        </w:rPr>
        <w:t>项</w:t>
      </w:r>
    </w:p>
  </w:footnote>
  <w:footnote w:id="12">
    <w:p w14:paraId="51EB67FA">
      <w:pPr>
        <w:pStyle w:val="8"/>
        <w:snapToGrid w:val="0"/>
        <w:rPr>
          <w:rFonts w:hint="eastAsia" w:eastAsia="宋体"/>
          <w:lang w:eastAsia="zh-CN"/>
        </w:rPr>
      </w:pPr>
      <w:r>
        <w:rPr>
          <w:rStyle w:val="12"/>
        </w:rPr>
        <w:footnoteRef/>
      </w:r>
      <w:r>
        <w:t xml:space="preserve"> </w:t>
      </w:r>
      <w:r>
        <w:rPr>
          <w:rFonts w:hint="eastAsia"/>
          <w:lang w:eastAsia="zh-CN"/>
        </w:rPr>
        <w:t>《惠州市推进制造业高质量发展若干措施》第二条</w:t>
      </w:r>
    </w:p>
  </w:footnote>
  <w:footnote w:id="13">
    <w:p w14:paraId="660DFA54">
      <w:pPr>
        <w:pStyle w:val="8"/>
        <w:snapToGrid w:val="0"/>
        <w:rPr>
          <w:rFonts w:hint="eastAsia" w:eastAsia="宋体"/>
          <w:highlight w:val="none"/>
          <w:lang w:eastAsia="zh-CN"/>
        </w:rPr>
      </w:pPr>
      <w:r>
        <w:rPr>
          <w:rStyle w:val="12"/>
        </w:rPr>
        <w:footnoteRef/>
      </w:r>
      <w:r>
        <w:t xml:space="preserve"> </w:t>
      </w:r>
      <w:r>
        <w:rPr>
          <w:rFonts w:hint="eastAsia"/>
        </w:rPr>
        <w:t>《惠州市关于促进知识产权高质量发展若干措施》</w:t>
      </w:r>
      <w:r>
        <w:rPr>
          <w:rFonts w:hint="eastAsia"/>
          <w:highlight w:val="none"/>
          <w:lang w:eastAsia="zh-CN"/>
        </w:rPr>
        <w:t>第二条第（八）项</w:t>
      </w:r>
    </w:p>
  </w:footnote>
  <w:footnote w:id="14">
    <w:p w14:paraId="674EBD38">
      <w:pPr>
        <w:keepNext w:val="0"/>
        <w:keepLines w:val="0"/>
        <w:widowControl/>
        <w:suppressLineNumbers w:val="0"/>
        <w:jc w:val="left"/>
        <w:rPr>
          <w:b/>
          <w:bCs/>
        </w:rPr>
      </w:pPr>
      <w:r>
        <w:rPr>
          <w:rStyle w:val="12"/>
          <w:sz w:val="18"/>
          <w:szCs w:val="18"/>
        </w:rPr>
        <w:footnoteRef/>
      </w:r>
      <w:r>
        <w:t xml:space="preserve"> </w:t>
      </w:r>
      <w:r>
        <w:rPr>
          <w:rFonts w:hint="eastAsia" w:ascii="原版宋体" w:hAnsi="原版宋体" w:eastAsia="原版宋体" w:cs="原版宋体"/>
          <w:i w:val="0"/>
          <w:iCs w:val="0"/>
          <w:caps w:val="0"/>
          <w:spacing w:val="0"/>
          <w:kern w:val="0"/>
          <w:sz w:val="18"/>
          <w:szCs w:val="18"/>
          <w:shd w:val="clear" w:fill="FFFFFF"/>
          <w:lang w:val="en-US" w:eastAsia="zh-CN" w:bidi="ar"/>
        </w:rPr>
        <w:t>《广东省养老服务条例》</w:t>
      </w:r>
    </w:p>
  </w:footnote>
  <w:footnote w:id="15">
    <w:p w14:paraId="4E6D5252">
      <w:pPr>
        <w:pStyle w:val="8"/>
        <w:snapToGrid w:val="0"/>
        <w:rPr>
          <w:highlight w:val="none"/>
        </w:rPr>
      </w:pPr>
      <w:r>
        <w:rPr>
          <w:rStyle w:val="12"/>
          <w:highlight w:val="none"/>
        </w:rPr>
        <w:footnoteRef/>
      </w:r>
      <w:r>
        <w:rPr>
          <w:highlight w:val="none"/>
        </w:rPr>
        <w:t xml:space="preserve"> </w:t>
      </w:r>
      <w:r>
        <w:rPr>
          <w:rFonts w:hint="eastAsia"/>
          <w:highlight w:val="none"/>
          <w:lang w:eastAsia="zh-CN"/>
        </w:rPr>
        <w:t>依据</w:t>
      </w:r>
      <w:r>
        <w:rPr>
          <w:rFonts w:hint="eastAsia"/>
          <w:highlight w:val="none"/>
          <w:lang w:val="en-US" w:eastAsia="zh-CN"/>
        </w:rPr>
        <w:t>《协议出让国有土地使用权规定》</w:t>
      </w:r>
      <w:r>
        <w:rPr>
          <w:highlight w:val="none"/>
          <w:lang w:val="en-US" w:eastAsia="zh-CN"/>
        </w:rPr>
        <w:t>（</w:t>
      </w:r>
      <w:r>
        <w:rPr>
          <w:rFonts w:hint="eastAsia"/>
          <w:highlight w:val="none"/>
          <w:lang w:val="en-US" w:eastAsia="zh-CN"/>
        </w:rPr>
        <w:t>中华人民共和国国土资源部令 第</w:t>
      </w:r>
      <w:r>
        <w:rPr>
          <w:rFonts w:hint="default" w:ascii="Times New Roman" w:hAnsi="Times New Roman" w:cs="Times New Roman"/>
          <w:highlight w:val="none"/>
          <w:lang w:val="en-US" w:eastAsia="zh-CN"/>
        </w:rPr>
        <w:t>21</w:t>
      </w:r>
      <w:r>
        <w:rPr>
          <w:rFonts w:hint="eastAsia"/>
          <w:highlight w:val="none"/>
          <w:lang w:val="en-US" w:eastAsia="zh-CN"/>
        </w:rPr>
        <w:t>号）制定</w:t>
      </w:r>
    </w:p>
  </w:footnote>
  <w:footnote w:id="16">
    <w:p w14:paraId="63A90B9D">
      <w:pPr>
        <w:pStyle w:val="8"/>
        <w:snapToGrid w:val="0"/>
        <w:rPr>
          <w:highlight w:val="none"/>
        </w:rPr>
      </w:pPr>
      <w:r>
        <w:rPr>
          <w:rStyle w:val="12"/>
          <w:highlight w:val="none"/>
        </w:rPr>
        <w:footnoteRef/>
      </w:r>
      <w:r>
        <w:rPr>
          <w:highlight w:val="none"/>
        </w:rPr>
        <w:t xml:space="preserve"> </w:t>
      </w:r>
      <w:r>
        <w:rPr>
          <w:rFonts w:hint="eastAsia"/>
          <w:highlight w:val="none"/>
          <w:lang w:eastAsia="zh-CN"/>
        </w:rPr>
        <w:t>依据</w:t>
      </w:r>
      <w:r>
        <w:rPr>
          <w:rFonts w:hint="eastAsia"/>
          <w:highlight w:val="none"/>
          <w:lang w:val="en-US" w:eastAsia="zh-CN"/>
        </w:rPr>
        <w:t>《协议出让国有土地使用权规定》</w:t>
      </w:r>
      <w:r>
        <w:rPr>
          <w:highlight w:val="none"/>
          <w:lang w:val="en-US" w:eastAsia="zh-CN"/>
        </w:rPr>
        <w:t>（</w:t>
      </w:r>
      <w:r>
        <w:rPr>
          <w:rFonts w:hint="eastAsia"/>
          <w:highlight w:val="none"/>
          <w:lang w:val="en-US" w:eastAsia="zh-CN"/>
        </w:rPr>
        <w:t>中华人民共和国国土资源部令 第</w:t>
      </w:r>
      <w:r>
        <w:rPr>
          <w:rFonts w:hint="default" w:ascii="Times New Roman" w:hAnsi="Times New Roman" w:cs="Times New Roman"/>
          <w:highlight w:val="none"/>
          <w:lang w:val="en-US" w:eastAsia="zh-CN"/>
        </w:rPr>
        <w:t>21</w:t>
      </w:r>
      <w:r>
        <w:rPr>
          <w:rFonts w:hint="eastAsia"/>
          <w:highlight w:val="none"/>
          <w:lang w:val="en-US" w:eastAsia="zh-CN"/>
        </w:rPr>
        <w:t>号）制定</w:t>
      </w:r>
    </w:p>
  </w:footnote>
  <w:footnote w:id="17">
    <w:p w14:paraId="02A3A139">
      <w:pPr>
        <w:pStyle w:val="8"/>
        <w:snapToGrid w:val="0"/>
      </w:pPr>
      <w:r>
        <w:rPr>
          <w:rStyle w:val="12"/>
        </w:rPr>
        <w:footnoteRef/>
      </w:r>
      <w:r>
        <w:t xml:space="preserve"> </w:t>
      </w:r>
      <w:r>
        <w:rPr>
          <w:rFonts w:hint="eastAsia"/>
          <w:lang w:eastAsia="zh-CN"/>
        </w:rPr>
        <w:t>依据《关于深化提升</w:t>
      </w:r>
      <w:r>
        <w:rPr>
          <w:rFonts w:hint="eastAsia" w:ascii="Times New Roman" w:hAnsi="Times New Roman" w:eastAsia="仿宋_GB2312"/>
          <w:lang w:eastAsia="zh-CN"/>
        </w:rPr>
        <w:t>“</w:t>
      </w:r>
      <w:r>
        <w:rPr>
          <w:rFonts w:hint="eastAsia"/>
          <w:lang w:eastAsia="zh-CN"/>
        </w:rPr>
        <w:t>获得电力”服务水平 全面打造现代化用电营商环境的意见》（发改能源规〔2025〕624号）制定</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C7F181"/>
    <w:multiLevelType w:val="singleLevel"/>
    <w:tmpl w:val="7BC7F18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36"/>
    <w:footnote w:id="37"/>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2F7C543"/>
    <w:rsid w:val="08FE2AC3"/>
    <w:rsid w:val="0C5F54FD"/>
    <w:rsid w:val="0FBF5F68"/>
    <w:rsid w:val="13DD9B50"/>
    <w:rsid w:val="17EF9CF7"/>
    <w:rsid w:val="18B9775D"/>
    <w:rsid w:val="196B6F5D"/>
    <w:rsid w:val="1A9D1836"/>
    <w:rsid w:val="1BF54E7F"/>
    <w:rsid w:val="1F2FCD4C"/>
    <w:rsid w:val="1FBBE627"/>
    <w:rsid w:val="22FF911F"/>
    <w:rsid w:val="237044C9"/>
    <w:rsid w:val="237A59FF"/>
    <w:rsid w:val="27F7A101"/>
    <w:rsid w:val="2B8C6C04"/>
    <w:rsid w:val="2EE340FA"/>
    <w:rsid w:val="307ACB71"/>
    <w:rsid w:val="395A1104"/>
    <w:rsid w:val="3DF7CD6C"/>
    <w:rsid w:val="3E3F6C81"/>
    <w:rsid w:val="3E5E71AD"/>
    <w:rsid w:val="3F9183D1"/>
    <w:rsid w:val="3F95AE62"/>
    <w:rsid w:val="3FF29A2E"/>
    <w:rsid w:val="4CDFB3A9"/>
    <w:rsid w:val="4D3B788E"/>
    <w:rsid w:val="4FEFE62D"/>
    <w:rsid w:val="4FFD6DBC"/>
    <w:rsid w:val="5971BA30"/>
    <w:rsid w:val="5AAF6D11"/>
    <w:rsid w:val="5FBE9CCA"/>
    <w:rsid w:val="5FFFCD76"/>
    <w:rsid w:val="637E37BA"/>
    <w:rsid w:val="65FDF30C"/>
    <w:rsid w:val="67FF78E5"/>
    <w:rsid w:val="69DB6EA9"/>
    <w:rsid w:val="6AFBF4CE"/>
    <w:rsid w:val="6D7B7675"/>
    <w:rsid w:val="6DF5EF86"/>
    <w:rsid w:val="6E7361E8"/>
    <w:rsid w:val="6EDFEF11"/>
    <w:rsid w:val="6F7F21C8"/>
    <w:rsid w:val="6FD6A591"/>
    <w:rsid w:val="6FD75388"/>
    <w:rsid w:val="6FF3C385"/>
    <w:rsid w:val="71DDE1F8"/>
    <w:rsid w:val="71EF2822"/>
    <w:rsid w:val="733833E8"/>
    <w:rsid w:val="75DF4F1E"/>
    <w:rsid w:val="77CF064A"/>
    <w:rsid w:val="77EF536E"/>
    <w:rsid w:val="77FB5821"/>
    <w:rsid w:val="77FF2AF5"/>
    <w:rsid w:val="77FFBF96"/>
    <w:rsid w:val="791F6E93"/>
    <w:rsid w:val="799711E9"/>
    <w:rsid w:val="7AD3A9F7"/>
    <w:rsid w:val="7ADF0BD1"/>
    <w:rsid w:val="7AF48B72"/>
    <w:rsid w:val="7B375FF5"/>
    <w:rsid w:val="7B77B307"/>
    <w:rsid w:val="7BBFF441"/>
    <w:rsid w:val="7D215C53"/>
    <w:rsid w:val="7D7E98AC"/>
    <w:rsid w:val="7DBB95E9"/>
    <w:rsid w:val="7DDD76C0"/>
    <w:rsid w:val="7DF3C806"/>
    <w:rsid w:val="7DFD4136"/>
    <w:rsid w:val="7DFFB1A8"/>
    <w:rsid w:val="7EBB4EF4"/>
    <w:rsid w:val="7EDD61C6"/>
    <w:rsid w:val="7EE5AB6B"/>
    <w:rsid w:val="7EEFA26A"/>
    <w:rsid w:val="7EFB6463"/>
    <w:rsid w:val="7F3DC583"/>
    <w:rsid w:val="7F74CBEE"/>
    <w:rsid w:val="7F7BF74B"/>
    <w:rsid w:val="7F9F1B5E"/>
    <w:rsid w:val="7FB4B38F"/>
    <w:rsid w:val="7FB893DC"/>
    <w:rsid w:val="7FBD2244"/>
    <w:rsid w:val="7FBF5E08"/>
    <w:rsid w:val="7FDEF0C4"/>
    <w:rsid w:val="7FEF9FC1"/>
    <w:rsid w:val="7FEFB5FE"/>
    <w:rsid w:val="7FF44CE3"/>
    <w:rsid w:val="7FFBC72F"/>
    <w:rsid w:val="7FFE864B"/>
    <w:rsid w:val="959FB692"/>
    <w:rsid w:val="9FDF4CE2"/>
    <w:rsid w:val="A5EADAA0"/>
    <w:rsid w:val="A8BE004A"/>
    <w:rsid w:val="AEFDC1B1"/>
    <w:rsid w:val="B2F7C543"/>
    <w:rsid w:val="B6DF08D4"/>
    <w:rsid w:val="B7FF011E"/>
    <w:rsid w:val="BAEA8FFA"/>
    <w:rsid w:val="BBFF32AB"/>
    <w:rsid w:val="BDFAACF4"/>
    <w:rsid w:val="BF3E8C72"/>
    <w:rsid w:val="BF418983"/>
    <w:rsid w:val="BFAF0633"/>
    <w:rsid w:val="BFBF0DF6"/>
    <w:rsid w:val="BFEB0B7D"/>
    <w:rsid w:val="BFF3EECE"/>
    <w:rsid w:val="BFF739BB"/>
    <w:rsid w:val="C7D74E4F"/>
    <w:rsid w:val="DC1D4728"/>
    <w:rsid w:val="DDFBB579"/>
    <w:rsid w:val="DEF3D720"/>
    <w:rsid w:val="DEF70E35"/>
    <w:rsid w:val="E61E7D74"/>
    <w:rsid w:val="ECFFA0EA"/>
    <w:rsid w:val="EF7E1AE0"/>
    <w:rsid w:val="EFB38D52"/>
    <w:rsid w:val="EFBD4DD7"/>
    <w:rsid w:val="EFFF2B1F"/>
    <w:rsid w:val="F3FD8165"/>
    <w:rsid w:val="F3FF2979"/>
    <w:rsid w:val="F497AA5F"/>
    <w:rsid w:val="F6ACCE8E"/>
    <w:rsid w:val="F6FAFFB7"/>
    <w:rsid w:val="F727C265"/>
    <w:rsid w:val="F7F510FA"/>
    <w:rsid w:val="F7F75071"/>
    <w:rsid w:val="F7FB80FB"/>
    <w:rsid w:val="F8BE0782"/>
    <w:rsid w:val="F9BD7EFA"/>
    <w:rsid w:val="FB5F8669"/>
    <w:rsid w:val="FB7E787B"/>
    <w:rsid w:val="FBFFA394"/>
    <w:rsid w:val="FDDDEEA0"/>
    <w:rsid w:val="FDFF968F"/>
    <w:rsid w:val="FE369548"/>
    <w:rsid w:val="FEB76FD5"/>
    <w:rsid w:val="FEE4DD79"/>
    <w:rsid w:val="FEE6ACBE"/>
    <w:rsid w:val="FF771537"/>
    <w:rsid w:val="FF7E5E74"/>
    <w:rsid w:val="FFEF5B66"/>
    <w:rsid w:val="FFEF5EFB"/>
    <w:rsid w:val="FFF198F7"/>
    <w:rsid w:val="FFF53AD4"/>
    <w:rsid w:val="FFF7311D"/>
    <w:rsid w:val="FFFD432E"/>
    <w:rsid w:val="FFFD9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lang w:val="en-US" w:eastAsia="zh-CN"/>
    </w:rPr>
  </w:style>
  <w:style w:type="paragraph" w:styleId="4">
    <w:name w:val="Normal Indent"/>
    <w:basedOn w:val="1"/>
    <w:qFormat/>
    <w:uiPriority w:val="0"/>
    <w:pPr>
      <w:spacing w:line="600" w:lineRule="exact"/>
      <w:ind w:firstLine="420" w:firstLineChars="200"/>
    </w:pPr>
    <w:rPr>
      <w:rFonts w:ascii="Times New Roman" w:hAnsi="Times New Roman" w:eastAsia="方正仿宋简体"/>
    </w:r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0"/>
    <w:pPr>
      <w:snapToGrid w:val="0"/>
      <w:jc w:val="left"/>
    </w:pPr>
    <w:rPr>
      <w:sz w:val="18"/>
    </w:rPr>
  </w:style>
  <w:style w:type="character" w:styleId="11">
    <w:name w:val="Strong"/>
    <w:basedOn w:val="10"/>
    <w:qFormat/>
    <w:uiPriority w:val="0"/>
    <w:rPr>
      <w:b/>
    </w:rPr>
  </w:style>
  <w:style w:type="character" w:styleId="12">
    <w:name w:val="footnote reference"/>
    <w:basedOn w:val="10"/>
    <w:qFormat/>
    <w:uiPriority w:val="0"/>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3573</Words>
  <Characters>3616</Characters>
  <Lines>0</Lines>
  <Paragraphs>0</Paragraphs>
  <TotalTime>1</TotalTime>
  <ScaleCrop>false</ScaleCrop>
  <LinksUpToDate>false</LinksUpToDate>
  <CharactersWithSpaces>3616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2025-08-21T16:47:00Z</dcterms:created>
  <dc:creator>Lenovo</dc:creator>
  <cp:lastModifiedBy>凪</cp:lastModifiedBy>
  <cp:lastPrinted>2026-01-30T12:53:32Z</cp:lastPrinted>
  <dcterms:modified xsi:type="dcterms:W3CDTF">2026-01-30T13:46:04Z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8A917FA6606073D69C457C69DD93650C_43</vt:lpwstr>
  </property>
  <property fmtid="{D5CDD505-2E9C-101B-9397-08002B2CF9AE}" pid="4" name="KSOTemplateDocerSaveRecord">
    <vt:lpwstr>eyJoZGlkIjoiMzA4ODg3MDBiZTEzYTM4MWU1NGViZDEyYjgyOWVhNWUiLCJ1c2VySWQiOiI5NTY3OTIyNjkifQ==</vt:lpwstr>
  </property>
</Properties>
</file>