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C0844">
      <w:pPr>
        <w:pStyle w:val="3"/>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imes New Roman" w:hAnsi="Times New Roman" w:eastAsia="黑体" w:cs="黑体"/>
          <w:b w:val="0"/>
          <w:bCs w:val="0"/>
          <w:sz w:val="32"/>
          <w:szCs w:val="32"/>
          <w:highlight w:val="none"/>
          <w:lang w:val="en-US" w:eastAsia="zh-CN"/>
        </w:rPr>
      </w:pPr>
      <w:bookmarkStart w:id="0" w:name="_GoBack"/>
      <w:r>
        <w:rPr>
          <w:rFonts w:hint="eastAsia" w:ascii="Times New Roman" w:hAnsi="Times New Roman" w:eastAsia="黑体" w:cs="黑体"/>
          <w:b w:val="0"/>
          <w:bCs w:val="0"/>
          <w:sz w:val="32"/>
          <w:szCs w:val="32"/>
          <w:highlight w:val="none"/>
          <w:lang w:eastAsia="zh-CN"/>
        </w:rPr>
        <w:t>附件</w:t>
      </w:r>
      <w:r>
        <w:rPr>
          <w:rFonts w:hint="eastAsia" w:ascii="Times New Roman" w:hAnsi="Times New Roman" w:eastAsia="黑体" w:cs="黑体"/>
          <w:b w:val="0"/>
          <w:bCs w:val="0"/>
          <w:sz w:val="32"/>
          <w:szCs w:val="32"/>
          <w:highlight w:val="none"/>
          <w:lang w:val="en-US" w:eastAsia="zh-CN"/>
        </w:rPr>
        <w:t>2</w:t>
      </w:r>
    </w:p>
    <w:p w14:paraId="6C19CB4E">
      <w:pPr>
        <w:pStyle w:val="3"/>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eastAsia="方正小标宋_GBK" w:cs="方正小标宋_GBK"/>
          <w:b w:val="0"/>
          <w:bCs w:val="0"/>
          <w:sz w:val="44"/>
          <w:szCs w:val="44"/>
          <w:highlight w:val="none"/>
        </w:rPr>
      </w:pPr>
      <w:r>
        <w:rPr>
          <w:rFonts w:hint="eastAsia" w:ascii="Times New Roman" w:hAnsi="Times New Roman" w:eastAsia="方正小标宋_GBK" w:cs="方正小标宋_GBK"/>
          <w:b w:val="0"/>
          <w:bCs w:val="0"/>
          <w:sz w:val="44"/>
          <w:szCs w:val="44"/>
          <w:highlight w:val="none"/>
          <w:lang w:eastAsia="zh-CN"/>
        </w:rPr>
        <w:t>关于《惠州市支持银发经济发展若干措施（征求意见稿）》的</w:t>
      </w:r>
      <w:r>
        <w:rPr>
          <w:rFonts w:hint="eastAsia" w:ascii="Times New Roman" w:hAnsi="Times New Roman" w:eastAsia="方正小标宋_GBK" w:cs="方正小标宋_GBK"/>
          <w:b w:val="0"/>
          <w:bCs w:val="0"/>
          <w:sz w:val="44"/>
          <w:szCs w:val="44"/>
          <w:highlight w:val="none"/>
        </w:rPr>
        <w:t>说明</w:t>
      </w:r>
    </w:p>
    <w:bookmarkEnd w:id="0"/>
    <w:p w14:paraId="3EFBF0EC">
      <w:pPr>
        <w:pStyle w:val="3"/>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Times New Roman" w:hAnsi="Times New Roman" w:eastAsia="方正小标宋_GBK" w:cs="方正小标宋_GBK"/>
          <w:b w:val="0"/>
          <w:bCs w:val="0"/>
          <w:sz w:val="44"/>
          <w:szCs w:val="44"/>
          <w:highlight w:val="none"/>
        </w:rPr>
      </w:pPr>
    </w:p>
    <w:p w14:paraId="337C73EA">
      <w:pPr>
        <w:pStyle w:val="4"/>
        <w:keepNext w:val="0"/>
        <w:keepLines w:val="0"/>
        <w:pageBreakBefore w:val="0"/>
        <w:widowControl/>
        <w:numPr>
          <w:ilvl w:val="0"/>
          <w:numId w:val="1"/>
        </w:numPr>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黑体" w:cs="黑体"/>
          <w:b w:val="0"/>
          <w:bCs w:val="0"/>
          <w:highlight w:val="none"/>
          <w:lang w:eastAsia="zh-CN"/>
        </w:rPr>
      </w:pPr>
      <w:r>
        <w:rPr>
          <w:rFonts w:hint="eastAsia" w:ascii="Times New Roman" w:hAnsi="Times New Roman" w:eastAsia="黑体" w:cs="黑体"/>
          <w:b w:val="0"/>
          <w:bCs w:val="0"/>
          <w:highlight w:val="none"/>
          <w:lang w:eastAsia="zh-CN"/>
        </w:rPr>
        <w:t>起草背景及过程</w:t>
      </w:r>
    </w:p>
    <w:p w14:paraId="14D928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highlight w:val="none"/>
          <w:shd w:val="clear" w:color="auto" w:fill="FFFFFF"/>
          <w:lang w:val="en-US" w:eastAsia="zh-CN" w:bidi="ar"/>
        </w:rPr>
      </w:pPr>
      <w:r>
        <w:rPr>
          <w:rFonts w:hint="default" w:ascii="Times New Roman" w:hAnsi="Times New Roman" w:eastAsia="仿宋_GB2312" w:cs="Times New Roman"/>
          <w:sz w:val="32"/>
          <w:szCs w:val="40"/>
          <w:highlight w:val="none"/>
          <w:lang w:val="en-US" w:eastAsia="zh-CN"/>
        </w:rPr>
        <w:t>为深入贯彻党中央、国务院关于积极应对人口老龄化战略部署</w:t>
      </w:r>
      <w:r>
        <w:rPr>
          <w:rFonts w:hint="eastAsia" w:ascii="Times New Roman" w:hAnsi="Times New Roman" w:eastAsia="仿宋_GB2312" w:cs="Times New Roman"/>
          <w:sz w:val="32"/>
          <w:szCs w:val="40"/>
          <w:highlight w:val="none"/>
          <w:lang w:val="en-US" w:eastAsia="zh-CN"/>
        </w:rPr>
        <w:t>，认真落实国家和省关于大力发展银发经济的文件精神，根据</w:t>
      </w:r>
      <w:r>
        <w:rPr>
          <w:rFonts w:hint="eastAsia" w:ascii="Times New Roman" w:hAnsi="Times New Roman" w:eastAsia="仿宋_GB2312" w:cs="仿宋_GB2312"/>
          <w:sz w:val="32"/>
          <w:szCs w:val="32"/>
          <w:highlight w:val="none"/>
          <w:lang w:eastAsia="zh-CN"/>
        </w:rPr>
        <w:t>市委十二届十一次全会、市委经济工作会议暨全市“百千万工程”现场会</w:t>
      </w:r>
      <w:r>
        <w:rPr>
          <w:rFonts w:hint="eastAsia" w:eastAsia="仿宋_GB2312" w:cs="仿宋_GB2312"/>
          <w:sz w:val="32"/>
          <w:szCs w:val="32"/>
          <w:highlight w:val="none"/>
          <w:lang w:eastAsia="zh-CN"/>
        </w:rPr>
        <w:t>提出制定出台发展银发经济政策的要求，</w:t>
      </w:r>
      <w:r>
        <w:rPr>
          <w:rFonts w:hint="eastAsia" w:ascii="Times New Roman" w:hAnsi="Times New Roman" w:eastAsia="仿宋_GB2312" w:cs="Times New Roman"/>
          <w:sz w:val="32"/>
          <w:szCs w:val="40"/>
          <w:highlight w:val="none"/>
          <w:lang w:val="en-US" w:eastAsia="zh-CN"/>
        </w:rPr>
        <w:t>进一步促进我市养老产业发展</w:t>
      </w:r>
      <w:r>
        <w:rPr>
          <w:rFonts w:hint="default" w:ascii="Times New Roman" w:hAnsi="Times New Roman" w:eastAsia="仿宋_GB2312" w:cs="Times New Roman"/>
          <w:sz w:val="32"/>
          <w:szCs w:val="40"/>
          <w:highlight w:val="none"/>
          <w:lang w:val="en-US" w:eastAsia="zh-CN"/>
        </w:rPr>
        <w:t>，培育壮大银发经济新增长点</w:t>
      </w:r>
      <w:r>
        <w:rPr>
          <w:rFonts w:hint="eastAsia" w:ascii="Times New Roman" w:hAnsi="Times New Roman" w:eastAsia="仿宋_GB2312" w:cs="仿宋_GB2312"/>
          <w:sz w:val="32"/>
          <w:szCs w:val="40"/>
          <w:highlight w:val="none"/>
          <w:lang w:val="en-US" w:eastAsia="zh-CN"/>
        </w:rPr>
        <w:t>，市民政局牵头起草</w:t>
      </w:r>
      <w:r>
        <w:rPr>
          <w:rFonts w:hint="eastAsia" w:ascii="Times New Roman" w:hAnsi="Times New Roman" w:eastAsia="仿宋_GB2312" w:cs="仿宋_GB2312"/>
          <w:sz w:val="32"/>
          <w:szCs w:val="32"/>
          <w:highlight w:val="none"/>
          <w:lang w:eastAsia="zh-CN"/>
        </w:rPr>
        <w:t>了</w:t>
      </w:r>
      <w:r>
        <w:rPr>
          <w:rFonts w:hint="eastAsia" w:ascii="Times New Roman" w:hAnsi="Times New Roman" w:eastAsia="仿宋_GB2312" w:cs="仿宋_GB2312"/>
          <w:sz w:val="32"/>
          <w:szCs w:val="32"/>
          <w:highlight w:val="none"/>
        </w:rPr>
        <w:t>《惠州市支持银发经济发展若干措施》</w:t>
      </w:r>
      <w:r>
        <w:rPr>
          <w:rFonts w:hint="eastAsia" w:ascii="Times New Roman" w:hAnsi="Times New Roman" w:eastAsia="仿宋_GB2312" w:cs="仿宋_GB2312"/>
          <w:sz w:val="32"/>
          <w:szCs w:val="32"/>
          <w:highlight w:val="none"/>
          <w:lang w:eastAsia="zh-CN"/>
        </w:rPr>
        <w:t>（以下简称《若干措施》）</w:t>
      </w:r>
      <w:r>
        <w:rPr>
          <w:rFonts w:hint="default" w:eastAsia="仿宋_GB2312" w:cs="仿宋_GB2312"/>
          <w:sz w:val="32"/>
          <w:szCs w:val="32"/>
          <w:highlight w:val="none"/>
          <w:lang w:val="en-US" w:eastAsia="zh-CN"/>
        </w:rPr>
        <w:t>。</w:t>
      </w:r>
    </w:p>
    <w:p w14:paraId="5C815B82">
      <w:pPr>
        <w:pStyle w:val="4"/>
        <w:keepNext w:val="0"/>
        <w:keepLines w:val="0"/>
        <w:pageBreakBefore w:val="0"/>
        <w:widowControl/>
        <w:numPr>
          <w:ilvl w:val="0"/>
          <w:numId w:val="1"/>
        </w:numPr>
        <w:kinsoku/>
        <w:wordWrap/>
        <w:overflowPunct/>
        <w:topLinePunct w:val="0"/>
        <w:autoSpaceDE/>
        <w:autoSpaceDN/>
        <w:bidi w:val="0"/>
        <w:adjustRightInd/>
        <w:snapToGrid/>
        <w:spacing w:before="0" w:after="0" w:line="560" w:lineRule="exact"/>
        <w:ind w:left="0" w:leftChars="0" w:firstLine="640" w:firstLineChars="200"/>
        <w:textAlignment w:val="auto"/>
        <w:rPr>
          <w:rFonts w:hint="eastAsia" w:ascii="Times New Roman" w:hAnsi="Times New Roman" w:eastAsia="黑体" w:cs="黑体"/>
          <w:b w:val="0"/>
          <w:bCs w:val="0"/>
          <w:highlight w:val="none"/>
          <w:lang w:eastAsia="zh-CN"/>
        </w:rPr>
      </w:pPr>
      <w:r>
        <w:rPr>
          <w:rFonts w:hint="eastAsia" w:ascii="Times New Roman" w:hAnsi="Times New Roman" w:eastAsia="黑体" w:cs="黑体"/>
          <w:b w:val="0"/>
          <w:bCs w:val="0"/>
          <w:highlight w:val="none"/>
          <w:lang w:eastAsia="zh-CN"/>
        </w:rPr>
        <w:t>主要文件</w:t>
      </w:r>
      <w:r>
        <w:rPr>
          <w:rFonts w:hint="eastAsia" w:ascii="Times New Roman" w:hAnsi="Times New Roman" w:eastAsia="黑体" w:cs="黑体"/>
          <w:b w:val="0"/>
          <w:bCs w:val="0"/>
          <w:highlight w:val="none"/>
          <w:lang w:eastAsia="zh-CN"/>
        </w:rPr>
        <w:t>依据</w:t>
      </w:r>
    </w:p>
    <w:p w14:paraId="1A9FF2E7">
      <w:pPr>
        <w:keepNext w:val="0"/>
        <w:keepLines w:val="0"/>
        <w:pageBreakBefore w:val="0"/>
        <w:kinsoku/>
        <w:wordWrap/>
        <w:topLinePunct w:val="0"/>
        <w:bidi w:val="0"/>
        <w:adjustRightInd/>
        <w:snapToGrid/>
        <w:spacing w:line="560" w:lineRule="exact"/>
        <w:ind w:firstLine="640" w:firstLineChars="200"/>
        <w:textAlignment w:val="auto"/>
        <w:rPr>
          <w:rFonts w:hint="default"/>
          <w:highlight w:val="none"/>
          <w:lang w:val="en-US" w:eastAsia="zh-CN"/>
        </w:rPr>
      </w:pPr>
      <w:r>
        <w:rPr>
          <w:rFonts w:hint="eastAsia" w:eastAsia="仿宋_GB2312" w:cs="仿宋_GB2312"/>
          <w:sz w:val="32"/>
          <w:szCs w:val="32"/>
          <w:highlight w:val="none"/>
          <w:lang w:val="en-US" w:eastAsia="zh-CN"/>
        </w:rPr>
        <w:t>（一）《</w:t>
      </w:r>
      <w:r>
        <w:rPr>
          <w:rFonts w:hint="default" w:eastAsia="仿宋_GB2312" w:cs="仿宋_GB2312"/>
          <w:sz w:val="32"/>
          <w:szCs w:val="32"/>
          <w:highlight w:val="none"/>
          <w:lang w:val="en-US" w:eastAsia="zh-CN"/>
        </w:rPr>
        <w:t>国务院办公厅关于发展银发经济增进老年人福祉的意见</w:t>
      </w:r>
      <w:r>
        <w:rPr>
          <w:rFonts w:hint="eastAsia" w:eastAsia="仿宋_GB2312" w:cs="仿宋_GB2312"/>
          <w:sz w:val="32"/>
          <w:szCs w:val="32"/>
          <w:highlight w:val="none"/>
          <w:lang w:val="en-US" w:eastAsia="zh-CN"/>
        </w:rPr>
        <w:t>》（</w:t>
      </w:r>
      <w:r>
        <w:rPr>
          <w:rFonts w:hint="default" w:eastAsia="仿宋_GB2312" w:cs="仿宋_GB2312"/>
          <w:sz w:val="32"/>
          <w:szCs w:val="32"/>
          <w:highlight w:val="none"/>
          <w:lang w:val="en-US" w:eastAsia="zh-CN"/>
        </w:rPr>
        <w:t>国办发〔2024〕1号</w:t>
      </w:r>
      <w:r>
        <w:rPr>
          <w:rFonts w:hint="eastAsia" w:eastAsia="仿宋_GB2312" w:cs="仿宋_GB2312"/>
          <w:sz w:val="32"/>
          <w:szCs w:val="32"/>
          <w:highlight w:val="none"/>
          <w:lang w:val="en-US" w:eastAsia="zh-CN"/>
        </w:rPr>
        <w:t>）；</w:t>
      </w:r>
    </w:p>
    <w:p w14:paraId="00BBCD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highlight w:val="none"/>
          <w:lang w:val="en-US" w:eastAsia="zh-CN"/>
        </w:rPr>
      </w:pPr>
      <w:r>
        <w:rPr>
          <w:rFonts w:hint="eastAsia" w:eastAsia="仿宋_GB2312" w:cs="仿宋_GB2312"/>
          <w:sz w:val="32"/>
          <w:szCs w:val="32"/>
          <w:highlight w:val="none"/>
          <w:lang w:val="en-US" w:eastAsia="zh-CN"/>
        </w:rPr>
        <w:t>（二）《协议出让国有土地使用权规定》（中华人民共和国国土资源部令 第21号）；</w:t>
      </w:r>
    </w:p>
    <w:p w14:paraId="2328EB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s="仿宋_GB2312"/>
          <w:sz w:val="32"/>
          <w:szCs w:val="32"/>
          <w:highlight w:val="none"/>
          <w:lang w:val="en-US" w:eastAsia="zh-CN"/>
        </w:rPr>
      </w:pPr>
      <w:r>
        <w:rPr>
          <w:rFonts w:hint="eastAsia" w:eastAsia="仿宋_GB2312" w:cs="仿宋_GB2312"/>
          <w:sz w:val="32"/>
          <w:szCs w:val="32"/>
          <w:highlight w:val="none"/>
          <w:lang w:val="en-US" w:eastAsia="zh-CN"/>
        </w:rPr>
        <w:t>（三）《</w:t>
      </w:r>
      <w:r>
        <w:rPr>
          <w:rFonts w:hint="default" w:eastAsia="仿宋_GB2312" w:cs="仿宋_GB2312"/>
          <w:sz w:val="32"/>
          <w:szCs w:val="32"/>
          <w:highlight w:val="none"/>
          <w:lang w:val="en-US" w:eastAsia="zh-CN"/>
        </w:rPr>
        <w:t>关于印发</w:t>
      </w:r>
      <w:r>
        <w:rPr>
          <w:rFonts w:hint="eastAsia" w:ascii="方正仿宋_GBK" w:hAnsi="方正仿宋_GBK" w:eastAsia="方正仿宋_GBK" w:cs="方正仿宋_GBK"/>
          <w:color w:val="auto"/>
          <w:sz w:val="32"/>
          <w:szCs w:val="32"/>
          <w:highlight w:val="none"/>
          <w:lang w:val="en-US" w:eastAsia="zh-CN"/>
        </w:rPr>
        <w:t>&lt;</w:t>
      </w:r>
      <w:r>
        <w:rPr>
          <w:rFonts w:hint="default" w:eastAsia="仿宋_GB2312" w:cs="仿宋_GB2312"/>
          <w:sz w:val="32"/>
          <w:szCs w:val="32"/>
          <w:highlight w:val="none"/>
          <w:lang w:val="en-US" w:eastAsia="zh-CN"/>
        </w:rPr>
        <w:t>关于进一步促进养老服务消费 提升老年人生活品质的若干措施</w:t>
      </w:r>
      <w:r>
        <w:rPr>
          <w:rFonts w:hint="eastAsia" w:ascii="方正仿宋_GBK" w:hAnsi="方正仿宋_GBK" w:eastAsia="方正仿宋_GBK" w:cs="方正仿宋_GBK"/>
          <w:color w:val="auto"/>
          <w:sz w:val="32"/>
          <w:szCs w:val="32"/>
          <w:highlight w:val="none"/>
          <w:lang w:val="en-US" w:eastAsia="zh-CN"/>
        </w:rPr>
        <w:t>&gt;</w:t>
      </w:r>
      <w:r>
        <w:rPr>
          <w:rFonts w:hint="default" w:eastAsia="仿宋_GB2312" w:cs="仿宋_GB2312"/>
          <w:sz w:val="32"/>
          <w:szCs w:val="32"/>
          <w:highlight w:val="none"/>
          <w:lang w:val="en-US" w:eastAsia="zh-CN"/>
        </w:rPr>
        <w:t>的通知</w:t>
      </w:r>
      <w:r>
        <w:rPr>
          <w:rFonts w:hint="eastAsia" w:eastAsia="仿宋_GB2312" w:cs="仿宋_GB2312"/>
          <w:sz w:val="32"/>
          <w:szCs w:val="32"/>
          <w:highlight w:val="none"/>
          <w:lang w:val="en-US" w:eastAsia="zh-CN"/>
        </w:rPr>
        <w:t>》（</w:t>
      </w:r>
      <w:r>
        <w:rPr>
          <w:rFonts w:hint="default" w:eastAsia="仿宋_GB2312" w:cs="仿宋_GB2312"/>
          <w:sz w:val="32"/>
          <w:szCs w:val="32"/>
          <w:highlight w:val="none"/>
          <w:lang w:val="en-US" w:eastAsia="zh-CN"/>
        </w:rPr>
        <w:t>民发〔2024〕52号</w:t>
      </w:r>
      <w:r>
        <w:rPr>
          <w:rFonts w:hint="eastAsia" w:eastAsia="仿宋_GB2312" w:cs="仿宋_GB2312"/>
          <w:sz w:val="32"/>
          <w:szCs w:val="32"/>
          <w:highlight w:val="none"/>
          <w:lang w:val="en-US" w:eastAsia="zh-CN"/>
        </w:rPr>
        <w:t>）；</w:t>
      </w:r>
    </w:p>
    <w:p w14:paraId="5E84B987">
      <w:pPr>
        <w:keepNext w:val="0"/>
        <w:keepLines w:val="0"/>
        <w:pageBreakBefore w:val="0"/>
        <w:kinsoku/>
        <w:wordWrap/>
        <w:topLinePunct w:val="0"/>
        <w:bidi w:val="0"/>
        <w:adjustRightInd/>
        <w:snapToGrid/>
        <w:spacing w:line="560" w:lineRule="exact"/>
        <w:ind w:firstLine="640" w:firstLineChars="200"/>
        <w:textAlignment w:val="auto"/>
        <w:rPr>
          <w:rFonts w:hint="eastAsia" w:eastAsia="仿宋_GB2312" w:cs="仿宋_GB2312"/>
          <w:sz w:val="32"/>
          <w:szCs w:val="32"/>
          <w:highlight w:val="none"/>
          <w:lang w:val="en-US" w:eastAsia="zh-CN"/>
        </w:rPr>
      </w:pPr>
      <w:r>
        <w:rPr>
          <w:rFonts w:hint="eastAsia" w:eastAsia="仿宋_GB2312" w:cs="仿宋_GB2312"/>
          <w:sz w:val="32"/>
          <w:szCs w:val="32"/>
          <w:highlight w:val="none"/>
          <w:lang w:val="en-US" w:eastAsia="zh-CN"/>
        </w:rPr>
        <w:t>（四）《关于印发</w:t>
      </w:r>
      <w:r>
        <w:rPr>
          <w:rFonts w:hint="eastAsia" w:ascii="方正仿宋_GBK" w:hAnsi="方正仿宋_GBK" w:eastAsia="方正仿宋_GBK" w:cs="方正仿宋_GBK"/>
          <w:color w:val="auto"/>
          <w:sz w:val="32"/>
          <w:szCs w:val="32"/>
          <w:highlight w:val="none"/>
          <w:lang w:val="en-US" w:eastAsia="zh-CN"/>
        </w:rPr>
        <w:t>&lt;</w:t>
      </w:r>
      <w:r>
        <w:rPr>
          <w:rFonts w:hint="eastAsia" w:eastAsia="仿宋_GB2312" w:cs="仿宋_GB2312"/>
          <w:sz w:val="32"/>
          <w:szCs w:val="32"/>
          <w:highlight w:val="none"/>
          <w:lang w:val="en-US" w:eastAsia="zh-CN"/>
        </w:rPr>
        <w:t>中央集中彩票公益金支持社会福利事业资金管理办法</w:t>
      </w:r>
      <w:r>
        <w:rPr>
          <w:rFonts w:hint="eastAsia" w:ascii="方正仿宋_GBK" w:hAnsi="方正仿宋_GBK" w:eastAsia="方正仿宋_GBK" w:cs="方正仿宋_GBK"/>
          <w:color w:val="auto"/>
          <w:sz w:val="32"/>
          <w:szCs w:val="32"/>
          <w:highlight w:val="none"/>
          <w:lang w:val="en-US" w:eastAsia="zh-CN"/>
        </w:rPr>
        <w:t>&gt;</w:t>
      </w:r>
      <w:r>
        <w:rPr>
          <w:rFonts w:hint="eastAsia" w:eastAsia="仿宋_GB2312" w:cs="仿宋_GB2312"/>
          <w:sz w:val="32"/>
          <w:szCs w:val="32"/>
          <w:highlight w:val="none"/>
          <w:lang w:val="en-US" w:eastAsia="zh-CN"/>
        </w:rPr>
        <w:t>的通知》（财社〔2024〕55号）；</w:t>
      </w:r>
    </w:p>
    <w:p w14:paraId="0985E4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highlight w:val="none"/>
          <w:lang w:val="en-US" w:eastAsia="zh-CN"/>
        </w:rPr>
      </w:pPr>
      <w:r>
        <w:rPr>
          <w:rFonts w:hint="eastAsia" w:eastAsia="仿宋_GB2312" w:cs="仿宋_GB2312"/>
          <w:sz w:val="32"/>
          <w:szCs w:val="32"/>
          <w:highlight w:val="none"/>
          <w:lang w:val="en-US" w:eastAsia="zh-CN"/>
        </w:rPr>
        <w:t>（五）《国家发展改革委 国家能源局关于深化提升“获得电力”服务水平 全面打造现代化用电营商环境的意见》（发改能源规〔2025〕624号）；</w:t>
      </w:r>
    </w:p>
    <w:p w14:paraId="2A6303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highlight w:val="none"/>
          <w:lang w:val="en-US" w:eastAsia="zh-CN"/>
        </w:rPr>
      </w:pPr>
      <w:r>
        <w:rPr>
          <w:rFonts w:hint="eastAsia" w:eastAsia="仿宋_GB2312" w:cs="仿宋_GB2312"/>
          <w:sz w:val="32"/>
          <w:szCs w:val="32"/>
          <w:highlight w:val="none"/>
          <w:lang w:val="en-US" w:eastAsia="zh-CN"/>
        </w:rPr>
        <w:t>（六）《广东省养老服务条例》；</w:t>
      </w:r>
    </w:p>
    <w:p w14:paraId="0A7A68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highlight w:val="none"/>
          <w:lang w:val="en-US" w:eastAsia="zh-CN"/>
        </w:rPr>
      </w:pPr>
      <w:r>
        <w:rPr>
          <w:rFonts w:hint="eastAsia" w:eastAsia="仿宋_GB2312" w:cs="仿宋_GB2312"/>
          <w:sz w:val="32"/>
          <w:szCs w:val="32"/>
          <w:highlight w:val="none"/>
          <w:lang w:val="en-US" w:eastAsia="zh-CN"/>
        </w:rPr>
        <w:t>（七）《</w:t>
      </w:r>
      <w:r>
        <w:rPr>
          <w:rFonts w:hint="default" w:eastAsia="仿宋_GB2312" w:cs="仿宋_GB2312"/>
          <w:sz w:val="32"/>
          <w:szCs w:val="32"/>
          <w:highlight w:val="none"/>
          <w:lang w:val="en-US" w:eastAsia="zh-CN"/>
        </w:rPr>
        <w:t>广东省人民政府办公厅关于印发</w:t>
      </w:r>
      <w:r>
        <w:rPr>
          <w:rFonts w:hint="eastAsia" w:ascii="方正仿宋_GBK" w:hAnsi="方正仿宋_GBK" w:eastAsia="方正仿宋_GBK" w:cs="方正仿宋_GBK"/>
          <w:color w:val="auto"/>
          <w:sz w:val="32"/>
          <w:szCs w:val="32"/>
          <w:highlight w:val="none"/>
          <w:lang w:val="en-US" w:eastAsia="zh-CN"/>
        </w:rPr>
        <w:t>&lt;</w:t>
      </w:r>
      <w:r>
        <w:rPr>
          <w:rFonts w:hint="default" w:eastAsia="仿宋_GB2312" w:cs="仿宋_GB2312"/>
          <w:sz w:val="32"/>
          <w:szCs w:val="32"/>
          <w:highlight w:val="none"/>
          <w:lang w:val="en-US" w:eastAsia="zh-CN"/>
        </w:rPr>
        <w:t>广东省促进银发经济高质量发展增进老年人福祉实施方案</w:t>
      </w:r>
      <w:r>
        <w:rPr>
          <w:rFonts w:hint="eastAsia" w:ascii="方正仿宋_GBK" w:hAnsi="方正仿宋_GBK" w:eastAsia="方正仿宋_GBK" w:cs="方正仿宋_GBK"/>
          <w:color w:val="auto"/>
          <w:sz w:val="32"/>
          <w:szCs w:val="32"/>
          <w:highlight w:val="none"/>
          <w:lang w:val="en-US" w:eastAsia="zh-CN"/>
        </w:rPr>
        <w:t>&gt;</w:t>
      </w:r>
      <w:r>
        <w:rPr>
          <w:rFonts w:hint="default" w:eastAsia="仿宋_GB2312" w:cs="仿宋_GB2312"/>
          <w:sz w:val="32"/>
          <w:szCs w:val="32"/>
          <w:highlight w:val="none"/>
          <w:lang w:val="en-US" w:eastAsia="zh-CN"/>
        </w:rPr>
        <w:t>的通知</w:t>
      </w:r>
      <w:r>
        <w:rPr>
          <w:rFonts w:hint="eastAsia" w:eastAsia="仿宋_GB2312" w:cs="仿宋_GB2312"/>
          <w:sz w:val="32"/>
          <w:szCs w:val="32"/>
          <w:highlight w:val="none"/>
          <w:lang w:val="en-US" w:eastAsia="zh-CN"/>
        </w:rPr>
        <w:t>》（粤府办</w:t>
      </w:r>
      <w:r>
        <w:rPr>
          <w:rFonts w:hint="default" w:eastAsia="仿宋_GB2312" w:cs="仿宋_GB2312"/>
          <w:sz w:val="32"/>
          <w:szCs w:val="32"/>
          <w:highlight w:val="none"/>
          <w:lang w:val="en-US" w:eastAsia="zh-CN"/>
        </w:rPr>
        <w:t>〔202</w:t>
      </w:r>
      <w:r>
        <w:rPr>
          <w:rFonts w:hint="eastAsia" w:eastAsia="仿宋_GB2312" w:cs="仿宋_GB2312"/>
          <w:sz w:val="32"/>
          <w:szCs w:val="32"/>
          <w:highlight w:val="none"/>
          <w:lang w:val="en-US" w:eastAsia="zh-CN"/>
        </w:rPr>
        <w:t>5</w:t>
      </w:r>
      <w:r>
        <w:rPr>
          <w:rFonts w:hint="default" w:eastAsia="仿宋_GB2312" w:cs="仿宋_GB2312"/>
          <w:sz w:val="32"/>
          <w:szCs w:val="32"/>
          <w:highlight w:val="none"/>
          <w:lang w:val="en-US" w:eastAsia="zh-CN"/>
        </w:rPr>
        <w:t>〕</w:t>
      </w:r>
      <w:r>
        <w:rPr>
          <w:rFonts w:hint="eastAsia" w:eastAsia="仿宋_GB2312" w:cs="仿宋_GB2312"/>
          <w:sz w:val="32"/>
          <w:szCs w:val="32"/>
          <w:highlight w:val="none"/>
          <w:lang w:val="en-US" w:eastAsia="zh-CN"/>
        </w:rPr>
        <w:t>4</w:t>
      </w:r>
      <w:r>
        <w:rPr>
          <w:rFonts w:hint="default" w:eastAsia="仿宋_GB2312" w:cs="仿宋_GB2312"/>
          <w:sz w:val="32"/>
          <w:szCs w:val="32"/>
          <w:highlight w:val="none"/>
          <w:lang w:val="en-US" w:eastAsia="zh-CN"/>
        </w:rPr>
        <w:t>号</w:t>
      </w:r>
      <w:r>
        <w:rPr>
          <w:rFonts w:hint="eastAsia" w:eastAsia="仿宋_GB2312" w:cs="仿宋_GB2312"/>
          <w:sz w:val="32"/>
          <w:szCs w:val="32"/>
          <w:highlight w:val="none"/>
          <w:lang w:val="en-US" w:eastAsia="zh-CN"/>
        </w:rPr>
        <w:t>）；</w:t>
      </w:r>
    </w:p>
    <w:p w14:paraId="785088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highlight w:val="none"/>
          <w:lang w:val="en-US" w:eastAsia="zh-CN"/>
        </w:rPr>
      </w:pPr>
      <w:r>
        <w:rPr>
          <w:rFonts w:hint="eastAsia" w:eastAsia="仿宋_GB2312" w:cs="仿宋_GB2312"/>
          <w:sz w:val="32"/>
          <w:szCs w:val="32"/>
          <w:highlight w:val="none"/>
          <w:lang w:val="en-US" w:eastAsia="zh-CN"/>
        </w:rPr>
        <w:t>（八）《惠州市人民政府关于印发</w:t>
      </w:r>
      <w:r>
        <w:rPr>
          <w:rFonts w:hint="eastAsia" w:ascii="方正仿宋_GBK" w:hAnsi="方正仿宋_GBK" w:eastAsia="方正仿宋_GBK" w:cs="方正仿宋_GBK"/>
          <w:color w:val="auto"/>
          <w:sz w:val="32"/>
          <w:szCs w:val="32"/>
          <w:highlight w:val="none"/>
          <w:lang w:val="en-US" w:eastAsia="zh-CN"/>
        </w:rPr>
        <w:t>&lt;</w:t>
      </w:r>
      <w:r>
        <w:rPr>
          <w:rFonts w:hint="eastAsia" w:eastAsia="仿宋_GB2312" w:cs="仿宋_GB2312"/>
          <w:sz w:val="32"/>
          <w:szCs w:val="32"/>
          <w:highlight w:val="none"/>
          <w:lang w:val="en-US" w:eastAsia="zh-CN"/>
        </w:rPr>
        <w:t>惠州市推进制造业高质量发展若干措施</w:t>
      </w:r>
      <w:r>
        <w:rPr>
          <w:rFonts w:hint="eastAsia" w:ascii="方正仿宋_GBK" w:hAnsi="方正仿宋_GBK" w:eastAsia="方正仿宋_GBK" w:cs="方正仿宋_GBK"/>
          <w:color w:val="auto"/>
          <w:sz w:val="32"/>
          <w:szCs w:val="32"/>
          <w:highlight w:val="none"/>
          <w:lang w:val="en-US" w:eastAsia="zh-CN"/>
        </w:rPr>
        <w:t>&gt;</w:t>
      </w:r>
      <w:r>
        <w:rPr>
          <w:rFonts w:hint="eastAsia" w:eastAsia="仿宋_GB2312" w:cs="仿宋_GB2312"/>
          <w:sz w:val="32"/>
          <w:szCs w:val="32"/>
          <w:highlight w:val="none"/>
          <w:lang w:val="en-US" w:eastAsia="zh-CN"/>
        </w:rPr>
        <w:t>的通知》（惠府〔2025〕8号）；</w:t>
      </w:r>
    </w:p>
    <w:p w14:paraId="4B3696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highlight w:val="none"/>
          <w:lang w:val="en-US" w:eastAsia="zh-CN"/>
        </w:rPr>
      </w:pPr>
      <w:r>
        <w:rPr>
          <w:rFonts w:hint="eastAsia" w:eastAsia="仿宋_GB2312" w:cs="仿宋_GB2312"/>
          <w:sz w:val="32"/>
          <w:szCs w:val="32"/>
          <w:highlight w:val="none"/>
          <w:lang w:val="en-US" w:eastAsia="zh-CN"/>
        </w:rPr>
        <w:t>（九）《关于印发</w:t>
      </w:r>
      <w:r>
        <w:rPr>
          <w:rFonts w:hint="eastAsia" w:ascii="方正仿宋_GBK" w:hAnsi="方正仿宋_GBK" w:eastAsia="方正仿宋_GBK" w:cs="方正仿宋_GBK"/>
          <w:color w:val="auto"/>
          <w:sz w:val="32"/>
          <w:szCs w:val="32"/>
          <w:highlight w:val="none"/>
          <w:lang w:val="en-US" w:eastAsia="zh-CN"/>
        </w:rPr>
        <w:t>&lt;</w:t>
      </w:r>
      <w:r>
        <w:rPr>
          <w:rFonts w:hint="eastAsia" w:eastAsia="仿宋_GB2312" w:cs="仿宋_GB2312"/>
          <w:sz w:val="32"/>
          <w:szCs w:val="32"/>
          <w:highlight w:val="none"/>
          <w:lang w:val="en-US" w:eastAsia="zh-CN"/>
        </w:rPr>
        <w:t>惠州打造粤港澳大湾区科技成果转移转化首选地的若干措施</w:t>
      </w:r>
      <w:r>
        <w:rPr>
          <w:rFonts w:hint="eastAsia" w:ascii="方正仿宋_GBK" w:hAnsi="方正仿宋_GBK" w:eastAsia="方正仿宋_GBK" w:cs="方正仿宋_GBK"/>
          <w:color w:val="auto"/>
          <w:sz w:val="32"/>
          <w:szCs w:val="32"/>
          <w:highlight w:val="none"/>
          <w:lang w:val="en-US" w:eastAsia="zh-CN"/>
        </w:rPr>
        <w:t>&gt;</w:t>
      </w:r>
      <w:r>
        <w:rPr>
          <w:rFonts w:hint="eastAsia" w:eastAsia="仿宋_GB2312" w:cs="仿宋_GB2312"/>
          <w:sz w:val="32"/>
          <w:szCs w:val="32"/>
          <w:highlight w:val="none"/>
          <w:lang w:val="en-US" w:eastAsia="zh-CN"/>
        </w:rPr>
        <w:t>的通知》（惠市科字〔2024〕18号）</w:t>
      </w:r>
    </w:p>
    <w:p w14:paraId="791B0C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r>
        <w:rPr>
          <w:rFonts w:hint="eastAsia" w:eastAsia="仿宋_GB2312" w:cs="仿宋_GB2312"/>
          <w:sz w:val="32"/>
          <w:szCs w:val="32"/>
          <w:highlight w:val="none"/>
          <w:lang w:val="en-US" w:eastAsia="zh-CN"/>
        </w:rPr>
        <w:t>（十）《惠州市科学技术局关于印发</w:t>
      </w:r>
      <w:r>
        <w:rPr>
          <w:rFonts w:hint="eastAsia" w:ascii="方正仿宋_GBK" w:hAnsi="方正仿宋_GBK" w:eastAsia="方正仿宋_GBK" w:cs="方正仿宋_GBK"/>
          <w:color w:val="auto"/>
          <w:sz w:val="32"/>
          <w:szCs w:val="32"/>
          <w:highlight w:val="none"/>
          <w:lang w:val="en-US" w:eastAsia="zh-CN"/>
        </w:rPr>
        <w:t>&lt;</w:t>
      </w:r>
      <w:r>
        <w:rPr>
          <w:rFonts w:hint="eastAsia" w:eastAsia="仿宋_GB2312" w:cs="仿宋_GB2312"/>
          <w:sz w:val="32"/>
          <w:szCs w:val="32"/>
          <w:highlight w:val="none"/>
          <w:lang w:val="en-US" w:eastAsia="zh-CN"/>
        </w:rPr>
        <w:t>惠州市新型研发机构管理办法</w:t>
      </w:r>
      <w:r>
        <w:rPr>
          <w:rFonts w:hint="eastAsia" w:ascii="方正仿宋_GBK" w:hAnsi="方正仿宋_GBK" w:eastAsia="方正仿宋_GBK" w:cs="方正仿宋_GBK"/>
          <w:color w:val="auto"/>
          <w:sz w:val="32"/>
          <w:szCs w:val="32"/>
          <w:highlight w:val="none"/>
          <w:lang w:val="en-US" w:eastAsia="zh-CN"/>
        </w:rPr>
        <w:t>&gt;</w:t>
      </w:r>
      <w:r>
        <w:rPr>
          <w:rFonts w:hint="eastAsia" w:eastAsia="仿宋_GB2312" w:cs="仿宋_GB2312"/>
          <w:sz w:val="32"/>
          <w:szCs w:val="32"/>
          <w:highlight w:val="none"/>
          <w:lang w:val="en-US" w:eastAsia="zh-CN"/>
        </w:rPr>
        <w:t>的通知》（惠市科字〔2024〕25号）；</w:t>
      </w:r>
    </w:p>
    <w:p w14:paraId="4C57BE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sz w:val="32"/>
          <w:szCs w:val="32"/>
          <w:highlight w:val="none"/>
          <w:lang w:val="en-US" w:eastAsia="zh-CN"/>
        </w:rPr>
      </w:pPr>
      <w:r>
        <w:rPr>
          <w:rFonts w:hint="eastAsia" w:eastAsia="仿宋_GB2312" w:cs="仿宋_GB2312"/>
          <w:sz w:val="32"/>
          <w:szCs w:val="32"/>
          <w:highlight w:val="none"/>
          <w:lang w:val="en-US" w:eastAsia="zh-CN"/>
        </w:rPr>
        <w:t>（十一）《惠州市市场监督管理局（惠州市知识产权局）关于印发</w:t>
      </w:r>
      <w:r>
        <w:rPr>
          <w:rFonts w:hint="eastAsia" w:ascii="方正仿宋_GBK" w:hAnsi="方正仿宋_GBK" w:eastAsia="方正仿宋_GBK" w:cs="方正仿宋_GBK"/>
          <w:color w:val="auto"/>
          <w:sz w:val="32"/>
          <w:szCs w:val="32"/>
          <w:highlight w:val="none"/>
          <w:lang w:val="en-US" w:eastAsia="zh-CN"/>
        </w:rPr>
        <w:t>&lt;</w:t>
      </w:r>
      <w:r>
        <w:rPr>
          <w:rFonts w:hint="eastAsia" w:eastAsia="仿宋_GB2312" w:cs="仿宋_GB2312"/>
          <w:sz w:val="32"/>
          <w:szCs w:val="32"/>
          <w:highlight w:val="none"/>
          <w:lang w:val="en-US" w:eastAsia="zh-CN"/>
        </w:rPr>
        <w:t>惠州市关于促进知识产权高质量发展若干措施</w:t>
      </w:r>
      <w:r>
        <w:rPr>
          <w:rFonts w:hint="eastAsia" w:ascii="方正仿宋_GBK" w:hAnsi="方正仿宋_GBK" w:eastAsia="方正仿宋_GBK" w:cs="方正仿宋_GBK"/>
          <w:color w:val="auto"/>
          <w:sz w:val="32"/>
          <w:szCs w:val="32"/>
          <w:highlight w:val="none"/>
          <w:lang w:val="en-US" w:eastAsia="zh-CN"/>
        </w:rPr>
        <w:t>&gt;</w:t>
      </w:r>
      <w:r>
        <w:rPr>
          <w:rFonts w:hint="eastAsia" w:eastAsia="仿宋_GB2312" w:cs="仿宋_GB2312"/>
          <w:sz w:val="32"/>
          <w:szCs w:val="32"/>
          <w:highlight w:val="none"/>
          <w:lang w:val="en-US" w:eastAsia="zh-CN"/>
        </w:rPr>
        <w:t>的通知》。</w:t>
      </w:r>
    </w:p>
    <w:p w14:paraId="49BFFC75">
      <w:pPr>
        <w:pStyle w:val="4"/>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黑体" w:cs="黑体"/>
          <w:b w:val="0"/>
          <w:bCs w:val="0"/>
          <w:highlight w:val="none"/>
        </w:rPr>
      </w:pPr>
      <w:r>
        <w:rPr>
          <w:rFonts w:hint="eastAsia" w:ascii="Times New Roman" w:hAnsi="Times New Roman" w:eastAsia="黑体" w:cs="黑体"/>
          <w:b w:val="0"/>
          <w:bCs w:val="0"/>
          <w:highlight w:val="none"/>
          <w:lang w:eastAsia="zh-CN"/>
        </w:rPr>
        <w:t>三、主要内容</w:t>
      </w:r>
    </w:p>
    <w:p w14:paraId="133C5B0A">
      <w:pPr>
        <w:pStyle w:val="22"/>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文件聚焦养老服务业发展、银发经济主体培育、老年产品用品研发制造、科技创新等十个重点领域，从资金奖补、土地供应、税收优惠、金融信贷、知识产权保护、人才服务等方面，系统多维提出支持措施。</w:t>
      </w:r>
    </w:p>
    <w:p w14:paraId="2938801F">
      <w:pPr>
        <w:pStyle w:val="22"/>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楷体_GB2312" w:cs="楷体_GB2312"/>
          <w:sz w:val="32"/>
          <w:szCs w:val="32"/>
          <w:highlight w:val="none"/>
          <w:lang w:eastAsia="zh-CN"/>
        </w:rPr>
        <w:t>（一）完善养老服务网络。</w:t>
      </w:r>
      <w:r>
        <w:rPr>
          <w:rFonts w:hint="eastAsia" w:ascii="Times New Roman" w:hAnsi="Times New Roman" w:eastAsia="仿宋_GB2312" w:cs="仿宋_GB2312"/>
          <w:sz w:val="32"/>
          <w:szCs w:val="32"/>
          <w:highlight w:val="none"/>
          <w:lang w:eastAsia="zh-CN"/>
        </w:rPr>
        <w:t>建设县级综合养老服务管理平台，强化乡镇（街道）区域养老服务中心“专业照护、服务转介”功能，以“一中心多站点”模式发展嵌入式、互助性村（社区）养老设施；落实住宅区养老服务设施配建标准，将老年助餐服务优惠扩展至外市户籍在惠常住老年人，推动养老服务与长期护理保险衔接，养老机构用水、用电、用气按居民生活类价格执行，彩票公益金不低于55%比例用于老年人福利类项目。</w:t>
      </w:r>
    </w:p>
    <w:p w14:paraId="6C4AF26F">
      <w:pPr>
        <w:pStyle w:val="22"/>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楷体_GB2312" w:cs="楷体_GB2312"/>
          <w:sz w:val="32"/>
          <w:szCs w:val="32"/>
          <w:highlight w:val="none"/>
          <w:lang w:eastAsia="zh-CN"/>
        </w:rPr>
        <w:t>（二）培育银发经营主体。</w:t>
      </w:r>
      <w:r>
        <w:rPr>
          <w:rFonts w:hint="eastAsia" w:ascii="Times New Roman" w:hAnsi="Times New Roman" w:eastAsia="仿宋_GB2312" w:cs="仿宋_GB2312"/>
          <w:sz w:val="32"/>
          <w:szCs w:val="32"/>
          <w:highlight w:val="none"/>
          <w:lang w:eastAsia="zh-CN"/>
        </w:rPr>
        <w:t>对市内首次“新升规”银发企业、新投产即上规企业给予分级奖励，对首次“新升规”当年产值超1亿元且次年工业增加值正增长的企业额外奖励；鼓励国有企业拓展银发业务、搭建产业平台，其承担普惠性公益性养老服务对经营业绩的不利影响，可在业绩考核中统筹考虑。</w:t>
      </w:r>
    </w:p>
    <w:p w14:paraId="77C1189C">
      <w:pPr>
        <w:pStyle w:val="22"/>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楷体_GB2312" w:cs="楷体_GB2312"/>
          <w:sz w:val="32"/>
          <w:szCs w:val="32"/>
          <w:highlight w:val="none"/>
          <w:lang w:eastAsia="zh-CN"/>
        </w:rPr>
        <w:t>（三）支持老年产品研发制造。</w:t>
      </w:r>
      <w:r>
        <w:rPr>
          <w:rFonts w:hint="eastAsia" w:ascii="Times New Roman" w:hAnsi="Times New Roman" w:eastAsia="仿宋_GB2312" w:cs="仿宋_GB2312"/>
          <w:sz w:val="32"/>
          <w:szCs w:val="32"/>
          <w:highlight w:val="none"/>
          <w:lang w:eastAsia="zh-CN"/>
        </w:rPr>
        <w:t>引导企业研发智能养老机器人、康复辅具、抗衰老产品等老年用品；对获评国家级、省级专精特新企业、智能制造试点示范等称号的企业，以及国家级、省级工业设计中心、工业设计赛事获奖作品给予分级奖励；支持企业申报国家级老年用品推广目录及智慧健康养老相关试点示范。</w:t>
      </w:r>
    </w:p>
    <w:p w14:paraId="33BB96CC">
      <w:pPr>
        <w:pStyle w:val="22"/>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楷体_GB2312" w:cs="楷体_GB2312"/>
          <w:sz w:val="32"/>
          <w:szCs w:val="32"/>
          <w:highlight w:val="none"/>
          <w:lang w:eastAsia="zh-CN"/>
        </w:rPr>
        <w:t>（四）强化科技创新支撑。</w:t>
      </w:r>
      <w:r>
        <w:rPr>
          <w:rFonts w:hint="eastAsia" w:ascii="Times New Roman" w:hAnsi="Times New Roman" w:eastAsia="仿宋_GB2312" w:cs="仿宋_GB2312"/>
          <w:sz w:val="32"/>
          <w:szCs w:val="32"/>
          <w:highlight w:val="none"/>
          <w:lang w:eastAsia="zh-CN"/>
        </w:rPr>
        <w:t>对通过认定的省级新型研发机构给予一次性奖励，实施综合评价后补助政策；对竞争性重大研发项目、重点研发项目给予资助，对符合条件的示范应用场景项目给予订单补助；对科技奖获奖单位、制造业创新中心给予分级奖励。</w:t>
      </w:r>
    </w:p>
    <w:p w14:paraId="0858969B">
      <w:pPr>
        <w:pStyle w:val="22"/>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楷体_GB2312" w:cs="楷体_GB2312"/>
          <w:sz w:val="32"/>
          <w:szCs w:val="32"/>
          <w:highlight w:val="none"/>
          <w:lang w:eastAsia="zh-CN"/>
        </w:rPr>
        <w:t>（五）发展养老金融服务。</w:t>
      </w:r>
      <w:r>
        <w:rPr>
          <w:rFonts w:hint="eastAsia" w:ascii="Times New Roman" w:hAnsi="Times New Roman" w:eastAsia="仿宋_GB2312" w:cs="仿宋_GB2312"/>
          <w:sz w:val="32"/>
          <w:szCs w:val="32"/>
          <w:highlight w:val="none"/>
          <w:lang w:eastAsia="zh-CN"/>
        </w:rPr>
        <w:t>支持开发粤港澳大湾区跨境养老金融产品，鼓励市属国企发起银发经济产业投资基金；加大对银发经济企业信贷支持，开展知识产权质押融资贴息资助，为银发小微企业开启融资“绿色审批通道”，提供无还本续贷等到期接续支持。</w:t>
      </w:r>
    </w:p>
    <w:p w14:paraId="7CEF4FBE">
      <w:pPr>
        <w:pStyle w:val="22"/>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楷体_GB2312" w:cs="楷体_GB2312"/>
          <w:sz w:val="32"/>
          <w:szCs w:val="32"/>
          <w:highlight w:val="none"/>
          <w:lang w:eastAsia="zh-CN"/>
        </w:rPr>
        <w:t>（六）促进银发消费升级。</w:t>
      </w:r>
      <w:r>
        <w:rPr>
          <w:rFonts w:hint="eastAsia" w:ascii="Times New Roman" w:hAnsi="Times New Roman" w:eastAsia="仿宋_GB2312" w:cs="仿宋_GB2312"/>
          <w:sz w:val="32"/>
          <w:szCs w:val="32"/>
          <w:highlight w:val="none"/>
          <w:lang w:eastAsia="zh-CN"/>
        </w:rPr>
        <w:t>支持建设兼具多元功能的适老化产品体验销售店，扩大居家适老化改造补贴品类；推动养老与多业态融合发展，鼓励设立银发消费专区、发放养老服务消费券，支持企业参加国内外重点展会，激活老年消费需求。</w:t>
      </w:r>
    </w:p>
    <w:p w14:paraId="7BB99646">
      <w:pPr>
        <w:pStyle w:val="22"/>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楷体_GB2312" w:cs="楷体_GB2312"/>
          <w:sz w:val="32"/>
          <w:szCs w:val="32"/>
          <w:highlight w:val="none"/>
          <w:lang w:eastAsia="zh-CN"/>
        </w:rPr>
        <w:t>（七）推进标准化与知识产权保护。</w:t>
      </w:r>
      <w:r>
        <w:rPr>
          <w:rFonts w:hint="eastAsia" w:ascii="Times New Roman" w:hAnsi="Times New Roman" w:eastAsia="仿宋_GB2312" w:cs="仿宋_GB2312"/>
          <w:sz w:val="32"/>
          <w:szCs w:val="32"/>
          <w:highlight w:val="none"/>
          <w:lang w:eastAsia="zh-CN"/>
        </w:rPr>
        <w:t>对获评中国驰名商标、纳入广东省重点商标保护名录的主体给予扶持，强化银发经济领域标准化建设与知识产权保护。</w:t>
      </w:r>
    </w:p>
    <w:p w14:paraId="053B0D2F">
      <w:pPr>
        <w:pStyle w:val="22"/>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楷体_GB2312" w:cs="楷体_GB2312"/>
          <w:sz w:val="32"/>
          <w:szCs w:val="32"/>
          <w:highlight w:val="none"/>
          <w:lang w:eastAsia="zh-CN"/>
        </w:rPr>
        <w:t>（八）降低企业用地成本</w:t>
      </w:r>
      <w:r>
        <w:rPr>
          <w:rFonts w:hint="eastAsia" w:ascii="Times New Roman" w:hAnsi="Times New Roman" w:eastAsia="仿宋_GB2312" w:cs="仿宋_GB2312"/>
          <w:sz w:val="32"/>
          <w:szCs w:val="32"/>
          <w:highlight w:val="none"/>
          <w:lang w:eastAsia="zh-CN"/>
        </w:rPr>
        <w:t>。按标准分区分级规划养老服务设施，将其纳入年度供地计划优先供应；支持存量场所改建养老服务设施，银发经济相关制造业项目土地出让底价可按不低于所在级别工业用地基准地价的70%确定，允许分期缴纳土地出让金，鼓励工业用地弹性年期供应。</w:t>
      </w:r>
    </w:p>
    <w:p w14:paraId="4D0A3D8B">
      <w:pPr>
        <w:pStyle w:val="22"/>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textAlignment w:val="auto"/>
        <w:rPr>
          <w:rFonts w:hint="eastAsia" w:ascii="Times New Roman" w:hAnsi="Times New Roman" w:eastAsia="楷体_GB2312" w:cs="楷体_GB2312"/>
          <w:sz w:val="32"/>
          <w:szCs w:val="32"/>
          <w:highlight w:val="none"/>
          <w:lang w:eastAsia="zh-CN"/>
        </w:rPr>
      </w:pPr>
      <w:r>
        <w:rPr>
          <w:rFonts w:hint="eastAsia" w:ascii="Times New Roman" w:hAnsi="Times New Roman" w:eastAsia="楷体_GB2312" w:cs="楷体_GB2312"/>
          <w:sz w:val="32"/>
          <w:szCs w:val="32"/>
          <w:highlight w:val="none"/>
          <w:lang w:eastAsia="zh-CN"/>
        </w:rPr>
        <w:t>（九）引育银发产业人才。</w:t>
      </w:r>
      <w:r>
        <w:rPr>
          <w:rFonts w:hint="eastAsia" w:ascii="Times New Roman" w:hAnsi="Times New Roman" w:eastAsia="仿宋_GB2312" w:cs="仿宋_GB2312"/>
          <w:sz w:val="32"/>
          <w:szCs w:val="32"/>
          <w:highlight w:val="none"/>
          <w:lang w:eastAsia="zh-CN"/>
        </w:rPr>
        <w:t>支持中高职院校增设养老服务、护理等相关专业并扩大招生规模；银发领域优秀人才可认定为市高层次人才，享受子女入学、住房保障等优待。</w:t>
      </w:r>
    </w:p>
    <w:p w14:paraId="42AF7FB6">
      <w:pPr>
        <w:pStyle w:val="22"/>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楷体_GB2312" w:cs="楷体_GB2312"/>
          <w:sz w:val="32"/>
          <w:szCs w:val="32"/>
          <w:highlight w:val="none"/>
          <w:lang w:eastAsia="zh-CN"/>
        </w:rPr>
        <w:t>（十）强化要素保障。</w:t>
      </w:r>
      <w:r>
        <w:rPr>
          <w:rFonts w:hint="eastAsia" w:ascii="Times New Roman" w:hAnsi="Times New Roman" w:eastAsia="仿宋_GB2312" w:cs="仿宋_GB2312"/>
          <w:sz w:val="32"/>
          <w:szCs w:val="32"/>
          <w:highlight w:val="none"/>
          <w:lang w:eastAsia="zh-CN"/>
        </w:rPr>
        <w:t>落实国家和省税费优惠政策，养老机构用水、用电、用气按居民生活类价格执行；200千瓦及以下民营经济组织采用低压接入，无需投资外部电力工程；推进产业园区转供电改造，降低企业用电成本</w:t>
      </w:r>
    </w:p>
    <w:p w14:paraId="16C6534E">
      <w:pPr>
        <w:keepNext w:val="0"/>
        <w:keepLines w:val="0"/>
        <w:pageBreakBefore w:val="0"/>
        <w:widowControl w:val="0"/>
        <w:suppressLineNumbers w:val="0"/>
        <w:kinsoku/>
        <w:wordWrap/>
        <w:overflowPunct w:val="0"/>
        <w:topLinePunct w:val="0"/>
        <w:autoSpaceDE w:val="0"/>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strike/>
          <w:dstrike w:val="0"/>
          <w:sz w:val="32"/>
          <w:szCs w:val="40"/>
          <w:highlight w:val="none"/>
          <w:lang w:val="en-US" w:eastAsia="zh-CN"/>
        </w:rPr>
      </w:pPr>
    </w:p>
    <w:sectPr>
      <w:footerReference r:id="rId3" w:type="default"/>
      <w:pgSz w:w="11906" w:h="16838"/>
      <w:pgMar w:top="2098" w:right="1474" w:bottom="1984" w:left="1587" w:header="708" w:footer="708"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原版宋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原版宋体">
    <w:panose1 w:val="02010600030101010101"/>
    <w:charset w:val="86"/>
    <w:family w:val="auto"/>
    <w:pitch w:val="default"/>
    <w:sig w:usb0="00000003" w:usb1="080E0000" w:usb2="00000000" w:usb3="00000000" w:csb0="00040001" w:csb1="00000000"/>
  </w:font>
  <w:font w:name="等线">
    <w:altName w:val="Noto Sans CJK SC"/>
    <w:panose1 w:val="00000000000000000000"/>
    <w:charset w:val="00"/>
    <w:family w:val="auto"/>
    <w:pitch w:val="default"/>
    <w:sig w:usb0="00000000" w:usb1="00000000" w:usb2="00000000" w:usb3="00000000" w:csb0="00000000" w:csb1="00000000"/>
  </w:font>
  <w:font w:name="Noto Sans CJK SC">
    <w:panose1 w:val="020B0500000000000000"/>
    <w:charset w:val="86"/>
    <w:family w:val="auto"/>
    <w:pitch w:val="default"/>
    <w:sig w:usb0="30000003" w:usb1="2BDF3C10" w:usb2="00000016" w:usb3="00000000" w:csb0="602E0107"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T)">
    <w:altName w:val="仿宋_GB2312"/>
    <w:panose1 w:val="00000000000000000000"/>
    <w:charset w:val="00"/>
    <w:family w:val="auto"/>
    <w:pitch w:val="default"/>
    <w:sig w:usb0="00000000" w:usb1="00000000" w:usb2="00000000" w:usb3="00000000" w:csb0="00000000" w:csb1="00000000"/>
  </w:font>
  <w:font w:name="(T">
    <w:altName w:val="仿宋_GB2312"/>
    <w:panose1 w:val="00000000000000000000"/>
    <w:charset w:val="00"/>
    <w:family w:val="auto"/>
    <w:pitch w:val="default"/>
    <w:sig w:usb0="00000000" w:usb1="00000000" w:usb2="00000000" w:usb3="00000000" w:csb0="00000000" w:csb1="00000000"/>
  </w:font>
  <w:font w:name="(">
    <w:altName w:val="仿宋_GB2312"/>
    <w:panose1 w:val="00000000000000000000"/>
    <w:charset w:val="00"/>
    <w:family w:val="auto"/>
    <w:pitch w:val="default"/>
    <w:sig w:usb0="00000000" w:usb1="00000000" w:usb2="00000000" w:usb3="00000000" w:csb0="00000000" w:csb1="00000000"/>
  </w:font>
  <w:font w:name="T">
    <w:altName w:val="仿宋_GB2312"/>
    <w:panose1 w:val="00000000000000000000"/>
    <w:charset w:val="00"/>
    <w:family w:val="auto"/>
    <w:pitch w:val="default"/>
    <w:sig w:usb0="00000000" w:usb1="00000000" w:usb2="00000000" w:usb3="00000000" w:csb0="00000000" w:csb1="00000000"/>
  </w:font>
  <w:font w:name="Droid Sans">
    <w:altName w:val="原版宋体"/>
    <w:panose1 w:val="00000000000000000000"/>
    <w:charset w:val="00"/>
    <w:family w:val="auto"/>
    <w:pitch w:val="default"/>
    <w:sig w:usb0="00000000" w:usb1="00000000" w:usb2="00000000" w:usb3="00000000" w:csb0="00040001" w:csb1="00000000"/>
  </w:font>
  <w:font w:name="仿宋">
    <w:altName w:val="仿宋_GB2312"/>
    <w:panose1 w:val="02010609060101010101"/>
    <w:charset w:val="86"/>
    <w:family w:val="auto"/>
    <w:pitch w:val="default"/>
    <w:sig w:usb0="00000000" w:usb1="00000000" w:usb2="00000016" w:usb3="00000000" w:csb0="00040001" w:csb1="00000000"/>
  </w:font>
  <w:font w:name="KaiTi">
    <w:altName w:val="楷体_GB2312"/>
    <w:panose1 w:val="00000000000000000000"/>
    <w:charset w:val="00"/>
    <w:family w:val="auto"/>
    <w:pitch w:val="default"/>
    <w:sig w:usb0="00000000" w:usb1="00000000" w:usb2="00000000" w:usb3="00000000" w:csb0="00000000" w:csb1="00000000"/>
  </w:font>
  <w:font w:name="SimKai">
    <w:altName w:val="仿宋_GB2312"/>
    <w:panose1 w:val="00000000000000000000"/>
    <w:charset w:val="00"/>
    <w:family w:val="auto"/>
    <w:pitch w:val="default"/>
    <w:sig w:usb0="00000000" w:usb1="00000000" w:usb2="00000000" w:usb3="00000000" w:csb0="00000000" w:csb1="00000000"/>
  </w:font>
  <w:font w:name="微软雅黑">
    <w:altName w:val="黑体"/>
    <w:panose1 w:val="00000000000000000000"/>
    <w:charset w:val="00"/>
    <w:family w:val="auto"/>
    <w:pitch w:val="default"/>
    <w:sig w:usb0="00000000" w:usb1="00000000" w:usb2="00000000" w:usb3="00000000" w:csb0="00000000" w:csb1="00000000"/>
  </w:font>
  <w:font w:name="sans-serif">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5255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964327">
                          <w:pPr>
                            <w:pStyle w:val="10"/>
                            <w:rPr>
                              <w:rFonts w:hint="eastAsia" w:ascii="原版宋体" w:hAnsi="原版宋体" w:eastAsia="原版宋体" w:cs="原版宋体"/>
                              <w:sz w:val="28"/>
                            </w:rPr>
                          </w:pPr>
                          <w:r>
                            <w:rPr>
                              <w:rFonts w:hint="eastAsia" w:ascii="原版宋体" w:hAnsi="原版宋体" w:eastAsia="原版宋体" w:cs="原版宋体"/>
                              <w:sz w:val="28"/>
                            </w:rPr>
                            <w:t>—</w:t>
                          </w:r>
                          <w:r>
                            <w:rPr>
                              <w:rFonts w:hint="eastAsia" w:ascii="原版宋体" w:hAnsi="原版宋体" w:eastAsia="原版宋体" w:cs="原版宋体"/>
                              <w:sz w:val="24"/>
                            </w:rPr>
                            <w:t>　</w:t>
                          </w:r>
                          <w:r>
                            <w:rPr>
                              <w:rFonts w:hint="eastAsia" w:ascii="原版宋体" w:hAnsi="原版宋体" w:eastAsia="原版宋体" w:cs="原版宋体"/>
                              <w:sz w:val="28"/>
                            </w:rPr>
                            <w:fldChar w:fldCharType="begin"/>
                          </w:r>
                          <w:r>
                            <w:rPr>
                              <w:rFonts w:hint="eastAsia" w:ascii="原版宋体" w:hAnsi="原版宋体" w:eastAsia="原版宋体" w:cs="原版宋体"/>
                              <w:sz w:val="28"/>
                            </w:rPr>
                            <w:instrText xml:space="preserve"> PAGE  \* MERGEFORMAT </w:instrText>
                          </w:r>
                          <w:r>
                            <w:rPr>
                              <w:rFonts w:hint="eastAsia" w:ascii="原版宋体" w:hAnsi="原版宋体" w:eastAsia="原版宋体" w:cs="原版宋体"/>
                              <w:sz w:val="28"/>
                            </w:rPr>
                            <w:fldChar w:fldCharType="separate"/>
                          </w:r>
                          <w:r>
                            <w:rPr>
                              <w:rFonts w:hint="eastAsia" w:ascii="原版宋体" w:hAnsi="原版宋体" w:eastAsia="原版宋体" w:cs="原版宋体"/>
                              <w:sz w:val="28"/>
                            </w:rPr>
                            <w:t>1</w:t>
                          </w:r>
                          <w:r>
                            <w:rPr>
                              <w:rFonts w:hint="eastAsia" w:ascii="原版宋体" w:hAnsi="原版宋体" w:eastAsia="原版宋体" w:cs="原版宋体"/>
                              <w:sz w:val="28"/>
                            </w:rPr>
                            <w:fldChar w:fldCharType="end"/>
                          </w:r>
                          <w:r>
                            <w:rPr>
                              <w:rFonts w:hint="eastAsia" w:ascii="原版宋体" w:hAnsi="原版宋体" w:eastAsia="原版宋体" w:cs="原版宋体"/>
                              <w:sz w:val="24"/>
                            </w:rPr>
                            <w:t>　</w:t>
                          </w:r>
                          <w:r>
                            <w:rPr>
                              <w:rFonts w:hint="eastAsia" w:ascii="原版宋体" w:hAnsi="原版宋体" w:eastAsia="原版宋体" w:cs="原版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BVtgQK4gIAAC4GAAAOAAAAAAAAAAEAIAAAACUBAABkcnMvZTJv&#10;RG9jLnhtbFBLBQYAAAAABgAGAFkBAAB5BgAAAAA=&#10;">
              <v:fill on="f" focussize="0,0"/>
              <v:stroke on="f" weight="0.5pt"/>
              <v:imagedata o:title=""/>
              <o:lock v:ext="edit" aspectratio="f"/>
              <v:textbox inset="16pt,0mm,16pt,0mm" style="mso-fit-shape-to-text:t;">
                <w:txbxContent>
                  <w:p w14:paraId="49964327">
                    <w:pPr>
                      <w:pStyle w:val="10"/>
                      <w:rPr>
                        <w:rFonts w:hint="eastAsia" w:ascii="原版宋体" w:hAnsi="原版宋体" w:eastAsia="原版宋体" w:cs="原版宋体"/>
                        <w:sz w:val="28"/>
                      </w:rPr>
                    </w:pPr>
                    <w:r>
                      <w:rPr>
                        <w:rFonts w:hint="eastAsia" w:ascii="原版宋体" w:hAnsi="原版宋体" w:eastAsia="原版宋体" w:cs="原版宋体"/>
                        <w:sz w:val="28"/>
                      </w:rPr>
                      <w:t>—</w:t>
                    </w:r>
                    <w:r>
                      <w:rPr>
                        <w:rFonts w:hint="eastAsia" w:ascii="原版宋体" w:hAnsi="原版宋体" w:eastAsia="原版宋体" w:cs="原版宋体"/>
                        <w:sz w:val="24"/>
                      </w:rPr>
                      <w:t>　</w:t>
                    </w:r>
                    <w:r>
                      <w:rPr>
                        <w:rFonts w:hint="eastAsia" w:ascii="原版宋体" w:hAnsi="原版宋体" w:eastAsia="原版宋体" w:cs="原版宋体"/>
                        <w:sz w:val="28"/>
                      </w:rPr>
                      <w:fldChar w:fldCharType="begin"/>
                    </w:r>
                    <w:r>
                      <w:rPr>
                        <w:rFonts w:hint="eastAsia" w:ascii="原版宋体" w:hAnsi="原版宋体" w:eastAsia="原版宋体" w:cs="原版宋体"/>
                        <w:sz w:val="28"/>
                      </w:rPr>
                      <w:instrText xml:space="preserve"> PAGE  \* MERGEFORMAT </w:instrText>
                    </w:r>
                    <w:r>
                      <w:rPr>
                        <w:rFonts w:hint="eastAsia" w:ascii="原版宋体" w:hAnsi="原版宋体" w:eastAsia="原版宋体" w:cs="原版宋体"/>
                        <w:sz w:val="28"/>
                      </w:rPr>
                      <w:fldChar w:fldCharType="separate"/>
                    </w:r>
                    <w:r>
                      <w:rPr>
                        <w:rFonts w:hint="eastAsia" w:ascii="原版宋体" w:hAnsi="原版宋体" w:eastAsia="原版宋体" w:cs="原版宋体"/>
                        <w:sz w:val="28"/>
                      </w:rPr>
                      <w:t>1</w:t>
                    </w:r>
                    <w:r>
                      <w:rPr>
                        <w:rFonts w:hint="eastAsia" w:ascii="原版宋体" w:hAnsi="原版宋体" w:eastAsia="原版宋体" w:cs="原版宋体"/>
                        <w:sz w:val="28"/>
                      </w:rPr>
                      <w:fldChar w:fldCharType="end"/>
                    </w:r>
                    <w:r>
                      <w:rPr>
                        <w:rFonts w:hint="eastAsia" w:ascii="原版宋体" w:hAnsi="原版宋体" w:eastAsia="原版宋体" w:cs="原版宋体"/>
                        <w:sz w:val="24"/>
                      </w:rPr>
                      <w:t>　</w:t>
                    </w:r>
                    <w:r>
                      <w:rPr>
                        <w:rFonts w:hint="eastAsia" w:ascii="原版宋体" w:hAnsi="原版宋体" w:eastAsia="原版宋体" w:cs="原版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0D7DCE"/>
    <w:multiLevelType w:val="singleLevel"/>
    <w:tmpl w:val="FD0D7DC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5"/>
  </w:compat>
  <w:rsids>
    <w:rsidRoot w:val="00000000"/>
    <w:rsid w:val="16F9320D"/>
    <w:rsid w:val="357B62D2"/>
    <w:rsid w:val="3D676ED5"/>
    <w:rsid w:val="3F6F6E06"/>
    <w:rsid w:val="4E1FDAF4"/>
    <w:rsid w:val="5FF93071"/>
    <w:rsid w:val="67EF95B6"/>
    <w:rsid w:val="6AEFC634"/>
    <w:rsid w:val="74927089"/>
    <w:rsid w:val="776D8308"/>
    <w:rsid w:val="77FFF177"/>
    <w:rsid w:val="7BCDB5ED"/>
    <w:rsid w:val="7DFDA55C"/>
    <w:rsid w:val="7E3FA970"/>
    <w:rsid w:val="7E7FAF45"/>
    <w:rsid w:val="7EE98B66"/>
    <w:rsid w:val="7F3DC9DB"/>
    <w:rsid w:val="7FEE359B"/>
    <w:rsid w:val="7FEFBA38"/>
    <w:rsid w:val="7FF9BE93"/>
    <w:rsid w:val="7FFD397F"/>
    <w:rsid w:val="7FFF6614"/>
    <w:rsid w:val="9B7DDCF9"/>
    <w:rsid w:val="ACCEEB72"/>
    <w:rsid w:val="B7FC2437"/>
    <w:rsid w:val="BE6FB095"/>
    <w:rsid w:val="BEAF54F8"/>
    <w:rsid w:val="BFBCA980"/>
    <w:rsid w:val="DB9B5D5B"/>
    <w:rsid w:val="DF3F676D"/>
    <w:rsid w:val="E3FFE2D2"/>
    <w:rsid w:val="EEF9F36B"/>
    <w:rsid w:val="F1BA21F3"/>
    <w:rsid w:val="FADE4C55"/>
    <w:rsid w:val="FBFF02DB"/>
    <w:rsid w:val="FCBFEEC9"/>
    <w:rsid w:val="FEF71FDF"/>
    <w:rsid w:val="FF17BE85"/>
    <w:rsid w:val="FF3FC548"/>
    <w:rsid w:val="FFF7C370"/>
    <w:rsid w:val="FFFC50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paragraph" w:styleId="3">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4">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5">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6">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7">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8">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lang w:val="en-US" w:eastAsia="zh-CN"/>
    </w:rPr>
  </w:style>
  <w:style w:type="paragraph" w:styleId="9">
    <w:name w:val="Normal Indent"/>
    <w:basedOn w:val="1"/>
    <w:qFormat/>
    <w:uiPriority w:val="0"/>
    <w:pPr>
      <w:ind w:firstLine="420" w:firstLineChars="200"/>
    </w:pPr>
    <w:rPr>
      <w:rFonts w:eastAsia="仿宋_GB2312"/>
      <w:sz w:val="32"/>
    </w:r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link w:val="21"/>
    <w:semiHidden/>
    <w:unhideWhenUsed/>
    <w:qFormat/>
    <w:uiPriority w:val="99"/>
    <w:pPr>
      <w:spacing w:after="0" w:line="240" w:lineRule="auto"/>
    </w:pPr>
    <w:rPr>
      <w:rFonts w:ascii="Times New Roman" w:hAnsi="Times New Roman" w:eastAsia="宋体" w:cs="Times New Roman"/>
      <w:sz w:val="20"/>
      <w:szCs w:val="20"/>
    </w:rPr>
  </w:style>
  <w:style w:type="paragraph" w:styleId="13">
    <w:name w:val="Normal (Web)"/>
    <w:basedOn w:val="1"/>
    <w:uiPriority w:val="0"/>
    <w:pPr>
      <w:spacing w:before="0" w:beforeAutospacing="1" w:after="0" w:afterAutospacing="1"/>
      <w:ind w:left="0" w:right="0"/>
      <w:jc w:val="left"/>
    </w:pPr>
    <w:rPr>
      <w:kern w:val="0"/>
      <w:sz w:val="24"/>
      <w:lang w:val="en-US" w:eastAsia="zh-CN" w:bidi="ar"/>
    </w:rPr>
  </w:style>
  <w:style w:type="paragraph" w:styleId="14">
    <w:name w:val="Title"/>
    <w:qFormat/>
    <w:uiPriority w:val="0"/>
    <w:pPr>
      <w:spacing w:before="480" w:after="480" w:line="288" w:lineRule="auto"/>
      <w:ind w:left="0"/>
    </w:pPr>
    <w:rPr>
      <w:rFonts w:ascii="Arial" w:hAnsi="Arial" w:eastAsia="等线" w:cs="Arial"/>
      <w:b/>
      <w:bCs/>
      <w:sz w:val="52"/>
      <w:szCs w:val="52"/>
    </w:rPr>
  </w:style>
  <w:style w:type="character" w:styleId="17">
    <w:name w:val="Strong"/>
    <w:basedOn w:val="16"/>
    <w:qFormat/>
    <w:uiPriority w:val="0"/>
    <w:rPr>
      <w:b/>
    </w:rPr>
  </w:style>
  <w:style w:type="character" w:styleId="18">
    <w:name w:val="Hyperlink"/>
    <w:unhideWhenUsed/>
    <w:qFormat/>
    <w:uiPriority w:val="99"/>
    <w:rPr>
      <w:color w:val="0563C1"/>
      <w:u w:val="single"/>
    </w:rPr>
  </w:style>
  <w:style w:type="character" w:styleId="19">
    <w:name w:val="footnote reference"/>
    <w:semiHidden/>
    <w:unhideWhenUsed/>
    <w:qFormat/>
    <w:uiPriority w:val="99"/>
    <w:rPr>
      <w:vertAlign w:val="superscript"/>
    </w:rPr>
  </w:style>
  <w:style w:type="paragraph" w:styleId="20">
    <w:name w:val="List Paragraph"/>
    <w:qFormat/>
    <w:uiPriority w:val="0"/>
    <w:rPr>
      <w:rFonts w:ascii="Times New Roman" w:hAnsi="Times New Roman" w:eastAsia="宋体" w:cs="Times New Roman"/>
      <w:sz w:val="21"/>
      <w:szCs w:val="22"/>
    </w:rPr>
  </w:style>
  <w:style w:type="character" w:customStyle="1" w:styleId="21">
    <w:name w:val="Footnote Text Char"/>
    <w:link w:val="12"/>
    <w:semiHidden/>
    <w:unhideWhenUsed/>
    <w:qFormat/>
    <w:uiPriority w:val="99"/>
    <w:rPr>
      <w:sz w:val="20"/>
      <w:szCs w:val="20"/>
    </w:rPr>
  </w:style>
  <w:style w:type="paragraph" w:customStyle="1" w:styleId="22">
    <w:name w:val="_Style 13"/>
    <w:qFormat/>
    <w:uiPriority w:val="0"/>
    <w:pPr>
      <w:spacing w:before="120" w:after="120" w:line="288" w:lineRule="auto"/>
      <w:ind w:left="0"/>
      <w:jc w:val="left"/>
    </w:pPr>
    <w:rPr>
      <w:rFonts w:ascii="Arial" w:hAnsi="Arial" w:eastAsia="等线" w:cs="Arial"/>
      <w:sz w:val="22"/>
      <w:szCs w:val="22"/>
    </w:rPr>
  </w:style>
  <w:style w:type="paragraph" w:customStyle="1" w:styleId="23">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TotalTime>8</TotalTime>
  <ScaleCrop>false</ScaleCrop>
  <LinksUpToDate>false</LinksUpToDate>
  <Application>WPS Office_12.1.2.23578_F1E327BC-269C-435d-A152-05C5408002CA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2025-10-30T01:54:00Z</dcterms:created>
  <dc:creator>Un-named</dc:creator>
  <cp:lastModifiedBy>凪</cp:lastModifiedBy>
  <cp:lastPrinted>2026-01-30T13:40:36Z</cp:lastPrinted>
  <dcterms:modified xsi:type="dcterms:W3CDTF">2026-01-30T13:45:11Z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C944920DB125C68967457C695401ECD9_43</vt:lpwstr>
  </property>
</Properties>
</file>