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《深圳市龙华区科技型企业孵化器认定管理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办法（征求意见稿）》编制说明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一、编制背景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本次《深圳市龙华区科技型企业孵化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器认定管理办法（</w:t>
      </w:r>
      <w:r>
        <w:rPr>
          <w:rFonts w:hint="eastAsia" w:ascii="仿宋_GB2312" w:hAnsi="仿宋_GB2312" w:cs="仿宋_GB2312"/>
          <w:lang w:eastAsia="zh-CN"/>
        </w:rPr>
        <w:t>征求</w:t>
      </w:r>
      <w:r>
        <w:rPr>
          <w:rFonts w:hint="eastAsia" w:ascii="仿宋_GB2312" w:hAnsi="仿宋_GB2312" w:eastAsia="仿宋_GB2312" w:cs="仿宋_GB2312"/>
        </w:rPr>
        <w:t>意见稿）》（以下简称《管理办法》）的制定，主要基于以下背景：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一是</w:t>
      </w:r>
      <w:r>
        <w:rPr>
          <w:rFonts w:hint="eastAsia" w:ascii="仿宋_GB2312" w:hAnsi="仿宋_GB2312" w:eastAsia="仿宋_GB2312" w:cs="仿宋_GB2312"/>
        </w:rPr>
        <w:t>贯彻国家、市政策导向。为贯彻《工业和信息化部科技型企业孵化器管理办法》（工信部科〔2025〕131号）《深圳市工业和信息化局科技型企业孵化器管理办法》（深工信规〔2025〕10号）等国家、市层面对科技型企业孵化器发展的相关要求，结合龙华区实际情况，实现与国家、市政策的衔接，构建契合龙华区孵化生态的管理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二是</w:t>
      </w:r>
      <w:r>
        <w:rPr>
          <w:rFonts w:hint="eastAsia" w:ascii="仿宋_GB2312" w:hAnsi="仿宋_GB2312" w:eastAsia="仿宋_GB2312" w:cs="仿宋_GB2312"/>
        </w:rPr>
        <w:t>原管理办法的延续及修订。原《深圳市龙华区孵化载体认定管理办法》（深龙华科创规〔2022〕5号），已于2025年11月6日到期失效。2025年12月29日，深圳市工业和信息化局印发《深圳市工业和信息化局科技型企业孵化器管理办法》（深工信规〔2025〕10号），要求各区结合实际，制定区级孵化器管理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三是</w:t>
      </w:r>
      <w:r>
        <w:rPr>
          <w:rFonts w:hint="eastAsia" w:ascii="仿宋_GB2312" w:hAnsi="仿宋_GB2312" w:eastAsia="仿宋_GB2312" w:cs="仿宋_GB2312"/>
        </w:rPr>
        <w:t>解决孵化器发展现实需求。为推动科技创新和产业创新深度融合，促进科技型企业孵化器高质量发展，《管理办法》通过明确认定标准、优化认定程序、强化动态管理，引导孵化器从“场地租赁型”向“产业赋能型”“专业服务型”“资本驱动型”转型，实现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二、主要思路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《管理办法》制定的核心思路是“以政策衔接为基础、以精准培育为核心、以深化服务为导向”，具体体现为：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一是</w:t>
      </w:r>
      <w:r>
        <w:rPr>
          <w:rFonts w:hint="eastAsia" w:ascii="仿宋_GB2312" w:hAnsi="仿宋_GB2312" w:eastAsia="仿宋_GB2312" w:cs="仿宋_GB2312"/>
        </w:rPr>
        <w:t>以政策衔接为基础。严格遵循国家、市关于科技型企业孵化器的管理要求，同时结合龙华区产业发展实际，设计符合区域特色的条款。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二是</w:t>
      </w:r>
      <w:r>
        <w:rPr>
          <w:rFonts w:hint="eastAsia" w:ascii="仿宋_GB2312" w:hAnsi="仿宋_GB2312" w:eastAsia="仿宋_GB2312" w:cs="仿宋_GB2312"/>
        </w:rPr>
        <w:t>以精准培育为核心。明确区级孵化器10项认定指标（涵盖场地面积、运营团队配置、在孵企业数量及质量、毕业企业培育成效等）；细化毕业企业认定标准及达标条件。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三是</w:t>
      </w:r>
      <w:r>
        <w:rPr>
          <w:rFonts w:hint="eastAsia" w:ascii="仿宋_GB2312" w:hAnsi="仿宋_GB2312" w:eastAsia="仿宋_GB2312" w:cs="仿宋_GB2312"/>
        </w:rPr>
        <w:t>以深化服务为导向。推动孵化器强化孵化培育能力、提升专业化服务质效，实现从单一空间租赁向全周期、定制化专业服务的转型，强化技术支持、投融资对接、市场拓展等核心能力，降低创业风险、加速企业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《管理办法》共五章</w:t>
      </w:r>
      <w:r>
        <w:rPr>
          <w:rFonts w:hint="eastAsia" w:ascii="仿宋_GB2312" w:hAnsi="仿宋_GB2312" w:cs="仿宋_GB2312"/>
          <w:lang w:eastAsia="zh-CN"/>
        </w:rPr>
        <w:t>十九</w:t>
      </w:r>
      <w:r>
        <w:rPr>
          <w:rFonts w:hint="eastAsia" w:ascii="仿宋_GB2312" w:hAnsi="仿宋_GB2312" w:eastAsia="仿宋_GB2312" w:cs="仿宋_GB2312"/>
        </w:rPr>
        <w:t>条，核心内容如下：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第一章总则。</w:t>
      </w:r>
      <w:r>
        <w:rPr>
          <w:rFonts w:hint="eastAsia" w:ascii="仿宋_GB2312" w:hAnsi="仿宋_GB2312" w:eastAsia="仿宋_GB2312" w:cs="仿宋_GB2312"/>
        </w:rPr>
        <w:t>明确制定《管理办法》的目的、科技型企业孵化器定义、核心功能、管理单位及认定工作机制。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第二章认定条件。</w:t>
      </w:r>
      <w:r>
        <w:rPr>
          <w:rFonts w:hint="eastAsia" w:ascii="仿宋_GB2312" w:hAnsi="仿宋_GB2312" w:eastAsia="仿宋_GB2312" w:cs="仿宋_GB2312"/>
        </w:rPr>
        <w:t>从主体资质（依法注册、法人资格、运营满1年）、场地规模（自主支配面积≥3000平方米）、服务团队（专业人员占比不低于80%、创业导师配比）、在孵企业（数量≥20家、科技型中小企业/创新型中</w:t>
      </w:r>
      <w:r>
        <w:rPr>
          <w:rFonts w:hint="eastAsia" w:ascii="仿宋_GB2312" w:hAnsi="仿宋_GB2312" w:cs="仿宋_GB2312"/>
          <w:lang w:eastAsia="zh-CN"/>
        </w:rPr>
        <w:t>小</w:t>
      </w:r>
      <w:r>
        <w:rPr>
          <w:rFonts w:hint="eastAsia" w:ascii="仿宋_GB2312" w:hAnsi="仿宋_GB2312" w:eastAsia="仿宋_GB2312" w:cs="仿宋_GB2312"/>
        </w:rPr>
        <w:t>企业占比≥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0%）、企业成长（营收/研发增长、投融资占比）、收入结构（非房租</w:t>
      </w:r>
      <w:r>
        <w:rPr>
          <w:rFonts w:hint="eastAsia" w:ascii="仿宋_GB2312" w:hAnsi="仿宋_GB2312" w:cs="仿宋_GB2312"/>
          <w:lang w:eastAsia="zh-CN"/>
        </w:rPr>
        <w:t>及</w:t>
      </w:r>
      <w:r>
        <w:rPr>
          <w:rFonts w:hint="eastAsia" w:ascii="仿宋_GB2312" w:hAnsi="仿宋_GB2312" w:eastAsia="仿宋_GB2312" w:cs="仿宋_GB2312"/>
        </w:rPr>
        <w:t>物业收入≥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0%或近两年增速不低于5%）、毕业企业（占比≥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%及</w:t>
      </w:r>
      <w:r>
        <w:rPr>
          <w:rFonts w:hint="eastAsia" w:ascii="仿宋_GB2312" w:hAnsi="仿宋_GB2312" w:cs="仿宋_GB2312"/>
          <w:lang w:eastAsia="zh-CN"/>
        </w:rPr>
        <w:t>四</w:t>
      </w:r>
      <w:r>
        <w:rPr>
          <w:rFonts w:hint="eastAsia" w:ascii="仿宋_GB2312" w:hAnsi="仿宋_GB2312" w:eastAsia="仿宋_GB2312" w:cs="仿宋_GB2312"/>
        </w:rPr>
        <w:t>类毕业标准）、统计填报、合规性等10个维度，明确区级孵化器认定标准。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第三章认定程序。</w:t>
      </w:r>
      <w:r>
        <w:rPr>
          <w:rFonts w:hint="eastAsia" w:ascii="仿宋_GB2312" w:hAnsi="仿宋_GB2312" w:eastAsia="仿宋_GB2312" w:cs="仿宋_GB2312"/>
        </w:rPr>
        <w:t>规范“形式审查——合规性审查——专家评审——征求意见、信用核查——现场核查——提出拟认定名单、公示——发布认定名单”流程，明确认定频次为“原则上每年组织一次”，确保认定过程公开、公平、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第四章管理与评价。</w:t>
      </w:r>
      <w:r>
        <w:rPr>
          <w:rFonts w:hint="eastAsia" w:ascii="仿宋_GB2312" w:hAnsi="仿宋_GB2312" w:eastAsia="仿宋_GB2312" w:cs="仿宋_GB2312"/>
        </w:rPr>
        <w:t>限定同一区域由同一家运营单位运营；明确区级孵化器可享政策支持；建立动态评价机制，未参加运营评价的直接评定为不合格；规定区级孵化器须按要求完成数据统计；规范孵化器运营主体变更及相关审核流程；列明</w:t>
      </w:r>
      <w:r>
        <w:rPr>
          <w:rFonts w:hint="eastAsia" w:ascii="仿宋_GB2312" w:hAnsi="仿宋_GB2312" w:cs="仿宋_GB2312"/>
          <w:lang w:eastAsia="zh-CN"/>
        </w:rPr>
        <w:t>四</w:t>
      </w:r>
      <w:r>
        <w:rPr>
          <w:rFonts w:hint="eastAsia" w:ascii="仿宋_GB2312" w:hAnsi="仿宋_GB2312" w:eastAsia="仿宋_GB2312" w:cs="仿宋_GB2312"/>
        </w:rPr>
        <w:t>类撤销区级孵化器资格的情形。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第五章附则。</w:t>
      </w:r>
      <w:r>
        <w:rPr>
          <w:rFonts w:hint="eastAsia" w:ascii="仿宋_GB2312" w:hAnsi="仿宋_GB2312" w:eastAsia="仿宋_GB2312" w:cs="仿宋_GB2312"/>
        </w:rPr>
        <w:t>明确办法实施前已认定的“区级科技企业孵化器”“区级科技企业加速器”以及市级及以上众创类孵化载体的管理衔接，规定办法解释权归属（区科技主管部门）及施行时间。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2EA2B"/>
    <w:rsid w:val="397143B7"/>
    <w:rsid w:val="3FBB1367"/>
    <w:rsid w:val="4AAD3DA1"/>
    <w:rsid w:val="53E932F0"/>
    <w:rsid w:val="53FD9094"/>
    <w:rsid w:val="57FB4D14"/>
    <w:rsid w:val="6EFF8B36"/>
    <w:rsid w:val="6FBD23C2"/>
    <w:rsid w:val="77FFAE2E"/>
    <w:rsid w:val="78BFA8F1"/>
    <w:rsid w:val="7A9D1248"/>
    <w:rsid w:val="7BBD2E66"/>
    <w:rsid w:val="7E6F343C"/>
    <w:rsid w:val="9673FAFD"/>
    <w:rsid w:val="A25D7DD1"/>
    <w:rsid w:val="A2EFEF48"/>
    <w:rsid w:val="AEBA3AE8"/>
    <w:rsid w:val="B3BD7737"/>
    <w:rsid w:val="B6F33B2B"/>
    <w:rsid w:val="BBEE8748"/>
    <w:rsid w:val="CABFE416"/>
    <w:rsid w:val="CFF2EA2B"/>
    <w:rsid w:val="D7BD9F4C"/>
    <w:rsid w:val="DBFDDB3C"/>
    <w:rsid w:val="EB7CA2D2"/>
    <w:rsid w:val="ECFF39A5"/>
    <w:rsid w:val="EE7ADE51"/>
    <w:rsid w:val="F17F1CD0"/>
    <w:rsid w:val="F6F97537"/>
    <w:rsid w:val="F6FD4FA8"/>
    <w:rsid w:val="F74F4577"/>
    <w:rsid w:val="FCAFEFB4"/>
    <w:rsid w:val="FE79FD29"/>
    <w:rsid w:val="FF1F8D50"/>
    <w:rsid w:val="FFFA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4"/>
    <w:basedOn w:val="1"/>
    <w:next w:val="1"/>
    <w:link w:val="15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3"/>
    </w:pPr>
    <w:rPr>
      <w:rFonts w:ascii="Arial" w:hAnsi="Arial" w:eastAsia="黑体" w:cs="Times New Roman"/>
      <w:sz w:val="32"/>
    </w:rPr>
  </w:style>
  <w:style w:type="paragraph" w:styleId="4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5">
    <w:name w:val="Body Text"/>
    <w:basedOn w:val="6"/>
    <w:next w:val="6"/>
    <w:qFormat/>
    <w:uiPriority w:val="0"/>
    <w:pPr>
      <w:widowControl w:val="0"/>
      <w:adjustRightInd w:val="0"/>
      <w:snapToGrid w:val="0"/>
      <w:spacing w:before="0" w:after="120" w:line="560" w:lineRule="exact"/>
      <w:ind w:left="0" w:right="0"/>
      <w:jc w:val="both"/>
    </w:pPr>
    <w:rPr>
      <w:rFonts w:cs="Times New Roman"/>
      <w:kern w:val="0"/>
    </w:rPr>
  </w:style>
  <w:style w:type="paragraph" w:styleId="6">
    <w:name w:val="Body Text First Indent 2"/>
    <w:basedOn w:val="1"/>
    <w:next w:val="1"/>
    <w:qFormat/>
    <w:uiPriority w:val="0"/>
    <w:pPr>
      <w:adjustRightInd w:val="0"/>
      <w:snapToGrid w:val="0"/>
      <w:spacing w:line="560" w:lineRule="exact"/>
      <w:ind w:firstLine="420" w:firstLineChars="200"/>
    </w:pPr>
    <w:rPr>
      <w:rFonts w:ascii="仿宋_GB2312" w:hAnsi="仿宋_GB2312" w:eastAsia="仿宋_GB2312"/>
      <w:sz w:val="32"/>
    </w:rPr>
  </w:style>
  <w:style w:type="paragraph" w:styleId="7">
    <w:name w:val="Plain Text"/>
    <w:basedOn w:val="6"/>
    <w:next w:val="8"/>
    <w:qFormat/>
    <w:uiPriority w:val="0"/>
    <w:rPr>
      <w:rFonts w:ascii="仿宋_GB2312" w:hAnsi="仿宋_GB2312" w:eastAsia="仿宋_GB2312" w:cs="Times New Roman"/>
    </w:rPr>
  </w:style>
  <w:style w:type="paragraph" w:styleId="8">
    <w:name w:val="Body Text Indent 2"/>
    <w:basedOn w:val="1"/>
    <w:next w:val="1"/>
    <w:qFormat/>
    <w:uiPriority w:val="0"/>
    <w:pPr>
      <w:spacing w:after="0" w:afterLines="0" w:afterAutospacing="0" w:line="560" w:lineRule="exact"/>
      <w:ind w:left="420" w:leftChars="200"/>
    </w:pPr>
    <w:rPr>
      <w:rFonts w:ascii="仿宋_GB2312" w:hAnsi="仿宋_GB231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5"/>
    <w:next w:val="6"/>
    <w:qFormat/>
    <w:uiPriority w:val="0"/>
    <w:pPr>
      <w:ind w:leftChars="100" w:firstLine="420" w:firstLineChars="100"/>
    </w:pPr>
    <w:rPr>
      <w:rFonts w:cs="Times New Roman"/>
    </w:rPr>
  </w:style>
  <w:style w:type="paragraph" w:customStyle="1" w:styleId="14">
    <w:name w:val="样式1"/>
    <w:basedOn w:val="4"/>
    <w:next w:val="6"/>
    <w:qFormat/>
    <w:uiPriority w:val="0"/>
    <w:rPr>
      <w:rFonts w:ascii="Arial" w:hAnsi="Arial"/>
      <w:sz w:val="32"/>
      <w:szCs w:val="22"/>
    </w:rPr>
  </w:style>
  <w:style w:type="character" w:customStyle="1" w:styleId="15">
    <w:name w:val="标题 4 Char"/>
    <w:link w:val="3"/>
    <w:qFormat/>
    <w:uiPriority w:val="0"/>
    <w:rPr>
      <w:rFonts w:ascii="Arial" w:hAnsi="Arial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2026-01-23T17:49:00Z</dcterms:created>
  <dc:creator>kcj-gyn</dc:creator>
  <cp:lastModifiedBy>kcj-gyn</cp:lastModifiedBy>
  <cp:lastPrinted>2026-01-24T01:46:00Z</cp:lastPrinted>
  <dcterms:modified xsi:type="dcterms:W3CDTF">2026-04-03T17:24:33Z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59D7F31CEE84AA3F1CA17069EDA142CA</vt:lpwstr>
  </property>
</Properties>
</file>