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lang w:val="en-US" w:eastAsia="zh-CN"/>
        </w:rPr>
      </w:pPr>
      <w:bookmarkStart w:id="10" w:name="_GoBack"/>
      <w:bookmarkEnd w:id="10"/>
      <w:r>
        <w:rPr>
          <w:rFonts w:hint="eastAsia" w:ascii="黑体" w:hAnsi="黑体" w:eastAsia="黑体" w:cs="黑体"/>
          <w:lang w:eastAsia="zh-CN"/>
        </w:rPr>
        <w:t>附件</w:t>
      </w:r>
      <w:r>
        <w:rPr>
          <w:rFonts w:hint="eastAsia" w:ascii="黑体" w:hAnsi="黑体" w:eastAsia="黑体" w:cs="黑体"/>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南山区自然科学基金管理办法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w:spacing w:val="0"/>
          <w:kern w:val="44"/>
          <w:sz w:val="32"/>
          <w:szCs w:val="32"/>
          <w:lang w:val="en-US" w:eastAsia="zh-CN" w:bidi="ar-SA"/>
        </w:rPr>
      </w:pPr>
      <w:r>
        <w:rPr>
          <w:rFonts w:hint="eastAsia" w:ascii="Times New Roman" w:hAnsi="Times New Roman" w:eastAsia="黑体" w:cs="Times New Roman"/>
          <w:spacing w:val="0"/>
          <w:kern w:val="44"/>
          <w:sz w:val="32"/>
          <w:szCs w:val="32"/>
          <w:lang w:val="en-US" w:eastAsia="zh-CN" w:bidi="ar-SA"/>
        </w:rPr>
        <w:t>第一章  总则</w:t>
      </w:r>
    </w:p>
    <w:p>
      <w:pPr>
        <w:pStyle w:val="12"/>
        <w:pageBreakBefore w:val="0"/>
        <w:kinsoku/>
        <w:wordWrap/>
        <w:overflowPunct/>
        <w:topLinePunct w:val="0"/>
        <w:autoSpaceDE/>
        <w:autoSpaceDN/>
        <w:bidi w:val="0"/>
        <w:snapToGrid/>
        <w:ind w:firstLine="618"/>
        <w:textAlignment w:val="auto"/>
        <w:rPr>
          <w:rFonts w:hint="eastAsia"/>
        </w:rPr>
      </w:pPr>
      <w:r>
        <w:rPr>
          <w:rFonts w:hint="eastAsia" w:ascii="Times New Roman" w:hAnsi="Times New Roman"/>
          <w:b/>
          <w:bCs/>
        </w:rPr>
        <w:t>第一条  【制定依据】</w:t>
      </w:r>
      <w:r>
        <w:rPr>
          <w:rFonts w:hint="eastAsia"/>
        </w:rPr>
        <w:t>为深入实施创新驱动发展战略，强化南山区基础研究和原始创新能力，依据《中华人民共和国科学技术进步法》《国家自然科学基金条例》《深圳经济特区科技创新条例》《深圳市基础研究项目管理办法》以及《南山区促进产业高质量发展专项资金管理办法》等有关规定，立足南山区建设全球一流现代化创新城区中心目标，制定本办法。</w:t>
      </w:r>
    </w:p>
    <w:p>
      <w:pPr>
        <w:pStyle w:val="12"/>
        <w:ind w:firstLine="618"/>
        <w:rPr>
          <w:rFonts w:ascii="Times New Roman" w:hAnsi="Times New Roman"/>
        </w:rPr>
      </w:pPr>
      <w:r>
        <w:rPr>
          <w:rFonts w:hint="eastAsia" w:ascii="Times New Roman" w:hAnsi="Times New Roman"/>
          <w:b/>
          <w:bCs/>
        </w:rPr>
        <w:t>第二条  【基金设立】</w:t>
      </w:r>
      <w:r>
        <w:rPr>
          <w:rFonts w:hint="eastAsia" w:ascii="Times New Roman" w:hAnsi="Times New Roman"/>
        </w:rPr>
        <w:t>设立南山区自然科学基金（以下简称“区自然科学基金”），作为南山区科技计划体系中支持基础研究和应用基础研究的重要组成部分。</w:t>
      </w:r>
    </w:p>
    <w:p>
      <w:pPr>
        <w:pStyle w:val="12"/>
        <w:ind w:firstLine="618"/>
        <w:rPr>
          <w:rFonts w:ascii="Times New Roman" w:hAnsi="Times New Roman"/>
        </w:rPr>
      </w:pPr>
      <w:r>
        <w:rPr>
          <w:rFonts w:hint="eastAsia" w:ascii="Times New Roman" w:hAnsi="Times New Roman"/>
          <w:b/>
          <w:bCs/>
        </w:rPr>
        <w:t>第三条  【主管部门职责】</w:t>
      </w:r>
      <w:r>
        <w:rPr>
          <w:rFonts w:hint="eastAsia" w:ascii="Times New Roman" w:hAnsi="Times New Roman"/>
        </w:rPr>
        <w:t>南山区科技创新局（以下简称“区科创局”）负责区自然科学基金的统筹管理和组织实施，主要职责包括：</w:t>
      </w:r>
    </w:p>
    <w:p>
      <w:pPr>
        <w:pStyle w:val="12"/>
        <w:ind w:firstLine="616"/>
        <w:rPr>
          <w:rFonts w:ascii="Times New Roman" w:hAnsi="Times New Roman"/>
        </w:rPr>
      </w:pPr>
      <w:r>
        <w:rPr>
          <w:rFonts w:hint="eastAsia" w:ascii="Times New Roman" w:hAnsi="Times New Roman"/>
        </w:rPr>
        <w:t xml:space="preserve">（一）制定区自然科学基金发展战略、负面清单及监管规则； </w:t>
      </w:r>
    </w:p>
    <w:p>
      <w:pPr>
        <w:pStyle w:val="12"/>
        <w:ind w:firstLine="616"/>
        <w:rPr>
          <w:rFonts w:ascii="Times New Roman" w:hAnsi="Times New Roman"/>
        </w:rPr>
      </w:pPr>
      <w:r>
        <w:rPr>
          <w:rFonts w:hint="eastAsia" w:ascii="Times New Roman" w:hAnsi="Times New Roman"/>
        </w:rPr>
        <w:t xml:space="preserve">（二）组织发布项目申报指南； </w:t>
      </w:r>
    </w:p>
    <w:p>
      <w:pPr>
        <w:pStyle w:val="12"/>
        <w:ind w:firstLine="616"/>
        <w:rPr>
          <w:rFonts w:ascii="Times New Roman" w:hAnsi="Times New Roman"/>
        </w:rPr>
      </w:pPr>
      <w:r>
        <w:rPr>
          <w:rFonts w:hint="eastAsia" w:ascii="Times New Roman" w:hAnsi="Times New Roman"/>
        </w:rPr>
        <w:t>（三）</w:t>
      </w:r>
      <w:r>
        <w:rPr>
          <w:rFonts w:hint="eastAsia" w:cs="仿宋_GB2312"/>
          <w:szCs w:val="32"/>
        </w:rPr>
        <w:t>受理项目申请；</w:t>
      </w:r>
    </w:p>
    <w:p>
      <w:pPr>
        <w:pStyle w:val="12"/>
        <w:ind w:firstLine="616"/>
        <w:rPr>
          <w:rFonts w:ascii="Times New Roman" w:hAnsi="Times New Roman"/>
        </w:rPr>
      </w:pPr>
      <w:r>
        <w:rPr>
          <w:rFonts w:hint="eastAsia" w:ascii="Times New Roman" w:hAnsi="Times New Roman"/>
        </w:rPr>
        <w:t>（四）组织或者委托第三方进行项目评审；</w:t>
      </w:r>
    </w:p>
    <w:p>
      <w:pPr>
        <w:pStyle w:val="12"/>
        <w:ind w:firstLine="616"/>
        <w:rPr>
          <w:rFonts w:ascii="Times New Roman" w:hAnsi="Times New Roman"/>
        </w:rPr>
      </w:pPr>
      <w:r>
        <w:rPr>
          <w:rFonts w:hint="eastAsia" w:ascii="Times New Roman" w:hAnsi="Times New Roman"/>
        </w:rPr>
        <w:t>（五）</w:t>
      </w:r>
      <w:r>
        <w:rPr>
          <w:rFonts w:hint="eastAsia" w:cs="仿宋_GB2312"/>
          <w:spacing w:val="0"/>
          <w:szCs w:val="32"/>
        </w:rPr>
        <w:t>批准资助立项项目；</w:t>
      </w:r>
    </w:p>
    <w:p>
      <w:pPr>
        <w:pStyle w:val="12"/>
        <w:ind w:firstLine="616"/>
        <w:rPr>
          <w:rFonts w:ascii="Times New Roman" w:hAnsi="Times New Roman"/>
        </w:rPr>
      </w:pPr>
      <w:r>
        <w:rPr>
          <w:rFonts w:hint="eastAsia" w:ascii="Times New Roman" w:hAnsi="Times New Roman"/>
        </w:rPr>
        <w:t>（六）组织或委托第三方</w:t>
      </w:r>
      <w:r>
        <w:rPr>
          <w:rFonts w:hint="eastAsia" w:cs="仿宋_GB2312"/>
          <w:spacing w:val="0"/>
          <w:szCs w:val="32"/>
        </w:rPr>
        <w:t>管理和监督立项项目执行、项目验收和项目绩效评估</w:t>
      </w:r>
      <w:r>
        <w:rPr>
          <w:rFonts w:hint="eastAsia" w:ascii="Times New Roman" w:hAnsi="Times New Roman"/>
        </w:rPr>
        <w:t>；</w:t>
      </w:r>
    </w:p>
    <w:p>
      <w:pPr>
        <w:pStyle w:val="12"/>
        <w:ind w:firstLine="616"/>
        <w:rPr>
          <w:rFonts w:ascii="Times New Roman" w:hAnsi="Times New Roman"/>
        </w:rPr>
      </w:pPr>
      <w:r>
        <w:rPr>
          <w:rFonts w:hint="eastAsia" w:ascii="Times New Roman" w:hAnsi="Times New Roman"/>
        </w:rPr>
        <w:t>（七）征集、遴选和确定参与产学研联合重点专项的联合资助方，探索由具备条件的联合资助方（项目组织单位）承担课题凝练、指南发布、项目受理、评审组织、过程管理和项目验收等具体职责；</w:t>
      </w:r>
    </w:p>
    <w:p>
      <w:pPr>
        <w:pStyle w:val="12"/>
        <w:ind w:firstLine="616"/>
        <w:rPr>
          <w:rFonts w:ascii="Times New Roman" w:hAnsi="Times New Roman"/>
        </w:rPr>
      </w:pPr>
      <w:r>
        <w:rPr>
          <w:rFonts w:hint="eastAsia" w:ascii="Times New Roman" w:hAnsi="Times New Roman"/>
        </w:rPr>
        <w:t>（八）</w:t>
      </w:r>
      <w:r>
        <w:rPr>
          <w:rFonts w:hint="eastAsia" w:cs="仿宋_GB2312"/>
          <w:spacing w:val="0"/>
          <w:szCs w:val="32"/>
        </w:rPr>
        <w:t>对立项项目行使备案审查、监督管理，对违反负面清单或存在利益冲突的情形行使否决权；</w:t>
      </w:r>
    </w:p>
    <w:p>
      <w:pPr>
        <w:pStyle w:val="12"/>
        <w:ind w:firstLine="616"/>
        <w:rPr>
          <w:rFonts w:ascii="Times New Roman" w:hAnsi="Times New Roman"/>
        </w:rPr>
      </w:pPr>
      <w:r>
        <w:rPr>
          <w:rFonts w:hint="eastAsia" w:ascii="Times New Roman" w:hAnsi="Times New Roman"/>
        </w:rPr>
        <w:t>（九）协调处理项目实施中的重大事项。</w:t>
      </w:r>
    </w:p>
    <w:p>
      <w:pPr>
        <w:pStyle w:val="12"/>
        <w:ind w:firstLine="616"/>
        <w:rPr>
          <w:rFonts w:ascii="Times New Roman" w:hAnsi="Times New Roman"/>
        </w:rPr>
      </w:pPr>
      <w:r>
        <w:rPr>
          <w:rFonts w:hint="eastAsia" w:ascii="Times New Roman" w:hAnsi="Times New Roman"/>
        </w:rPr>
        <w:t>区科创局遴选高校、</w:t>
      </w:r>
      <w:r>
        <w:rPr>
          <w:rFonts w:hint="eastAsia" w:hAnsi="___WRD_EMBED_SUB_46" w:cs="___WRD_EMBED_SUB_46"/>
        </w:rPr>
        <w:t>科研</w:t>
      </w:r>
      <w:r>
        <w:rPr>
          <w:rFonts w:hint="eastAsia" w:ascii="宋体" w:hAnsi="宋体" w:eastAsia="宋体" w:cs="宋体"/>
        </w:rPr>
        <w:t>院</w:t>
      </w:r>
      <w:r>
        <w:rPr>
          <w:rFonts w:hint="eastAsia" w:hAnsi="___WRD_EMBED_SUB_46" w:cs="___WRD_EMBED_SUB_46"/>
        </w:rPr>
        <w:t>所及产</w:t>
      </w:r>
      <w:r>
        <w:rPr>
          <w:rFonts w:hint="eastAsia" w:ascii="宋体" w:hAnsi="宋体" w:eastAsia="宋体" w:cs="宋体"/>
        </w:rPr>
        <w:t>业领域高水平专家</w:t>
      </w:r>
      <w:r>
        <w:rPr>
          <w:rFonts w:hint="eastAsia" w:ascii="Times New Roman" w:hAnsi="Times New Roman"/>
        </w:rPr>
        <w:t>组成南山区自然科学基金委员会（以下简称“区基金委”），对区自然科学基金重大事项提供管理指导和咨询服务。</w:t>
      </w:r>
    </w:p>
    <w:p>
      <w:pPr>
        <w:pStyle w:val="12"/>
        <w:ind w:firstLine="618"/>
        <w:rPr>
          <w:rFonts w:ascii="Times New Roman" w:hAnsi="Times New Roman"/>
        </w:rPr>
      </w:pPr>
      <w:r>
        <w:rPr>
          <w:rFonts w:hint="eastAsia" w:ascii="Times New Roman" w:hAnsi="Times New Roman"/>
          <w:b/>
          <w:bCs/>
        </w:rPr>
        <w:t>第四条  【资金来源】</w:t>
      </w:r>
      <w:r>
        <w:rPr>
          <w:rFonts w:hint="eastAsia" w:ascii="Times New Roman" w:hAnsi="Times New Roman"/>
        </w:rPr>
        <w:t>基金资金来源包括区级财政资金以及依法吸纳的社会资金。鼓励企业、科研机构、高校、社会组织等通过设立联合基金、捐赠等方式参与投入。</w:t>
      </w:r>
    </w:p>
    <w:p>
      <w:pPr>
        <w:pStyle w:val="12"/>
        <w:ind w:firstLine="618"/>
        <w:rPr>
          <w:rFonts w:ascii="Times New Roman" w:hAnsi="Times New Roman"/>
        </w:rPr>
      </w:pPr>
      <w:r>
        <w:rPr>
          <w:rFonts w:hint="eastAsia" w:ascii="Times New Roman" w:hAnsi="Times New Roman"/>
          <w:b/>
          <w:bCs/>
        </w:rPr>
        <w:t>第五条  【资助方向】</w:t>
      </w:r>
      <w:r>
        <w:rPr>
          <w:rFonts w:hint="eastAsia" w:ascii="Times New Roman" w:hAnsi="Times New Roman"/>
        </w:rPr>
        <w:t>基金主要用于资助基础研究和应用基础研究项目，</w:t>
      </w:r>
      <w:r>
        <w:rPr>
          <w:rFonts w:hint="eastAsia" w:ascii="Times New Roman" w:hAnsi="Times New Roman"/>
          <w:color w:val="000000" w:themeColor="text1"/>
          <w14:textFill>
            <w14:solidFill>
              <w14:schemeClr w14:val="tx1"/>
            </w14:solidFill>
          </w14:textFill>
        </w:rPr>
        <w:t>聚焦战略性新兴产业和未来产业方向，</w:t>
      </w:r>
      <w:r>
        <w:rPr>
          <w:rFonts w:hint="eastAsia" w:ascii="Times New Roman" w:hAnsi="Times New Roman"/>
        </w:rPr>
        <w:t>围绕区域重点产业关键科学问题，引导科研选题从论文导向向产业牵引型转变，持续支撑南山区产业升级和核心竞争力提升。</w:t>
      </w:r>
    </w:p>
    <w:p>
      <w:pPr>
        <w:pStyle w:val="12"/>
        <w:ind w:firstLine="618"/>
        <w:rPr>
          <w:rFonts w:hint="eastAsia"/>
        </w:rPr>
      </w:pPr>
      <w:r>
        <w:rPr>
          <w:rFonts w:hint="eastAsia" w:ascii="Times New Roman" w:hAnsi="Times New Roman"/>
          <w:b/>
          <w:bCs/>
        </w:rPr>
        <w:t>第六条  【项目类型】</w:t>
      </w:r>
      <w:r>
        <w:rPr>
          <w:rFonts w:hint="eastAsia"/>
        </w:rPr>
        <w:t>区自然科学基金主要支持市区协同项目、前沿探索项目、产学研联合重点专项等，采用事前无偿资助方式：</w:t>
      </w:r>
    </w:p>
    <w:p>
      <w:pPr>
        <w:pStyle w:val="12"/>
        <w:ind w:firstLine="616"/>
        <w:rPr>
          <w:rFonts w:hint="eastAsia"/>
          <w:highlight w:val="yellow"/>
        </w:rPr>
      </w:pPr>
      <w:r>
        <w:rPr>
          <w:rFonts w:hint="eastAsia"/>
        </w:rPr>
        <w:t>（一）市区协同项目。依托《深圳市重点产业研发计划》项目体系组织实施，围绕重点产业关键核心技术和重大技术系统开展攻关。由南山区参与出资或组织实施的协同项目，按照市级相关管理办法执行。年度支持额度以市区有关协议为准。</w:t>
      </w:r>
    </w:p>
    <w:p>
      <w:pPr>
        <w:pStyle w:val="12"/>
        <w:ind w:firstLine="616"/>
        <w:rPr>
          <w:rFonts w:hint="eastAsia"/>
        </w:rPr>
      </w:pPr>
      <w:r>
        <w:rPr>
          <w:rFonts w:hint="eastAsia"/>
        </w:rPr>
        <w:t>（二）前沿探索项目。围绕南山区重点产业方向和前沿科学问题，支持有较好研究基础的科研团队开展系统性、前瞻性研究，推动若干重要领域或者科学前沿取得突破。项目资金由南山区财政全额资助，每个项目资助额度不超过300万元，研究期限一般不超过3年。</w:t>
      </w:r>
    </w:p>
    <w:p>
      <w:pPr>
        <w:pStyle w:val="12"/>
        <w:ind w:firstLine="616"/>
        <w:rPr>
          <w:rFonts w:ascii="Times New Roman" w:hAnsi="Times New Roman"/>
        </w:rPr>
      </w:pPr>
      <w:r>
        <w:rPr>
          <w:rFonts w:hint="eastAsia" w:ascii="Times New Roman" w:hAnsi="Times New Roman"/>
        </w:rPr>
        <w:t>（三）产学研联合重点专项。</w:t>
      </w:r>
      <w:bookmarkStart w:id="0" w:name="OLE_LINK3"/>
      <w:bookmarkStart w:id="1" w:name="OLE_LINK2"/>
      <w:r>
        <w:rPr>
          <w:rFonts w:ascii="Times New Roman" w:hAnsi="Times New Roman"/>
        </w:rPr>
        <w:t>由区科创局与</w:t>
      </w:r>
      <w:r>
        <w:rPr>
          <w:rFonts w:hint="eastAsia" w:ascii="Times New Roman" w:hAnsi="Times New Roman"/>
        </w:rPr>
        <w:t>经遴选认定的优质企业、</w:t>
      </w:r>
      <w:r>
        <w:rPr>
          <w:rFonts w:ascii="Times New Roman" w:hAnsi="Times New Roman"/>
        </w:rPr>
        <w:t>高校</w:t>
      </w:r>
      <w:r>
        <w:rPr>
          <w:rFonts w:hint="eastAsia" w:ascii="Times New Roman" w:hAnsi="Times New Roman"/>
        </w:rPr>
        <w:t>、</w:t>
      </w:r>
      <w:r>
        <w:rPr>
          <w:rFonts w:ascii="Times New Roman" w:hAnsi="Times New Roman"/>
        </w:rPr>
        <w:t>科研机构</w:t>
      </w:r>
      <w:r>
        <w:rPr>
          <w:rFonts w:hint="eastAsia" w:ascii="Times New Roman" w:hAnsi="Times New Roman"/>
        </w:rPr>
        <w:t>或自然人</w:t>
      </w:r>
      <w:r>
        <w:rPr>
          <w:rFonts w:ascii="Times New Roman" w:hAnsi="Times New Roman"/>
        </w:rPr>
        <w:t>共同出资设立的联合基金，</w:t>
      </w:r>
      <w:r>
        <w:rPr>
          <w:rFonts w:hint="eastAsia" w:ascii="Times New Roman" w:hAnsi="Times New Roman"/>
        </w:rPr>
        <w:t>鼓励相同、相近行业领域的多个主体共同出资。每个联合专项区财政出资额原则上不高于专项总额的50%，具体出资比例根据实际资金额度及相关协议确定。联合资助方出资额原则上不少于300万元/年。专项以需求和问题为导向，围绕企业发展和产业升级中存在的关键科学问题及技术难点，支持开展基础研究。</w:t>
      </w:r>
      <w:bookmarkStart w:id="2" w:name="OLE_LINK13"/>
      <w:r>
        <w:rPr>
          <w:rFonts w:hint="eastAsia" w:ascii="Times New Roman" w:hAnsi="Times New Roman"/>
        </w:rPr>
        <w:t>具体项目类型、资助金额和研究期限，由区科创局与联合资助方协商约定。</w:t>
      </w:r>
      <w:bookmarkEnd w:id="0"/>
      <w:bookmarkEnd w:id="2"/>
    </w:p>
    <w:bookmarkEnd w:id="1"/>
    <w:p>
      <w:pPr>
        <w:pStyle w:val="12"/>
        <w:ind w:firstLine="616"/>
        <w:rPr>
          <w:rFonts w:ascii="Times New Roman" w:hAnsi="Times New Roman"/>
        </w:rPr>
      </w:pPr>
      <w:r>
        <w:rPr>
          <w:rFonts w:hint="eastAsia" w:ascii="Times New Roman" w:hAnsi="Times New Roman"/>
        </w:rPr>
        <w:t>区科创局可根据需要调整项目类别，结合实际情况，梯次推进、逐步实施。每年组织实施的项目类型以年度申报通知为准，资助的具体数量和标准根据当年申报数量以及年度预算确定。</w:t>
      </w:r>
    </w:p>
    <w:p>
      <w:pPr>
        <w:pStyle w:val="12"/>
        <w:ind w:firstLine="616"/>
        <w:rPr>
          <w:rFonts w:ascii="Times New Roman" w:hAnsi="Times New Roman"/>
        </w:rPr>
      </w:pPr>
    </w:p>
    <w:p>
      <w:pPr>
        <w:pStyle w:val="2"/>
        <w:jc w:val="center"/>
        <w:rPr>
          <w:rFonts w:ascii="Times New Roman" w:hAnsi="Times New Roman"/>
        </w:rPr>
      </w:pPr>
      <w:r>
        <w:rPr>
          <w:rFonts w:hint="eastAsia" w:ascii="Times New Roman" w:hAnsi="Times New Roman"/>
        </w:rPr>
        <w:t>第二章  申报条件</w:t>
      </w:r>
    </w:p>
    <w:p>
      <w:pPr>
        <w:pStyle w:val="12"/>
        <w:ind w:firstLine="618"/>
        <w:rPr>
          <w:rFonts w:ascii="Times New Roman" w:hAnsi="Times New Roman"/>
        </w:rPr>
      </w:pPr>
      <w:r>
        <w:rPr>
          <w:rFonts w:hint="eastAsia" w:ascii="Times New Roman" w:hAnsi="Times New Roman"/>
          <w:b/>
          <w:bCs/>
        </w:rPr>
        <w:t>第七条  【项目组织单位条件】</w:t>
      </w:r>
      <w:r>
        <w:rPr>
          <w:rFonts w:hint="eastAsia" w:ascii="Times New Roman" w:hAnsi="Times New Roman"/>
        </w:rPr>
        <w:t>联合资助方申请作为产学研联合重点专项的项目组织单位，应当具备以下条件：</w:t>
      </w:r>
    </w:p>
    <w:p>
      <w:pPr>
        <w:pStyle w:val="12"/>
        <w:ind w:firstLine="616"/>
        <w:rPr>
          <w:rFonts w:ascii="Times New Roman" w:hAnsi="Times New Roman"/>
        </w:rPr>
      </w:pPr>
      <w:r>
        <w:rPr>
          <w:rFonts w:hint="eastAsia" w:ascii="Times New Roman" w:hAnsi="Times New Roman"/>
        </w:rPr>
        <w:t>（一）具有独立法人资格的高等院校、科研机构、医疗卫生单位以及其他具有基础研究能力的企业和社会组织；</w:t>
      </w:r>
    </w:p>
    <w:p>
      <w:pPr>
        <w:pStyle w:val="12"/>
        <w:ind w:firstLine="616"/>
        <w:rPr>
          <w:rFonts w:ascii="Times New Roman" w:hAnsi="Times New Roman"/>
        </w:rPr>
      </w:pPr>
      <w:r>
        <w:rPr>
          <w:rFonts w:hint="eastAsia" w:ascii="Times New Roman" w:hAnsi="Times New Roman"/>
        </w:rPr>
        <w:t>（二）具备完善的科研管理制度和科研诚信管理体系，未被列入严重失信主体名单，近三年无重大违法违规记录；</w:t>
      </w:r>
    </w:p>
    <w:p>
      <w:pPr>
        <w:pStyle w:val="12"/>
        <w:ind w:firstLine="616"/>
        <w:rPr>
          <w:rFonts w:ascii="Times New Roman" w:hAnsi="Times New Roman"/>
        </w:rPr>
      </w:pPr>
      <w:r>
        <w:rPr>
          <w:rFonts w:hint="eastAsia" w:ascii="Times New Roman" w:hAnsi="Times New Roman"/>
        </w:rPr>
        <w:t>（三）具有章程和较为完善的项目管理、经费管理、质量控制、风险控制、知识产权、信用管理、保密及档案管理等制度，实行不相容岗位分离和全程留痕管理，建立内部决策、执行、监督相互制约又相互协调的工作机制；</w:t>
      </w:r>
    </w:p>
    <w:p>
      <w:pPr>
        <w:pStyle w:val="12"/>
        <w:ind w:firstLine="616"/>
        <w:rPr>
          <w:rFonts w:ascii="Times New Roman" w:hAnsi="Times New Roman"/>
        </w:rPr>
      </w:pPr>
      <w:r>
        <w:rPr>
          <w:rFonts w:hint="eastAsia" w:ascii="Times New Roman" w:hAnsi="Times New Roman"/>
        </w:rPr>
        <w:t>（四）具有满足项目管理要求的相对稳定、结构合理且素质较高的专业化管理队伍；在相关科技领域具备较强的项目管理能力、组织协调能力及丰富的项目管理经验；熟悉国家有关财政科研经费管理和财政预算管理规定，建有规范的项目经费管理程序，具备对科研项目经费预算全过程管理和监督的能力；</w:t>
      </w:r>
    </w:p>
    <w:p>
      <w:pPr>
        <w:pStyle w:val="12"/>
        <w:ind w:firstLine="616"/>
        <w:rPr>
          <w:rFonts w:ascii="Times New Roman" w:hAnsi="Times New Roman"/>
        </w:rPr>
      </w:pPr>
      <w:r>
        <w:rPr>
          <w:rFonts w:hint="eastAsia" w:ascii="Times New Roman" w:hAnsi="Times New Roman"/>
        </w:rPr>
        <w:t>（五）建立利益回避机制，确保评审、立项、管理、验收等关键环节与项目申报、实施相隔离；</w:t>
      </w:r>
    </w:p>
    <w:p>
      <w:pPr>
        <w:pStyle w:val="12"/>
        <w:ind w:firstLine="616"/>
        <w:rPr>
          <w:rFonts w:ascii="Times New Roman" w:hAnsi="Times New Roman"/>
        </w:rPr>
      </w:pPr>
      <w:r>
        <w:rPr>
          <w:rFonts w:hint="eastAsia" w:ascii="Times New Roman" w:hAnsi="Times New Roman"/>
        </w:rPr>
        <w:t>区科创局组织对项目组织单位进行遴选评估，重点考察其科研实力、管理能力和产业影响力。</w:t>
      </w:r>
    </w:p>
    <w:p>
      <w:pPr>
        <w:pStyle w:val="12"/>
        <w:ind w:firstLine="618"/>
        <w:rPr>
          <w:rFonts w:ascii="Times New Roman" w:hAnsi="Times New Roman"/>
        </w:rPr>
      </w:pPr>
      <w:r>
        <w:rPr>
          <w:rFonts w:hint="eastAsia" w:ascii="Times New Roman" w:hAnsi="Times New Roman"/>
          <w:b/>
          <w:bCs/>
        </w:rPr>
        <w:t>第八条  【申报单位条件】</w:t>
      </w:r>
      <w:r>
        <w:rPr>
          <w:rFonts w:hint="eastAsia" w:ascii="Times New Roman" w:hAnsi="Times New Roman"/>
        </w:rPr>
        <w:t xml:space="preserve">项目申报单位应当具备以下条件： </w:t>
      </w:r>
    </w:p>
    <w:p>
      <w:pPr>
        <w:pStyle w:val="12"/>
        <w:ind w:firstLine="616"/>
        <w:rPr>
          <w:rStyle w:val="27"/>
          <w:rFonts w:ascii="Times New Roman" w:hAnsi="Times New Roman"/>
          <w:sz w:val="32"/>
          <w:szCs w:val="20"/>
        </w:rPr>
      </w:pPr>
      <w:r>
        <w:rPr>
          <w:rFonts w:hint="eastAsia" w:ascii="Times New Roman" w:hAnsi="Times New Roman"/>
        </w:rPr>
        <w:t>（一）具有独立法人资格的高等院校、科研机构、医疗卫生单位以及其他具有基础研究能力的企业和社会组织。</w:t>
      </w:r>
      <w:r>
        <w:rPr>
          <w:rStyle w:val="27"/>
          <w:rFonts w:hint="eastAsia" w:ascii="Times New Roman" w:hAnsi="Times New Roman"/>
          <w:sz w:val="32"/>
          <w:szCs w:val="20"/>
        </w:rPr>
        <w:t>申报单位注册地址不在南山区的，需与南山区内的单位联合申报。</w:t>
      </w:r>
    </w:p>
    <w:p>
      <w:pPr>
        <w:pStyle w:val="12"/>
        <w:ind w:firstLine="616"/>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（二）</w:t>
      </w:r>
      <w:bookmarkStart w:id="3" w:name="OLE_LINK9"/>
      <w:r>
        <w:rPr>
          <w:rFonts w:hint="eastAsia" w:ascii="Times New Roman" w:hAnsi="Times New Roman"/>
          <w:color w:val="000000" w:themeColor="text1"/>
          <w14:textFill>
            <w14:solidFill>
              <w14:schemeClr w14:val="tx1"/>
            </w14:solidFill>
          </w14:textFill>
        </w:rPr>
        <w:t>产学研联合重点专项申报条件按联合资助方类型分类确定。企业及其他营利性组织作为联合资助方的，其及关联单位不得作为项目承担单位，可作为参与单位，但资助经费不得向其拨付；高等学校、科研院所等非营利性机构作为联合资助方的，可作为项目承担单位或参与单位。</w:t>
      </w:r>
    </w:p>
    <w:bookmarkEnd w:id="3"/>
    <w:p>
      <w:pPr>
        <w:pStyle w:val="12"/>
        <w:ind w:firstLine="616"/>
        <w:rPr>
          <w:rFonts w:ascii="Times New Roman" w:hAnsi="Times New Roman"/>
        </w:rPr>
      </w:pPr>
      <w:r>
        <w:rPr>
          <w:rFonts w:hint="eastAsia" w:ascii="Times New Roman" w:hAnsi="Times New Roman"/>
        </w:rPr>
        <w:t>（三）合作单位数量原则上不超过4家，项目涉及的单位总数（含牵头单位）不超过5家。</w:t>
      </w:r>
    </w:p>
    <w:p>
      <w:pPr>
        <w:pStyle w:val="12"/>
        <w:ind w:firstLine="616"/>
        <w:rPr>
          <w:rFonts w:ascii="Times New Roman" w:hAnsi="Times New Roman"/>
        </w:rPr>
      </w:pPr>
      <w:r>
        <w:rPr>
          <w:rFonts w:hint="eastAsia" w:ascii="Times New Roman" w:hAnsi="Times New Roman"/>
        </w:rPr>
        <w:t>（四）申报单位及合作单位应当具备与项目实施相匹配的科研条件和规范的科研、财务管理制度。</w:t>
      </w:r>
    </w:p>
    <w:p>
      <w:pPr>
        <w:pStyle w:val="12"/>
        <w:ind w:firstLine="616"/>
        <w:rPr>
          <w:rFonts w:ascii="Times New Roman" w:hAnsi="Times New Roman"/>
        </w:rPr>
      </w:pPr>
      <w:r>
        <w:rPr>
          <w:rFonts w:hint="eastAsia" w:ascii="Times New Roman" w:hAnsi="Times New Roman"/>
        </w:rPr>
        <w:t>（五）未被限制或取消财政性科研资金支持资格。</w:t>
      </w:r>
    </w:p>
    <w:p>
      <w:pPr>
        <w:pStyle w:val="12"/>
        <w:ind w:firstLine="616"/>
        <w:rPr>
          <w:rFonts w:ascii="Times New Roman" w:hAnsi="Times New Roman"/>
        </w:rPr>
      </w:pPr>
      <w:r>
        <w:rPr>
          <w:rFonts w:hint="eastAsia" w:ascii="Times New Roman" w:hAnsi="Times New Roman"/>
        </w:rPr>
        <w:t>（六）当年申报的基础研究项目不得与已立项的国家、省和市项目重复。</w:t>
      </w:r>
    </w:p>
    <w:p>
      <w:pPr>
        <w:pStyle w:val="12"/>
        <w:ind w:firstLine="618"/>
        <w:rPr>
          <w:rFonts w:ascii="Times New Roman" w:hAnsi="Times New Roman"/>
        </w:rPr>
      </w:pPr>
      <w:r>
        <w:rPr>
          <w:rFonts w:hint="eastAsia" w:ascii="Times New Roman" w:hAnsi="Times New Roman"/>
          <w:b/>
          <w:bCs/>
        </w:rPr>
        <w:t>第九条  【项目牵头申请人条件】</w:t>
      </w:r>
      <w:r>
        <w:rPr>
          <w:rFonts w:hint="eastAsia" w:ascii="Times New Roman" w:hAnsi="Times New Roman"/>
        </w:rPr>
        <w:t>项目牵头申请人应当具备以下条件：</w:t>
      </w:r>
    </w:p>
    <w:p>
      <w:pPr>
        <w:pStyle w:val="12"/>
        <w:ind w:firstLine="616"/>
        <w:rPr>
          <w:rFonts w:ascii="Times New Roman" w:hAnsi="Times New Roman"/>
        </w:rPr>
      </w:pPr>
      <w:r>
        <w:rPr>
          <w:rFonts w:hint="eastAsia" w:ascii="Times New Roman" w:hAnsi="Times New Roman"/>
        </w:rPr>
        <w:t>（一）项目牵头申请人应当是所申请项目的实际负责人，且为申请单位全职人员，具备承担基础研究课题的能力；</w:t>
      </w:r>
    </w:p>
    <w:p>
      <w:pPr>
        <w:pStyle w:val="12"/>
        <w:ind w:firstLine="616"/>
        <w:rPr>
          <w:rFonts w:ascii="Times New Roman" w:hAnsi="Times New Roman"/>
        </w:rPr>
      </w:pPr>
      <w:r>
        <w:rPr>
          <w:rFonts w:hint="eastAsia" w:ascii="Times New Roman" w:hAnsi="Times New Roman" w:cs="仿宋_GB2312"/>
          <w:kern w:val="2"/>
          <w:szCs w:val="32"/>
          <w:lang w:bidi="ar"/>
        </w:rPr>
        <w:t>（二）</w:t>
      </w:r>
      <w:r>
        <w:rPr>
          <w:rFonts w:hint="eastAsia" w:ascii="Times New Roman" w:hAnsi="Times New Roman"/>
        </w:rPr>
        <w:t>项目牵头申请人已承担且在执行期内的本基金项目不得超过1项</w:t>
      </w:r>
      <w:r>
        <w:rPr>
          <w:rFonts w:hint="eastAsia" w:ascii="Times New Roman" w:hAnsi="Times New Roman" w:cs="仿宋_GB2312"/>
          <w:kern w:val="2"/>
          <w:szCs w:val="32"/>
          <w:lang w:bidi="ar"/>
        </w:rPr>
        <w:t>。项目</w:t>
      </w:r>
      <w:r>
        <w:rPr>
          <w:rFonts w:hint="eastAsia"/>
        </w:rPr>
        <w:t>组成员</w:t>
      </w:r>
      <w:r>
        <w:rPr>
          <w:rFonts w:hint="eastAsia" w:ascii="Times New Roman" w:hAnsi="Times New Roman"/>
        </w:rPr>
        <w:t>已承担且在执行期内的本基金项目不得超过3项。</w:t>
      </w:r>
    </w:p>
    <w:p>
      <w:pPr>
        <w:spacing w:line="560" w:lineRule="exact"/>
        <w:ind w:firstLine="618" w:firstLineChars="200"/>
        <w:rPr>
          <w:rFonts w:ascii="Times New Roman" w:hAnsi="Times New Roman" w:cs="仿宋_GB2312"/>
          <w:lang w:bidi="ar"/>
        </w:rPr>
      </w:pPr>
      <w:r>
        <w:rPr>
          <w:rFonts w:hint="eastAsia" w:ascii="Times New Roman" w:hAnsi="Times New Roman" w:cs="仿宋_GB2312"/>
          <w:b/>
          <w:bCs/>
          <w:lang w:bidi="ar"/>
        </w:rPr>
        <w:t>第十条  【合作申请条件】</w:t>
      </w:r>
      <w:r>
        <w:rPr>
          <w:rFonts w:hint="eastAsia" w:ascii="Times New Roman" w:hAnsi="Times New Roman" w:cs="仿宋_GB2312"/>
          <w:lang w:bidi="ar"/>
        </w:rPr>
        <w:t>项目组主要成员与项目牵头申请人不是同一单位的，项目组主要成员所在单位视为合作研究单位。申请单位应承担项目主要工作并与合作研究单位签订合作协议书，明确双方的研究内容分工、财政资金及自筹资金分配、知识产权归属等。</w:t>
      </w:r>
    </w:p>
    <w:p>
      <w:pPr>
        <w:spacing w:line="560" w:lineRule="exact"/>
        <w:ind w:firstLine="616" w:firstLineChars="200"/>
        <w:rPr>
          <w:rFonts w:ascii="Times New Roman" w:hAnsi="Times New Roman" w:cs="仿宋_GB2312"/>
          <w:lang w:bidi="ar"/>
        </w:rPr>
      </w:pPr>
    </w:p>
    <w:p>
      <w:pPr>
        <w:pStyle w:val="2"/>
        <w:jc w:val="center"/>
        <w:rPr>
          <w:rFonts w:ascii="Times New Roman" w:hAnsi="Times New Roman"/>
        </w:rPr>
      </w:pPr>
      <w:r>
        <w:rPr>
          <w:rFonts w:hint="eastAsia" w:ascii="Times New Roman" w:hAnsi="Times New Roman"/>
        </w:rPr>
        <w:t>第三章  申请与评审</w:t>
      </w:r>
    </w:p>
    <w:p>
      <w:pPr>
        <w:pStyle w:val="12"/>
        <w:ind w:firstLine="618"/>
        <w:rPr>
          <w:rFonts w:ascii="Times New Roman" w:hAnsi="Times New Roman" w:cs="仿宋_GB2312"/>
          <w:lang w:bidi="ar"/>
        </w:rPr>
      </w:pPr>
      <w:r>
        <w:rPr>
          <w:rFonts w:hint="eastAsia" w:ascii="Times New Roman" w:hAnsi="Times New Roman" w:cs="仿宋_GB2312"/>
          <w:b/>
          <w:bCs/>
          <w:lang w:bidi="ar"/>
        </w:rPr>
        <w:t>第十一条  【实施方式】</w:t>
      </w:r>
      <w:r>
        <w:rPr>
          <w:rFonts w:hint="eastAsia" w:ascii="Times New Roman" w:hAnsi="Times New Roman" w:cs="仿宋_GB2312"/>
          <w:lang w:bidi="ar"/>
        </w:rPr>
        <w:t>区自然科学基金项目可采取公开竞争和定向委托方式组织实施。</w:t>
      </w:r>
    </w:p>
    <w:p>
      <w:pPr>
        <w:pStyle w:val="12"/>
        <w:ind w:firstLine="616"/>
        <w:rPr>
          <w:rFonts w:ascii="Times New Roman" w:hAnsi="Times New Roman" w:cs="仿宋_GB2312"/>
          <w:lang w:bidi="ar"/>
        </w:rPr>
      </w:pPr>
      <w:r>
        <w:rPr>
          <w:rFonts w:hint="eastAsia" w:ascii="Times New Roman" w:hAnsi="Times New Roman" w:cs="仿宋_GB2312"/>
          <w:lang w:bidi="ar"/>
        </w:rPr>
        <w:t>公开竞争方式为区科创局面向社会公开发布项目申报指南，符合条件的科研机构、高校或企业均可自主申请，经评审后择优立项支持。</w:t>
      </w:r>
    </w:p>
    <w:p>
      <w:pPr>
        <w:pStyle w:val="12"/>
        <w:ind w:firstLine="616"/>
        <w:rPr>
          <w:rFonts w:ascii="Times New Roman" w:hAnsi="Times New Roman" w:cs="仿宋_GB2312"/>
          <w:b/>
          <w:bCs/>
          <w:lang w:bidi="ar"/>
        </w:rPr>
      </w:pPr>
      <w:r>
        <w:rPr>
          <w:rFonts w:hint="eastAsia" w:ascii="Times New Roman" w:hAnsi="Times New Roman" w:cs="仿宋_GB2312"/>
          <w:lang w:bidi="ar"/>
        </w:rPr>
        <w:t>定向委托方式为区科创局根据市、区政府重大工作部署或突发应急需求，定向发布特定领域的项目指南，择优支持申请单位开展基础科学研究。</w:t>
      </w:r>
    </w:p>
    <w:p>
      <w:pPr>
        <w:pStyle w:val="12"/>
        <w:ind w:firstLine="616"/>
        <w:rPr>
          <w:rFonts w:ascii="Times New Roman" w:hAnsi="Times New Roman" w:cs="仿宋_GB2312"/>
          <w:lang w:bidi="ar"/>
        </w:rPr>
      </w:pPr>
      <w:r>
        <w:rPr>
          <w:rFonts w:hint="eastAsia" w:ascii="Times New Roman" w:hAnsi="Times New Roman"/>
        </w:rPr>
        <w:t>区科创局依托南山区产业发展布局和科技企业集群优势，建立常态化产业科学问题征集机制</w:t>
      </w:r>
      <w:r>
        <w:rPr>
          <w:rFonts w:hint="eastAsia" w:ascii="Times New Roman" w:hAnsi="Times New Roman" w:cs="仿宋_GB2312"/>
          <w:lang w:bidi="ar"/>
        </w:rPr>
        <w:t>，鼓励企业参与科学问题凝练。</w:t>
      </w:r>
      <w:r>
        <w:rPr>
          <w:rFonts w:hint="eastAsia" w:ascii="Times New Roman" w:hAnsi="Times New Roman" w:cs="仿宋_GB2312"/>
          <w:color w:val="000000" w:themeColor="text1"/>
          <w:lang w:bidi="ar"/>
          <w14:textFill>
            <w14:solidFill>
              <w14:schemeClr w14:val="tx1"/>
            </w14:solidFill>
          </w14:textFill>
        </w:rPr>
        <w:t>联合资助方根据合作协议规定的重点资助领域，充分发挥自身资源禀赋与比较优势，结合发展需求提出产学研联合重点专项年度项目指南建议，但不得为特定主体定向设题。</w:t>
      </w:r>
      <w:r>
        <w:rPr>
          <w:rFonts w:hint="eastAsia" w:ascii="Times New Roman" w:hAnsi="Times New Roman" w:cs="仿宋_GB2312"/>
          <w:lang w:bidi="ar"/>
        </w:rPr>
        <w:t>区科创局组织相关专家开展课题价值论证和遴选，组织或委托专业机构凝练制定选题指南。</w:t>
      </w:r>
    </w:p>
    <w:p>
      <w:pPr>
        <w:pStyle w:val="12"/>
        <w:ind w:firstLine="618"/>
        <w:rPr>
          <w:rFonts w:ascii="Times New Roman" w:hAnsi="Times New Roman"/>
        </w:rPr>
      </w:pPr>
      <w:r>
        <w:rPr>
          <w:rFonts w:hint="eastAsia" w:ascii="Times New Roman" w:hAnsi="Times New Roman"/>
          <w:b/>
          <w:bCs/>
        </w:rPr>
        <w:t>第十二条  【申报组织】</w:t>
      </w:r>
      <w:r>
        <w:rPr>
          <w:rFonts w:hint="eastAsia" w:ascii="Times New Roman" w:hAnsi="Times New Roman"/>
        </w:rPr>
        <w:t>区自然科学基金项目原则上每年集中组织申报。区科创局通过发布申报指南的方式，明确申报条件、支持方向和管理要求。</w:t>
      </w:r>
    </w:p>
    <w:p>
      <w:pPr>
        <w:pStyle w:val="12"/>
        <w:ind w:firstLine="618"/>
        <w:rPr>
          <w:rFonts w:ascii="Times New Roman" w:hAnsi="Times New Roman"/>
        </w:rPr>
      </w:pPr>
      <w:r>
        <w:rPr>
          <w:rFonts w:hint="eastAsia" w:ascii="Times New Roman" w:hAnsi="Times New Roman"/>
          <w:b/>
          <w:bCs/>
        </w:rPr>
        <w:t>第十三条  【申请方式】</w:t>
      </w:r>
      <w:r>
        <w:rPr>
          <w:rFonts w:hint="eastAsia" w:ascii="Times New Roman" w:hAnsi="Times New Roman"/>
        </w:rPr>
        <w:t>项目牵头申请人应当按照年度项目指南要求，通过所在单位向区科创局提出书面申请。</w:t>
      </w:r>
    </w:p>
    <w:p>
      <w:pPr>
        <w:pStyle w:val="12"/>
        <w:ind w:firstLine="616"/>
        <w:rPr>
          <w:rFonts w:ascii="Times New Roman" w:hAnsi="Times New Roman"/>
        </w:rPr>
      </w:pPr>
      <w:r>
        <w:rPr>
          <w:rFonts w:hint="eastAsia" w:ascii="Times New Roman" w:hAnsi="Times New Roman"/>
        </w:rPr>
        <w:t>项目牵头申请人应当对所提交申请材料的真实性负责。</w:t>
      </w:r>
    </w:p>
    <w:p>
      <w:pPr>
        <w:pStyle w:val="12"/>
        <w:ind w:firstLine="616"/>
        <w:rPr>
          <w:rFonts w:ascii="Times New Roman" w:hAnsi="Times New Roman"/>
        </w:rPr>
      </w:pPr>
      <w:r>
        <w:rPr>
          <w:rFonts w:hint="eastAsia" w:ascii="Times New Roman" w:hAnsi="Times New Roman"/>
        </w:rPr>
        <w:t>申请单位应当对本单位项目牵头申请人提交的申请材料进行审核，确保申请材料的真实性和完整性。</w:t>
      </w:r>
    </w:p>
    <w:p>
      <w:pPr>
        <w:pStyle w:val="12"/>
        <w:ind w:firstLine="618"/>
        <w:rPr>
          <w:rFonts w:ascii="Times New Roman" w:hAnsi="Times New Roman"/>
        </w:rPr>
      </w:pPr>
      <w:r>
        <w:rPr>
          <w:rFonts w:hint="eastAsia" w:ascii="Times New Roman" w:hAnsi="Times New Roman"/>
          <w:b/>
          <w:bCs/>
        </w:rPr>
        <w:t>第十四条  【项目评审】</w:t>
      </w:r>
      <w:r>
        <w:rPr>
          <w:rFonts w:hint="eastAsia" w:ascii="Times New Roman" w:hAnsi="Times New Roman"/>
        </w:rPr>
        <w:t>区科创局收到申请材料后，牵头组织或者委托第三方开展形式审查、专家评审和现场核查。项目评审的程序和标准按照《深圳市科技项目评审管理办法》相关规定执行。</w:t>
      </w:r>
    </w:p>
    <w:p>
      <w:pPr>
        <w:pStyle w:val="12"/>
        <w:ind w:firstLine="616"/>
        <w:rPr>
          <w:rFonts w:ascii="Times New Roman" w:hAnsi="Times New Roman"/>
        </w:rPr>
      </w:pPr>
      <w:r>
        <w:rPr>
          <w:rFonts w:hint="eastAsia" w:ascii="Times New Roman" w:hAnsi="Times New Roman"/>
        </w:rPr>
        <w:t>区科创局根据形式审查、专家评审、现场核查、年度预算安排等择优确定拟资助项目名单及资助金额。</w:t>
      </w:r>
    </w:p>
    <w:p>
      <w:pPr>
        <w:pStyle w:val="12"/>
        <w:ind w:firstLine="618"/>
        <w:rPr>
          <w:rFonts w:ascii="Times New Roman" w:hAnsi="Times New Roman"/>
        </w:rPr>
      </w:pPr>
      <w:r>
        <w:rPr>
          <w:rFonts w:hint="eastAsia" w:ascii="Times New Roman" w:hAnsi="Times New Roman"/>
          <w:b/>
          <w:bCs/>
        </w:rPr>
        <w:t>第十五条  【立项公示】</w:t>
      </w:r>
      <w:r>
        <w:rPr>
          <w:rFonts w:hint="eastAsia" w:ascii="Times New Roman" w:hAnsi="Times New Roman"/>
        </w:rPr>
        <w:t>区科创局向社会公示拟资助项目名称等相关信息，公示期为</w:t>
      </w:r>
      <w:r>
        <w:rPr>
          <w:rFonts w:hint="eastAsia" w:ascii="Times New Roman" w:hAnsi="Times New Roman"/>
          <w:lang w:val="en-US" w:eastAsia="zh-CN"/>
        </w:rPr>
        <w:t>5个工作日</w:t>
      </w:r>
      <w:r>
        <w:rPr>
          <w:rFonts w:hint="eastAsia" w:ascii="Times New Roman" w:hAnsi="Times New Roman"/>
        </w:rPr>
        <w:t>，接受社会监督和意见反馈。</w:t>
      </w:r>
    </w:p>
    <w:p>
      <w:pPr>
        <w:pStyle w:val="12"/>
        <w:ind w:firstLine="616"/>
        <w:rPr>
          <w:rFonts w:ascii="Times New Roman" w:hAnsi="Times New Roman"/>
        </w:rPr>
      </w:pPr>
      <w:r>
        <w:rPr>
          <w:rFonts w:hint="eastAsia" w:ascii="Times New Roman" w:hAnsi="Times New Roman"/>
        </w:rPr>
        <w:t>公示期间有异议的项目，经调查属实并需调整的，由区科创局重新审定。对评审专家的学术及技术判断有不同意见，不得作为提出复审申请的理由。对经公示无异议，或者经核查异议不成立的项目，区科创局及时下达项目资助计划并拨付项目资金</w:t>
      </w:r>
      <w:r>
        <w:rPr>
          <w:rFonts w:hint="eastAsia" w:ascii="宋体" w:hAnsi="宋体" w:eastAsia="宋体" w:cs="宋体"/>
        </w:rPr>
        <w:t>；</w:t>
      </w:r>
      <w:r>
        <w:rPr>
          <w:rFonts w:hint="eastAsia" w:ascii="Times New Roman" w:hAnsi="Times New Roman"/>
        </w:rPr>
        <w:t>对核查异议成立的，不予立项。</w:t>
      </w:r>
    </w:p>
    <w:p>
      <w:pPr>
        <w:pStyle w:val="12"/>
        <w:ind w:firstLine="616"/>
        <w:rPr>
          <w:rFonts w:ascii="Times New Roman" w:hAnsi="Times New Roman"/>
        </w:rPr>
      </w:pPr>
      <w:r>
        <w:rPr>
          <w:rFonts w:hint="eastAsia" w:ascii="Times New Roman" w:hAnsi="Times New Roman"/>
        </w:rPr>
        <w:t>根据《中华人民共和国政府信息公开条例》等规定及有关工作要求，区科创局研究认为拟资助的项目符合相关不公示情形的，可以不予公示。</w:t>
      </w:r>
    </w:p>
    <w:p>
      <w:pPr>
        <w:pStyle w:val="12"/>
        <w:ind w:firstLine="618"/>
        <w:rPr>
          <w:rFonts w:ascii="Times New Roman" w:hAnsi="Times New Roman"/>
        </w:rPr>
      </w:pPr>
      <w:r>
        <w:rPr>
          <w:rFonts w:hint="eastAsia" w:ascii="Times New Roman" w:hAnsi="Times New Roman"/>
          <w:b/>
          <w:bCs/>
        </w:rPr>
        <w:t>第十六条  【任务书签订】</w:t>
      </w:r>
      <w:r>
        <w:rPr>
          <w:rFonts w:hint="eastAsia" w:ascii="Times New Roman" w:hAnsi="Times New Roman"/>
        </w:rPr>
        <w:t>项目承担单位应当在接到立项通知之日起30天内与区科创局签订项目任务书</w:t>
      </w:r>
      <w:r>
        <w:rPr>
          <w:rFonts w:hint="eastAsia" w:cs="仿宋_GB2312"/>
          <w:spacing w:val="0"/>
          <w:szCs w:val="32"/>
        </w:rPr>
        <w:t>（或项目合同）</w:t>
      </w:r>
      <w:r>
        <w:rPr>
          <w:rFonts w:hint="eastAsia" w:ascii="Times New Roman" w:hAnsi="Times New Roman"/>
        </w:rPr>
        <w:t>。任务书</w:t>
      </w:r>
      <w:r>
        <w:rPr>
          <w:rFonts w:hint="eastAsia" w:cs="仿宋_GB2312"/>
          <w:spacing w:val="0"/>
          <w:szCs w:val="32"/>
        </w:rPr>
        <w:t>（或项目合同）</w:t>
      </w:r>
      <w:r>
        <w:rPr>
          <w:rFonts w:hint="eastAsia" w:ascii="Times New Roman" w:hAnsi="Times New Roman"/>
        </w:rPr>
        <w:t>对项目任务、实施内容、绩效考核指标、知识产权归属等内容进行规定。</w:t>
      </w:r>
    </w:p>
    <w:p>
      <w:pPr>
        <w:pStyle w:val="12"/>
        <w:ind w:firstLine="616"/>
        <w:rPr>
          <w:rFonts w:hint="eastAsia"/>
        </w:rPr>
      </w:pPr>
    </w:p>
    <w:p>
      <w:pPr>
        <w:pStyle w:val="2"/>
        <w:jc w:val="center"/>
        <w:rPr>
          <w:rFonts w:ascii="Times New Roman" w:hAnsi="Times New Roman"/>
        </w:rPr>
      </w:pPr>
      <w:r>
        <w:rPr>
          <w:rFonts w:hint="eastAsia" w:ascii="Times New Roman" w:hAnsi="Times New Roman"/>
        </w:rPr>
        <w:t>第四章  实施与管理</w:t>
      </w:r>
    </w:p>
    <w:p>
      <w:pPr>
        <w:pStyle w:val="12"/>
        <w:ind w:firstLine="618"/>
        <w:rPr>
          <w:rFonts w:ascii="Times New Roman" w:hAnsi="Times New Roman"/>
        </w:rPr>
      </w:pPr>
      <w:r>
        <w:rPr>
          <w:rFonts w:hint="eastAsia" w:ascii="Times New Roman" w:hAnsi="Times New Roman"/>
          <w:b/>
          <w:bCs/>
        </w:rPr>
        <w:t>第十七条  【项目组织单位职责】</w:t>
      </w:r>
      <w:r>
        <w:rPr>
          <w:rFonts w:hint="eastAsia" w:ascii="Times New Roman" w:hAnsi="Times New Roman"/>
        </w:rPr>
        <w:t>经区科创局遴选委托，承担全周期管理职责的联合资助方（项目组织单位），应当履行以下职责：</w:t>
      </w:r>
    </w:p>
    <w:p>
      <w:pPr>
        <w:pStyle w:val="12"/>
        <w:ind w:firstLine="616"/>
        <w:rPr>
          <w:rFonts w:ascii="Times New Roman" w:hAnsi="Times New Roman"/>
        </w:rPr>
      </w:pPr>
      <w:r>
        <w:rPr>
          <w:rFonts w:hint="eastAsia" w:ascii="Times New Roman" w:hAnsi="Times New Roman"/>
        </w:rPr>
        <w:t>（一）课题凝练与指南制定。组织产业需求征集和专家论证，编制项目申报指南，报区科创局备案后发布；</w:t>
      </w:r>
    </w:p>
    <w:p>
      <w:pPr>
        <w:pStyle w:val="12"/>
        <w:ind w:firstLine="616"/>
        <w:rPr>
          <w:rFonts w:ascii="Times New Roman" w:hAnsi="Times New Roman"/>
        </w:rPr>
      </w:pPr>
      <w:r>
        <w:rPr>
          <w:rFonts w:hint="eastAsia" w:ascii="Times New Roman" w:hAnsi="Times New Roman"/>
        </w:rPr>
        <w:t>（二）项目受理与评审。受理项目申请，开展形式审查；组建评审专家组，组织通讯评审和会议评审，形成拟立项建议报区科创局备案；</w:t>
      </w:r>
    </w:p>
    <w:p>
      <w:pPr>
        <w:pStyle w:val="12"/>
        <w:ind w:firstLine="616"/>
        <w:rPr>
          <w:rFonts w:ascii="Times New Roman" w:hAnsi="Times New Roman"/>
        </w:rPr>
      </w:pPr>
      <w:r>
        <w:rPr>
          <w:rFonts w:hint="eastAsia" w:ascii="Times New Roman" w:hAnsi="Times New Roman"/>
        </w:rPr>
        <w:t>（三）合同签订与资金管理。与项目承担单位签订项目任务书，明确研究内容、考核指标和经费预算；设立专账管理财政资助资金，实行单独核算、专款专用；</w:t>
      </w:r>
    </w:p>
    <w:p>
      <w:pPr>
        <w:pStyle w:val="12"/>
        <w:ind w:firstLine="616"/>
        <w:rPr>
          <w:rFonts w:ascii="Times New Roman" w:hAnsi="Times New Roman"/>
        </w:rPr>
      </w:pPr>
      <w:r>
        <w:rPr>
          <w:rFonts w:hint="eastAsia" w:ascii="Times New Roman" w:hAnsi="Times New Roman"/>
        </w:rPr>
        <w:t>（四）过程管理与监督。组织项目中期检查、里程碑考核和年度评估；审批一般性变更</w:t>
      </w:r>
      <w:r>
        <w:rPr>
          <w:rFonts w:hint="eastAsia" w:ascii="Times New Roman" w:hAnsi="Times New Roman"/>
          <w:lang w:eastAsia="zh-CN"/>
        </w:rPr>
        <w:t>。</w:t>
      </w:r>
      <w:r>
        <w:rPr>
          <w:rFonts w:hint="eastAsia" w:ascii="Times New Roman" w:hAnsi="Times New Roman"/>
        </w:rPr>
        <w:t>重大变更报</w:t>
      </w:r>
      <w:r>
        <w:rPr>
          <w:rFonts w:hint="eastAsia" w:ascii="Times New Roman" w:hAnsi="Times New Roman"/>
          <w:lang w:eastAsia="zh-CN"/>
        </w:rPr>
        <w:t>需</w:t>
      </w:r>
      <w:r>
        <w:rPr>
          <w:rFonts w:hint="eastAsia" w:ascii="Times New Roman" w:hAnsi="Times New Roman"/>
        </w:rPr>
        <w:t>区科创局审批；</w:t>
      </w:r>
    </w:p>
    <w:p>
      <w:pPr>
        <w:pStyle w:val="12"/>
        <w:ind w:firstLine="616"/>
        <w:rPr>
          <w:rFonts w:ascii="Times New Roman" w:hAnsi="Times New Roman"/>
        </w:rPr>
      </w:pPr>
      <w:r>
        <w:rPr>
          <w:rFonts w:hint="eastAsia" w:ascii="Times New Roman" w:hAnsi="Times New Roman"/>
        </w:rPr>
        <w:t>（五）结题验收。组织项目结题验收，形成验收结论报区科创局审定；办理科技成果登记和知识产权归属确认。</w:t>
      </w:r>
    </w:p>
    <w:p>
      <w:pPr>
        <w:pStyle w:val="12"/>
        <w:ind w:firstLine="616"/>
        <w:rPr>
          <w:rFonts w:ascii="Times New Roman" w:hAnsi="Times New Roman"/>
        </w:rPr>
      </w:pPr>
      <w:r>
        <w:rPr>
          <w:rFonts w:hint="eastAsia" w:ascii="Times New Roman" w:hAnsi="Times New Roman"/>
        </w:rPr>
        <w:t>（六）关联单位管理。其关联单位申报该专项项目的，联合资助方应当主动申请回避，由区科创局或第三方独立机构接管该项目的评审、管理和验收；确保财政资助经费不得直接拨付至其关联单位账户。</w:t>
      </w:r>
    </w:p>
    <w:p>
      <w:pPr>
        <w:pStyle w:val="12"/>
        <w:ind w:firstLine="616"/>
        <w:rPr>
          <w:rFonts w:ascii="Times New Roman" w:hAnsi="Times New Roman"/>
        </w:rPr>
      </w:pPr>
      <w:r>
        <w:rPr>
          <w:rFonts w:hint="eastAsia" w:ascii="Times New Roman" w:hAnsi="Times New Roman"/>
        </w:rPr>
        <w:t>（七）报告与备案义务。指南发布、拟立项建议、重大变更、验收结论等事项，须在决定后5个工作日内报区科创局备案；每季度向区科创局报送项目进展情况和资金使用情况报告；发现重大风险或违规行为的，48小时内向区科创局书面报告。</w:t>
      </w:r>
    </w:p>
    <w:p>
      <w:pPr>
        <w:pStyle w:val="12"/>
        <w:ind w:firstLine="616"/>
        <w:rPr>
          <w:rFonts w:ascii="Times New Roman" w:hAnsi="Times New Roman"/>
        </w:rPr>
      </w:pPr>
      <w:r>
        <w:rPr>
          <w:rFonts w:hint="eastAsia" w:ascii="Times New Roman" w:hAnsi="Times New Roman"/>
        </w:rPr>
        <w:t>（八）接受监督。接受区科创局的抽查和专项审计；配合区科创局开展绩效评估，如实提供相关材料；对区科创局提出的整改要求，须在15个工作日内完成整改并反馈。</w:t>
      </w:r>
    </w:p>
    <w:p>
      <w:pPr>
        <w:pStyle w:val="12"/>
        <w:ind w:firstLine="616"/>
        <w:rPr>
          <w:rFonts w:ascii="Times New Roman" w:hAnsi="Times New Roman"/>
        </w:rPr>
      </w:pPr>
      <w:r>
        <w:rPr>
          <w:rFonts w:hint="eastAsia" w:ascii="Times New Roman" w:hAnsi="Times New Roman"/>
        </w:rPr>
        <w:t>联合资助方未履行上述职责，或存在利益输送、弄虚作假、严重违反负面清单等行为的，区科创局可采取暂停拨款、收回管理权限、取消联合资助方资格等措施，并依法追究责任。</w:t>
      </w:r>
    </w:p>
    <w:p>
      <w:pPr>
        <w:pStyle w:val="12"/>
        <w:ind w:firstLine="618"/>
        <w:rPr>
          <w:rFonts w:ascii="Times New Roman" w:hAnsi="Times New Roman"/>
        </w:rPr>
      </w:pPr>
      <w:r>
        <w:rPr>
          <w:rFonts w:hint="eastAsia" w:ascii="Times New Roman" w:hAnsi="Times New Roman"/>
          <w:b/>
          <w:bCs/>
        </w:rPr>
        <w:t>第十八条  【申报单位职责】</w:t>
      </w:r>
      <w:r>
        <w:rPr>
          <w:rFonts w:hint="eastAsia" w:ascii="Times New Roman" w:hAnsi="Times New Roman"/>
        </w:rPr>
        <w:t>项目承担单位在基金资助管理工作中履行下列职责：</w:t>
      </w:r>
    </w:p>
    <w:p>
      <w:pPr>
        <w:pStyle w:val="12"/>
        <w:ind w:firstLine="616"/>
        <w:rPr>
          <w:rFonts w:ascii="Times New Roman" w:hAnsi="Times New Roman"/>
        </w:rPr>
      </w:pPr>
      <w:r>
        <w:rPr>
          <w:rFonts w:hint="eastAsia" w:ascii="Times New Roman" w:hAnsi="Times New Roman"/>
        </w:rPr>
        <w:t xml:space="preserve">（一）组织项目申报并审核申请材料真实性； </w:t>
      </w:r>
    </w:p>
    <w:p>
      <w:pPr>
        <w:pStyle w:val="12"/>
        <w:ind w:firstLine="616"/>
        <w:rPr>
          <w:rFonts w:ascii="Times New Roman" w:hAnsi="Times New Roman"/>
        </w:rPr>
      </w:pPr>
      <w:r>
        <w:rPr>
          <w:rFonts w:hint="eastAsia" w:ascii="Times New Roman" w:hAnsi="Times New Roman"/>
        </w:rPr>
        <w:t>（二）为项目实施提供必要的科研条件，保障项目负责人和参与人实施项目的时间；</w:t>
      </w:r>
    </w:p>
    <w:p>
      <w:pPr>
        <w:pStyle w:val="12"/>
        <w:ind w:firstLine="616"/>
        <w:rPr>
          <w:rFonts w:ascii="Times New Roman" w:hAnsi="Times New Roman"/>
        </w:rPr>
      </w:pPr>
      <w:r>
        <w:rPr>
          <w:rFonts w:hint="eastAsia" w:ascii="Times New Roman" w:hAnsi="Times New Roman"/>
        </w:rPr>
        <w:t>（三）规范管理和监督项目经费使用；</w:t>
      </w:r>
    </w:p>
    <w:p>
      <w:pPr>
        <w:pStyle w:val="12"/>
        <w:ind w:firstLine="616"/>
        <w:rPr>
          <w:rFonts w:ascii="Times New Roman" w:hAnsi="Times New Roman"/>
        </w:rPr>
      </w:pPr>
      <w:r>
        <w:rPr>
          <w:rFonts w:hint="eastAsia" w:ascii="Times New Roman" w:hAnsi="Times New Roman"/>
        </w:rPr>
        <w:t>（四）对项目科技成果的知识产权进行管理，支持科技成果开放获取，促进科技成果转化；</w:t>
      </w:r>
    </w:p>
    <w:p>
      <w:pPr>
        <w:pStyle w:val="12"/>
        <w:ind w:firstLine="616"/>
        <w:rPr>
          <w:rFonts w:ascii="Times New Roman" w:hAnsi="Times New Roman"/>
        </w:rPr>
      </w:pPr>
      <w:r>
        <w:rPr>
          <w:rFonts w:hint="eastAsia" w:ascii="Times New Roman" w:hAnsi="Times New Roman"/>
        </w:rPr>
        <w:t>（五）配合开展项目检查、验收和绩效评估；</w:t>
      </w:r>
    </w:p>
    <w:p>
      <w:pPr>
        <w:pStyle w:val="12"/>
        <w:ind w:firstLine="616"/>
        <w:rPr>
          <w:rFonts w:ascii="Times New Roman" w:hAnsi="Times New Roman"/>
        </w:rPr>
      </w:pPr>
      <w:r>
        <w:rPr>
          <w:rFonts w:hint="eastAsia" w:ascii="Times New Roman" w:hAnsi="Times New Roman"/>
        </w:rPr>
        <w:t>（六）履行科技伦理管理主体责任，开展科技活动应进行科技伦理风险评估或审查，开展科技伦理高风险活动应按规定进行登记；</w:t>
      </w:r>
    </w:p>
    <w:p>
      <w:pPr>
        <w:pStyle w:val="12"/>
        <w:ind w:firstLine="616"/>
        <w:rPr>
          <w:rFonts w:ascii="Times New Roman" w:hAnsi="Times New Roman"/>
        </w:rPr>
      </w:pPr>
      <w:r>
        <w:rPr>
          <w:rFonts w:hint="eastAsia" w:ascii="Times New Roman" w:hAnsi="Times New Roman"/>
        </w:rPr>
        <w:t>（七）按要求完成区科创局委托的其他相关工作。</w:t>
      </w:r>
    </w:p>
    <w:p>
      <w:pPr>
        <w:pStyle w:val="12"/>
        <w:ind w:firstLine="618"/>
        <w:rPr>
          <w:rFonts w:hint="eastAsia"/>
        </w:rPr>
      </w:pPr>
      <w:bookmarkStart w:id="4" w:name="OLE_LINK7"/>
      <w:r>
        <w:rPr>
          <w:rFonts w:hint="eastAsia"/>
          <w:b/>
          <w:bCs/>
        </w:rPr>
        <w:t>第十九条  【</w:t>
      </w:r>
      <w:r>
        <w:rPr>
          <w:rStyle w:val="24"/>
          <w:rFonts w:hint="eastAsia" w:cs="仿宋_GB2312"/>
          <w:spacing w:val="0"/>
          <w:szCs w:val="32"/>
        </w:rPr>
        <w:t>项目实施</w:t>
      </w:r>
      <w:r>
        <w:rPr>
          <w:rFonts w:hint="eastAsia"/>
          <w:b/>
          <w:bCs/>
        </w:rPr>
        <w:t>】</w:t>
      </w:r>
      <w:r>
        <w:rPr>
          <w:rFonts w:hint="eastAsia"/>
        </w:rPr>
        <w:t>对于已签订项目任务书的，区科创</w:t>
      </w:r>
      <w:bookmarkEnd w:id="4"/>
      <w:r>
        <w:rPr>
          <w:rFonts w:hint="eastAsia"/>
        </w:rPr>
        <w:t>局按照该项目任务书要求，组织或委托第三方机构对项目进行监督和检查。对实施进度严重滞后或者难以达到预期绩效目标的项目，</w:t>
      </w:r>
      <w:bookmarkStart w:id="5" w:name="OLE_LINK5"/>
      <w:r>
        <w:rPr>
          <w:rFonts w:hint="eastAsia"/>
        </w:rPr>
        <w:t>区科创局</w:t>
      </w:r>
      <w:bookmarkEnd w:id="5"/>
      <w:r>
        <w:rPr>
          <w:rFonts w:hint="eastAsia"/>
        </w:rPr>
        <w:t>应当督促项目承担单位及时调整或者取消后续支持。</w:t>
      </w:r>
    </w:p>
    <w:p>
      <w:pPr>
        <w:pStyle w:val="12"/>
        <w:ind w:firstLine="616"/>
        <w:rPr>
          <w:rFonts w:ascii="Times New Roman" w:hAnsi="Times New Roman" w:cs="仿宋_GB2312"/>
          <w:lang w:bidi="ar"/>
        </w:rPr>
      </w:pPr>
      <w:r>
        <w:rPr>
          <w:rFonts w:hint="eastAsia"/>
        </w:rPr>
        <w:t>（一）市区协同项目的过程管理、变更、验收等参照</w:t>
      </w:r>
      <w:r>
        <w:rPr>
          <w:rFonts w:hint="eastAsia" w:ascii="Times New Roman" w:hAnsi="Times New Roman" w:cs="仿宋_GB2312"/>
          <w:lang w:bidi="ar"/>
        </w:rPr>
        <w:t>《深圳市科技研发项目管理办法》《深圳市科技计划项目验收管理办法》等规定执行。</w:t>
      </w:r>
    </w:p>
    <w:p>
      <w:pPr>
        <w:pStyle w:val="12"/>
        <w:ind w:firstLine="616"/>
        <w:rPr>
          <w:rFonts w:hint="eastAsia"/>
        </w:rPr>
      </w:pPr>
      <w:r>
        <w:rPr>
          <w:rFonts w:hint="eastAsia"/>
        </w:rPr>
        <w:t>（二）前沿探索项目及产学研联合重点专项采用阶段性评估资助方式。项目承担单位应当按要求提交阶段性评估报告及相关佐证材料。阶段性评估内容包括项目研发情况、项目组主要成员和其他成员在岗情况、项目实施保障条件、资金使用情况，以及项目的科技安全、伦理审查情况等。阶段性评估结果分为合格、限期整改、终止。</w:t>
      </w:r>
    </w:p>
    <w:p>
      <w:pPr>
        <w:pStyle w:val="12"/>
        <w:ind w:firstLine="616"/>
        <w:rPr>
          <w:rFonts w:hint="eastAsia"/>
        </w:rPr>
      </w:pPr>
      <w:r>
        <w:rPr>
          <w:rFonts w:hint="eastAsia"/>
        </w:rPr>
        <w:t>阶段性评估情况符合</w:t>
      </w:r>
      <w:r>
        <w:rPr>
          <w:rFonts w:hint="eastAsia" w:ascii="Times New Roman" w:hAnsi="Times New Roman"/>
        </w:rPr>
        <w:t>任务书</w:t>
      </w:r>
      <w:r>
        <w:rPr>
          <w:rFonts w:hint="eastAsia" w:cs="仿宋_GB2312"/>
          <w:spacing w:val="0"/>
          <w:szCs w:val="32"/>
        </w:rPr>
        <w:t>（或项目合同）</w:t>
      </w:r>
      <w:r>
        <w:rPr>
          <w:rFonts w:hint="eastAsia"/>
        </w:rPr>
        <w:t>及相关管理规定的，结果为合格，</w:t>
      </w:r>
      <w:bookmarkStart w:id="6" w:name="OLE_LINK6"/>
      <w:r>
        <w:rPr>
          <w:rFonts w:hint="eastAsia"/>
        </w:rPr>
        <w:t>区科创局</w:t>
      </w:r>
      <w:bookmarkEnd w:id="6"/>
      <w:r>
        <w:rPr>
          <w:rFonts w:hint="eastAsia"/>
        </w:rPr>
        <w:t>按</w:t>
      </w:r>
      <w:r>
        <w:rPr>
          <w:rFonts w:hint="eastAsia" w:ascii="Times New Roman" w:hAnsi="Times New Roman"/>
        </w:rPr>
        <w:t>任务书</w:t>
      </w:r>
      <w:r>
        <w:rPr>
          <w:rFonts w:hint="eastAsia" w:cs="仿宋_GB2312"/>
          <w:spacing w:val="0"/>
          <w:szCs w:val="32"/>
        </w:rPr>
        <w:t>（或项目合同）</w:t>
      </w:r>
      <w:r>
        <w:rPr>
          <w:rFonts w:hint="eastAsia"/>
        </w:rPr>
        <w:t>约定拨付款项，项目承担单位继续开展研发工作。</w:t>
      </w:r>
    </w:p>
    <w:p>
      <w:pPr>
        <w:pStyle w:val="12"/>
        <w:ind w:firstLine="616"/>
        <w:rPr>
          <w:rFonts w:hint="eastAsia"/>
        </w:rPr>
      </w:pPr>
      <w:r>
        <w:rPr>
          <w:rFonts w:hint="eastAsia"/>
        </w:rPr>
        <w:t>阶段性评估情况未达到合格的但可以整改的，结果为限期整改，区科创局暂停拨付剩余款项，并通知项目承担单位进行整改，整改期最长不超过6个月。每个项目有一次整改机会。项目承担单位应当在整改期内完成整改，并提交整改情况报告。整改后合格的项目，区科创局按合同书(任务书)约定拨付款项。逾期未提交整改情况报告，或者经评估后认为整改无效的，区科创局终止项目或由项目承担单位申请撤销项目。</w:t>
      </w:r>
    </w:p>
    <w:p>
      <w:pPr>
        <w:pStyle w:val="12"/>
        <w:ind w:firstLine="616"/>
        <w:rPr>
          <w:rFonts w:hint="eastAsia"/>
        </w:rPr>
      </w:pPr>
      <w:r>
        <w:rPr>
          <w:rFonts w:hint="eastAsia"/>
        </w:rPr>
        <w:t>经评估，认为项目无法整改的，阶段性评估结果为终止。</w:t>
      </w:r>
    </w:p>
    <w:p>
      <w:pPr>
        <w:pStyle w:val="12"/>
        <w:ind w:firstLine="618"/>
        <w:rPr>
          <w:rFonts w:hint="eastAsia"/>
        </w:rPr>
      </w:pPr>
      <w:r>
        <w:rPr>
          <w:rFonts w:hint="eastAsia"/>
          <w:b/>
          <w:bCs/>
        </w:rPr>
        <w:t>第二十条  【</w:t>
      </w:r>
      <w:r>
        <w:rPr>
          <w:rStyle w:val="24"/>
          <w:rFonts w:hint="eastAsia" w:cs="仿宋_GB2312"/>
          <w:spacing w:val="0"/>
          <w:szCs w:val="32"/>
        </w:rPr>
        <w:t>项目变更</w:t>
      </w:r>
      <w:r>
        <w:rPr>
          <w:rFonts w:hint="eastAsia"/>
          <w:b/>
          <w:bCs/>
        </w:rPr>
        <w:t>】</w:t>
      </w:r>
      <w:r>
        <w:rPr>
          <w:rFonts w:hint="eastAsia"/>
        </w:rPr>
        <w:t>项目实施期内，在研究方向不变、不降低绩效指标的前提下，项目承担单位可以自主调整研究方案和技术路线。</w:t>
      </w:r>
    </w:p>
    <w:p>
      <w:pPr>
        <w:pStyle w:val="12"/>
        <w:ind w:firstLine="616"/>
        <w:rPr>
          <w:rFonts w:hint="eastAsia"/>
        </w:rPr>
      </w:pPr>
      <w:r>
        <w:rPr>
          <w:rFonts w:hint="eastAsia"/>
        </w:rPr>
        <w:t>项目实施期内，项目合同内容一般不作调整；确需变更合同内容的，项目承担单位应当提出申请，经区科创局审查同意后方可变更，否则项目承担单位应当承担违约责任。</w:t>
      </w:r>
    </w:p>
    <w:p>
      <w:pPr>
        <w:pStyle w:val="12"/>
        <w:ind w:firstLine="616"/>
        <w:rPr>
          <w:rFonts w:hint="eastAsia"/>
        </w:rPr>
      </w:pPr>
      <w:r>
        <w:rPr>
          <w:rFonts w:hint="eastAsia"/>
        </w:rPr>
        <w:t>区科创局应当加强科技计划项目变更管理，对项目实施期内发生的目标调整、内容变更、项目负责人变更、承担单位变更等进行管理。</w:t>
      </w:r>
    </w:p>
    <w:p>
      <w:pPr>
        <w:pStyle w:val="12"/>
        <w:ind w:firstLine="618"/>
        <w:rPr>
          <w:rFonts w:hint="eastAsia"/>
        </w:rPr>
      </w:pPr>
      <w:r>
        <w:rPr>
          <w:rFonts w:hint="eastAsia"/>
          <w:b/>
          <w:bCs/>
        </w:rPr>
        <w:t>第二十一条  【项目延期】</w:t>
      </w:r>
      <w:r>
        <w:rPr>
          <w:rFonts w:hint="eastAsia"/>
        </w:rPr>
        <w:t>项目因故不能按期完成的，项目承担单位应当及时申请延期。延期申请最迟在项目执行期结束前3 个月提出，并报区科创局审核同意。项目延期原则上只能申请 1 次，延期时间原则上不超过 1 年。</w:t>
      </w:r>
    </w:p>
    <w:p>
      <w:pPr>
        <w:pStyle w:val="12"/>
        <w:ind w:firstLine="618"/>
        <w:rPr>
          <w:rFonts w:hint="eastAsia"/>
        </w:rPr>
      </w:pPr>
      <w:r>
        <w:rPr>
          <w:rFonts w:hint="eastAsia"/>
          <w:b/>
          <w:bCs/>
        </w:rPr>
        <w:t>第二十二条  【项目终止与撤销】</w:t>
      </w:r>
      <w:bookmarkStart w:id="7" w:name="OLE_LINK10"/>
      <w:r>
        <w:rPr>
          <w:rFonts w:hint="eastAsia"/>
        </w:rPr>
        <w:t>区科创局应当根据项目管理实际，对确需终止或者撤销的项目开展调整管理，保证财政专项资金安全。</w:t>
      </w:r>
    </w:p>
    <w:bookmarkEnd w:id="7"/>
    <w:p>
      <w:pPr>
        <w:pStyle w:val="12"/>
        <w:ind w:firstLine="616"/>
        <w:rPr>
          <w:rFonts w:hint="eastAsia"/>
        </w:rPr>
      </w:pPr>
      <w:r>
        <w:rPr>
          <w:rFonts w:hint="eastAsia"/>
        </w:rPr>
        <w:t>项目终止是指区科创局通过检查或者其他公务活动中发现项目无法继续实施，主动终止项目承担单位研发活动，停止后续拨款，视情况收回财政资金、利息和追究承担单位相关责任。</w:t>
      </w:r>
    </w:p>
    <w:p>
      <w:pPr>
        <w:pStyle w:val="12"/>
        <w:ind w:firstLine="616"/>
        <w:rPr>
          <w:rFonts w:hint="eastAsia"/>
        </w:rPr>
      </w:pPr>
      <w:r>
        <w:rPr>
          <w:rFonts w:hint="eastAsia"/>
        </w:rPr>
        <w:t>项目撤销是指在项目无法完成的情况下，承担单位向区科创局主动申请停止研发活动，退回全部财政资助资金和孳息。</w:t>
      </w:r>
    </w:p>
    <w:p>
      <w:pPr>
        <w:pStyle w:val="12"/>
        <w:ind w:firstLine="618"/>
        <w:rPr>
          <w:rFonts w:ascii="Times New Roman" w:hAnsi="Times New Roman"/>
        </w:rPr>
      </w:pPr>
      <w:r>
        <w:rPr>
          <w:rFonts w:hint="eastAsia" w:ascii="Times New Roman" w:hAnsi="Times New Roman"/>
          <w:b/>
          <w:bCs/>
        </w:rPr>
        <w:t>第二十三条  【经费管理】</w:t>
      </w:r>
      <w:r>
        <w:rPr>
          <w:rFonts w:hint="eastAsia" w:ascii="Times New Roman" w:hAnsi="Times New Roman"/>
        </w:rPr>
        <w:t>项目经费实行专款专用、单独核算。</w:t>
      </w:r>
      <w:bookmarkStart w:id="8" w:name="OLE_LINK11"/>
      <w:r>
        <w:rPr>
          <w:rFonts w:hint="eastAsia" w:ascii="Times New Roman" w:hAnsi="Times New Roman"/>
        </w:rPr>
        <w:t>市区协同项目按照市级经费管理进行拨付。前沿探索项目、产学研联合重点专项一般采取分期补助的方式，首期拨款一般不低于50%。</w:t>
      </w:r>
      <w:bookmarkEnd w:id="8"/>
    </w:p>
    <w:p>
      <w:pPr>
        <w:pStyle w:val="12"/>
        <w:ind w:firstLine="616"/>
        <w:rPr>
          <w:rFonts w:hint="eastAsia"/>
        </w:rPr>
      </w:pPr>
      <w:r>
        <w:rPr>
          <w:rFonts w:hint="eastAsia" w:ascii="Times New Roman" w:hAnsi="Times New Roman"/>
        </w:rPr>
        <w:t>项目实施过程中，区科创局可根据绩效情况调整后续拨付安排。结余资金和经费管理按照《深圳市科技研发资金管理办法》有关规定执行。</w:t>
      </w:r>
    </w:p>
    <w:p>
      <w:pPr>
        <w:spacing w:line="560" w:lineRule="exact"/>
        <w:ind w:firstLine="618" w:firstLineChars="200"/>
        <w:rPr>
          <w:rFonts w:ascii="Times New Roman" w:hAnsi="Times New Roman" w:cs="仿宋_GB2312"/>
          <w:lang w:bidi="ar"/>
        </w:rPr>
      </w:pPr>
      <w:r>
        <w:rPr>
          <w:rFonts w:hint="eastAsia" w:ascii="Times New Roman" w:hAnsi="Times New Roman" w:cs="仿宋_GB2312"/>
          <w:b/>
          <w:bCs/>
          <w:lang w:bidi="ar"/>
        </w:rPr>
        <w:t>第二十四条  【项目验收】</w:t>
      </w:r>
      <w:r>
        <w:rPr>
          <w:rFonts w:hint="eastAsia" w:ascii="Times New Roman" w:hAnsi="Times New Roman" w:cs="仿宋_GB2312"/>
          <w:lang w:bidi="ar"/>
        </w:rPr>
        <w:t>对于事前资助的项目或者按照国家、省和市相关规定需要验收的项目，</w:t>
      </w:r>
      <w:bookmarkStart w:id="9" w:name="OLE_LINK12"/>
      <w:r>
        <w:rPr>
          <w:rFonts w:hint="eastAsia" w:ascii="Times New Roman" w:hAnsi="Times New Roman" w:cs="仿宋_GB2312"/>
          <w:lang w:bidi="ar"/>
        </w:rPr>
        <w:t>区科创局按照任务书组织或委托第三方机构进行项目验收，对技术参数、知识产权、人员培养、转化成效等各项指标完成情况，以及经费管理、使用的合规性等事项进行核查。</w:t>
      </w:r>
    </w:p>
    <w:p>
      <w:pPr>
        <w:spacing w:line="560" w:lineRule="exact"/>
        <w:ind w:firstLine="616" w:firstLineChars="200"/>
        <w:rPr>
          <w:rFonts w:ascii="Times New Roman" w:hAnsi="Times New Roman" w:cs="仿宋_GB2312"/>
          <w:lang w:bidi="ar"/>
        </w:rPr>
      </w:pPr>
      <w:r>
        <w:rPr>
          <w:rFonts w:hint="eastAsia" w:ascii="Times New Roman" w:hAnsi="Times New Roman" w:cs="仿宋_GB2312"/>
          <w:lang w:bidi="ar"/>
        </w:rPr>
        <w:t>验收结果分为通过、结题、不通过。</w:t>
      </w:r>
    </w:p>
    <w:bookmarkEnd w:id="9"/>
    <w:p>
      <w:pPr>
        <w:spacing w:line="560" w:lineRule="exact"/>
        <w:ind w:firstLine="618" w:firstLineChars="200"/>
        <w:rPr>
          <w:rFonts w:ascii="Times New Roman" w:hAnsi="Times New Roman" w:cs="仿宋_GB2312"/>
          <w:lang w:bidi="ar"/>
        </w:rPr>
      </w:pPr>
      <w:r>
        <w:rPr>
          <w:rFonts w:hint="eastAsia" w:ascii="Times New Roman" w:hAnsi="Times New Roman" w:cs="仿宋_GB2312"/>
          <w:b/>
          <w:bCs/>
          <w:lang w:bidi="ar"/>
        </w:rPr>
        <w:t>第二十五条  【容错机制】</w:t>
      </w:r>
      <w:r>
        <w:rPr>
          <w:rFonts w:hint="eastAsia" w:ascii="Times New Roman" w:hAnsi="Times New Roman" w:cs="仿宋_GB2312"/>
          <w:lang w:bidi="ar"/>
        </w:rPr>
        <w:t>对于有证据证明项目承担单位已按任务书相关要求开展研发工作并履行勤勉义务，但确因不可抗力导致项目无法完成的，区科创局遵循鼓励创新、宽容失败的原则，可以根据实际适时补充、调整合同（任务书）相关条款，减轻或者免除项目承担单位和项目负责人相关合约责任。</w:t>
      </w:r>
    </w:p>
    <w:p>
      <w:pPr>
        <w:pStyle w:val="2"/>
        <w:jc w:val="center"/>
        <w:rPr>
          <w:rFonts w:ascii="Times New Roman" w:hAnsi="Times New Roman"/>
        </w:rPr>
      </w:pPr>
      <w:r>
        <w:rPr>
          <w:rFonts w:hint="eastAsia" w:ascii="Times New Roman" w:hAnsi="Times New Roman"/>
        </w:rPr>
        <w:t>第五章  成果转化支持</w:t>
      </w:r>
    </w:p>
    <w:p>
      <w:pPr>
        <w:pStyle w:val="12"/>
        <w:ind w:firstLine="618"/>
        <w:rPr>
          <w:rFonts w:ascii="Times New Roman" w:hAnsi="Times New Roman"/>
        </w:rPr>
      </w:pPr>
      <w:r>
        <w:rPr>
          <w:rFonts w:hint="eastAsia" w:ascii="Times New Roman" w:hAnsi="Times New Roman"/>
          <w:b/>
          <w:bCs/>
        </w:rPr>
        <w:t>第二十六条   【成果标注】</w:t>
      </w:r>
      <w:r>
        <w:rPr>
          <w:rFonts w:hint="eastAsia" w:ascii="Times New Roman" w:hAnsi="Times New Roman"/>
        </w:rPr>
        <w:t>区自然科学基金资助项目形成的论文、专著、专利等成果，应当标注“南山区自然科学基金资助项目”，英文为“Supported by Natural Science Foundation of Nanshan District”。</w:t>
      </w:r>
    </w:p>
    <w:p>
      <w:pPr>
        <w:pStyle w:val="12"/>
        <w:ind w:firstLine="618"/>
        <w:rPr>
          <w:rFonts w:hint="eastAsia"/>
        </w:rPr>
      </w:pPr>
      <w:r>
        <w:rPr>
          <w:rFonts w:hint="eastAsia"/>
          <w:b/>
          <w:bCs/>
        </w:rPr>
        <w:t>第二十七条  【成果权益管理】</w:t>
      </w:r>
      <w:r>
        <w:rPr>
          <w:rFonts w:hint="eastAsia"/>
        </w:rPr>
        <w:t>产学研联合重点专项所产生的研究成果及其所形成的知识产权，除涉及国家安全、国家利益和重大社会公共利益的外，可以经事先书面合同约定或事后书面协议变更确定研究成果及其所形成的知识产权的权属，一般情况下可以约定由项目实施方与联合出资方共有。未有协议约定的，按照相关法律、法规和有关政策规定执行。研究成果及其所形成的知识产权的转移、转让，应符合国家法律、法规和有关政策规定。</w:t>
      </w:r>
    </w:p>
    <w:p>
      <w:pPr>
        <w:pStyle w:val="12"/>
        <w:ind w:firstLine="616"/>
        <w:rPr>
          <w:rFonts w:hint="eastAsia"/>
        </w:rPr>
      </w:pPr>
      <w:r>
        <w:rPr>
          <w:rFonts w:hint="eastAsia"/>
        </w:rPr>
        <w:t>为促进研究成果的应用，在协商一致并经知识产权方同意，联合出资方可以对相关联合基金项目研究成果享有5年的优先使用权，具体使用方式双方另行协商。</w:t>
      </w:r>
    </w:p>
    <w:p>
      <w:pPr>
        <w:pStyle w:val="12"/>
        <w:ind w:firstLine="618"/>
        <w:rPr>
          <w:rFonts w:hint="eastAsia"/>
        </w:rPr>
      </w:pPr>
      <w:r>
        <w:rPr>
          <w:rFonts w:hint="eastAsia"/>
          <w:b/>
          <w:bCs/>
        </w:rPr>
        <w:t>第二十八条  【概念验证与中试衔接】</w:t>
      </w:r>
      <w:r>
        <w:rPr>
          <w:rFonts w:hint="eastAsia"/>
        </w:rPr>
        <w:t>基金项目形成的阶段性成果，符合条件的，可优先推荐纳入西丽湖国际科教城概念验证平台项目库，按照相关专项资金管理办法给予支持。</w:t>
      </w:r>
    </w:p>
    <w:p>
      <w:pPr>
        <w:pStyle w:val="12"/>
        <w:ind w:firstLine="616"/>
        <w:rPr>
          <w:rFonts w:hint="eastAsia"/>
        </w:rPr>
      </w:pPr>
      <w:r>
        <w:rPr>
          <w:rFonts w:hint="eastAsia"/>
        </w:rPr>
        <w:t>对具备产业化前景的项目成果，可对接南山区中试基地，提供中试验证、工程化放大及产业化辅导等服务。</w:t>
      </w:r>
    </w:p>
    <w:p>
      <w:pPr>
        <w:pStyle w:val="12"/>
        <w:ind w:firstLine="618"/>
        <w:rPr>
          <w:rFonts w:hint="eastAsia"/>
        </w:rPr>
      </w:pPr>
      <w:r>
        <w:rPr>
          <w:rFonts w:hint="eastAsia"/>
          <w:b/>
          <w:bCs/>
        </w:rPr>
        <w:t>第二十九条  【成果转化服务机制】</w:t>
      </w:r>
      <w:r>
        <w:rPr>
          <w:rFonts w:hint="eastAsia"/>
        </w:rPr>
        <w:t>区科创局建立区自然科学基金项目成果转化服务机制，依托南山区科技创新载体资源，为基金项目成果提供知识产权运营、技术交易对接、科技金融服务及创投机构对接等支持。</w:t>
      </w:r>
    </w:p>
    <w:p>
      <w:pPr>
        <w:pStyle w:val="12"/>
        <w:ind w:firstLine="616"/>
        <w:rPr>
          <w:rFonts w:hint="eastAsia"/>
        </w:rPr>
      </w:pPr>
      <w:r>
        <w:rPr>
          <w:rFonts w:hint="eastAsia"/>
        </w:rPr>
        <w:t>基金项目孵化形成的初创企业，符合条件的，可按照有关规定优先推荐入驻南山区相关科技孵化平台，享受孵化空间和科技金融等政策支持。</w:t>
      </w:r>
    </w:p>
    <w:p>
      <w:pPr>
        <w:pStyle w:val="2"/>
        <w:jc w:val="center"/>
        <w:rPr>
          <w:rFonts w:ascii="Times New Roman" w:hAnsi="Times New Roman"/>
        </w:rPr>
      </w:pPr>
      <w:r>
        <w:rPr>
          <w:rFonts w:hint="eastAsia" w:ascii="Times New Roman" w:hAnsi="Times New Roman"/>
        </w:rPr>
        <w:t>第六章  监督管理</w:t>
      </w:r>
    </w:p>
    <w:p>
      <w:pPr>
        <w:pStyle w:val="12"/>
        <w:ind w:firstLine="618"/>
        <w:rPr>
          <w:rFonts w:hint="eastAsia"/>
        </w:rPr>
      </w:pPr>
      <w:r>
        <w:rPr>
          <w:rFonts w:hint="eastAsia"/>
          <w:b/>
          <w:bCs/>
        </w:rPr>
        <w:t xml:space="preserve">第三十条  </w:t>
      </w:r>
      <w:r>
        <w:rPr>
          <w:rFonts w:hint="eastAsia"/>
        </w:rPr>
        <w:t>本办法有关项目经费使用与管理、过程管理、诚信管理、验收等未尽事项，按照《深圳市科技计划项目管理办法》《深圳市科技计划项目验收管理办法》《深圳市科技研发资金管理办法》《南山区促进产业高质量发展专项资金管理办法》等规定执行。</w:t>
      </w:r>
    </w:p>
    <w:p>
      <w:pPr>
        <w:pStyle w:val="12"/>
        <w:ind w:firstLine="618"/>
        <w:rPr>
          <w:rFonts w:hint="eastAsia"/>
        </w:rPr>
      </w:pPr>
      <w:r>
        <w:rPr>
          <w:rFonts w:hint="eastAsia"/>
          <w:b/>
          <w:bCs/>
        </w:rPr>
        <w:t xml:space="preserve">第三十一条  </w:t>
      </w:r>
      <w:r>
        <w:rPr>
          <w:rFonts w:hint="eastAsia"/>
        </w:rPr>
        <w:t>区科创局工作人员违反法律、法规以及本办法规定，依法追究行政责任，涉嫌犯罪的，依法移送司法机关处理。</w:t>
      </w:r>
    </w:p>
    <w:p>
      <w:pPr>
        <w:pStyle w:val="12"/>
        <w:ind w:firstLine="616"/>
        <w:rPr>
          <w:rFonts w:hint="eastAsia"/>
        </w:rPr>
      </w:pPr>
    </w:p>
    <w:p>
      <w:pPr>
        <w:pStyle w:val="2"/>
        <w:jc w:val="center"/>
        <w:rPr>
          <w:rFonts w:ascii="Times New Roman" w:hAnsi="Times New Roman"/>
        </w:rPr>
      </w:pPr>
      <w:r>
        <w:rPr>
          <w:rFonts w:hint="eastAsia" w:ascii="Times New Roman" w:hAnsi="Times New Roman"/>
        </w:rPr>
        <w:t>第七章  附则</w:t>
      </w:r>
    </w:p>
    <w:p>
      <w:pPr>
        <w:pStyle w:val="12"/>
        <w:ind w:firstLine="618"/>
        <w:rPr>
          <w:rFonts w:ascii="Times New Roman" w:hAnsi="Times New Roman"/>
        </w:rPr>
      </w:pPr>
      <w:r>
        <w:rPr>
          <w:rFonts w:hint="eastAsia" w:ascii="Times New Roman" w:hAnsi="Times New Roman"/>
          <w:b/>
          <w:bCs/>
        </w:rPr>
        <w:t xml:space="preserve">第三十二条  </w:t>
      </w:r>
      <w:r>
        <w:rPr>
          <w:rFonts w:hint="eastAsia" w:ascii="Times New Roman" w:hAnsi="Times New Roman"/>
        </w:rPr>
        <w:t>本办法自2026年X月X日起施行，有效期至202X年X月X日。</w:t>
      </w:r>
    </w:p>
    <w:sectPr>
      <w:headerReference r:id="rId3" w:type="default"/>
      <w:footerReference r:id="rId5" w:type="default"/>
      <w:headerReference r:id="rId4" w:type="even"/>
      <w:footerReference r:id="rId6" w:type="even"/>
      <w:pgSz w:w="11906" w:h="16838"/>
      <w:pgMar w:top="1962" w:right="1474" w:bottom="1848" w:left="1587" w:header="851" w:footer="1049"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0000019F" w:csb1="00000000"/>
  </w:font>
  <w:font w:name="方正小标宋_GBK">
    <w:panose1 w:val="02000000000000000000"/>
    <w:charset w:val="86"/>
    <w:family w:val="auto"/>
    <w:pitch w:val="default"/>
    <w:sig w:usb0="00000001" w:usb1="08000000" w:usb2="00000000" w:usb3="00000000" w:csb0="00040000" w:csb1="00000000"/>
  </w:font>
  <w:font w:name="___WRD_EMBED_SUB_46">
    <w:altName w:val="华文仿宋"/>
    <w:panose1 w:val="00000000000000000000"/>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969010" cy="230505"/>
              <wp:effectExtent l="0" t="3175" r="2540" b="0"/>
              <wp:wrapNone/>
              <wp:docPr id="1003166465" name="Text Box 3"/>
              <wp:cNvGraphicFramePr/>
              <a:graphic xmlns:a="http://schemas.openxmlformats.org/drawingml/2006/main">
                <a:graphicData uri="http://schemas.microsoft.com/office/word/2010/wordprocessingShape">
                  <wps:wsp>
                    <wps:cNvSpPr txBox="1">
                      <a:spLocks noChangeArrowheads="1"/>
                    </wps:cNvSpPr>
                    <wps:spPr bwMode="auto">
                      <a:xfrm>
                        <a:off x="0" y="0"/>
                        <a:ext cx="969010" cy="230505"/>
                      </a:xfrm>
                      <a:prstGeom prst="rect">
                        <a:avLst/>
                      </a:prstGeom>
                      <a:noFill/>
                      <a:ln>
                        <a:noFill/>
                      </a:ln>
                    </wps:spPr>
                    <wps:txbx>
                      <w:txbxContent>
                        <w:p>
                          <w:pPr>
                            <w:pStyle w:val="14"/>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vert="horz" wrap="none" lIns="203200" tIns="0" rIns="203200" bIns="0" anchor="t" anchorCtr="0" upright="1">
                      <a:spAutoFit/>
                    </wps:bodyPr>
                  </wps:wsp>
                </a:graphicData>
              </a:graphic>
            </wp:anchor>
          </w:drawing>
        </mc:Choice>
        <mc:Fallback>
          <w:pict>
            <v:shape id="Text Box 3" o:spid="_x0000_s1026" o:spt="202" type="#_x0000_t202" style="position:absolute;left:0pt;margin-top:1pt;height:18.15pt;width:76.3pt;mso-position-horizontal:outside;mso-position-horizontal-relative:margin;mso-wrap-style:none;z-index:251659264;mso-width-relative:page;mso-height-relative:page;" filled="f" stroked="f" coordsize="21600,21600" o:gfxdata="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KQoIePSAAAABQEAAA8A&#10;AAAAAAAAAQAgAAAAOAAAAGRycy9kb3ducmV2LnhtbFBLAQIUABQAAAAIAIdO4kBbJ9iFBwIAABQE&#10;AAAOAAAAAAAAAAEAIAAAADcBAABkcnMvZTJvRG9jLnhtbFBLBQYAAAAABgAGAFkBAACwBQAAAAA=&#10;">
              <v:fill on="f" focussize="0,0"/>
              <v:stroke on="f"/>
              <v:imagedata o:title=""/>
              <o:lock v:ext="edit" aspectratio="f"/>
              <v:textbox inset="16pt,0mm,16pt,0mm" style="mso-fit-shape-to-text:t;">
                <w:txbxContent>
                  <w:p>
                    <w:pPr>
                      <w:pStyle w:val="14"/>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969010" cy="230505"/>
              <wp:effectExtent l="0" t="3175" r="2540" b="0"/>
              <wp:wrapNone/>
              <wp:docPr id="1282065527" name="Text Box 4"/>
              <wp:cNvGraphicFramePr/>
              <a:graphic xmlns:a="http://schemas.openxmlformats.org/drawingml/2006/main">
                <a:graphicData uri="http://schemas.microsoft.com/office/word/2010/wordprocessingShape">
                  <wps:wsp>
                    <wps:cNvSpPr txBox="1">
                      <a:spLocks noChangeArrowheads="1"/>
                    </wps:cNvSpPr>
                    <wps:spPr bwMode="auto">
                      <a:xfrm>
                        <a:off x="0" y="0"/>
                        <a:ext cx="969010" cy="230505"/>
                      </a:xfrm>
                      <a:prstGeom prst="rect">
                        <a:avLst/>
                      </a:prstGeom>
                      <a:noFill/>
                      <a:ln>
                        <a:noFill/>
                      </a:ln>
                    </wps:spPr>
                    <wps:txbx>
                      <w:txbxContent>
                        <w:p>
                          <w:pPr>
                            <w:pStyle w:val="14"/>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vert="horz" wrap="none" lIns="203200" tIns="0" rIns="203200" bIns="0" anchor="t" anchorCtr="0" upright="1">
                      <a:spAutoFit/>
                    </wps:bodyPr>
                  </wps:wsp>
                </a:graphicData>
              </a:graphic>
            </wp:anchor>
          </w:drawing>
        </mc:Choice>
        <mc:Fallback>
          <w:pict>
            <v:shape id="Text Box 4" o:spid="_x0000_s1026" o:spt="202" type="#_x0000_t202" style="position:absolute;left:0pt;margin-top:1pt;height:18.15pt;width:76.3pt;mso-position-horizontal:outside;mso-position-horizontal-relative:margin;mso-wrap-style:none;z-index:251660288;mso-width-relative:page;mso-height-relative:page;" filled="f" stroked="f" coordsize="21600,21600" o:gfxdata="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KQoIePSAAAABQEAAA8A&#10;AAAAAAAAAQAgAAAAOAAAAGRycy9kb3ducmV2LnhtbFBLAQIUABQAAAAIAIdO4kASr4VlBwIAABQE&#10;AAAOAAAAAAAAAAEAIAAAADcBAABkcnMvZTJvRG9jLnhtbFBLBQYAAAAABgAGAFkBAACwBQAAAAA=&#10;">
              <v:fill on="f" focussize="0,0"/>
              <v:stroke on="f"/>
              <v:imagedata o:title=""/>
              <o:lock v:ext="edit" aspectratio="f"/>
              <v:textbox inset="16pt,0mm,16pt,0mm" style="mso-fit-shape-to-text:t;">
                <w:txbxContent>
                  <w:p>
                    <w:pPr>
                      <w:pStyle w:val="14"/>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noPunctuationKerning w:val="1"/>
  <w:characterSpacingControl w:val="doNotCompress"/>
  <w:hdrShapeDefaults>
    <o:shapelayout v:ext="edit">
      <o:idmap v:ext="edit" data="2"/>
    </o:shapelayout>
  </w:hdrShapeDefault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96"/>
    <w:rsid w:val="0000050B"/>
    <w:rsid w:val="000005B6"/>
    <w:rsid w:val="00012EB2"/>
    <w:rsid w:val="000147E8"/>
    <w:rsid w:val="00014C0F"/>
    <w:rsid w:val="0001523B"/>
    <w:rsid w:val="00017653"/>
    <w:rsid w:val="00021077"/>
    <w:rsid w:val="00025D2D"/>
    <w:rsid w:val="0002707E"/>
    <w:rsid w:val="00031DB2"/>
    <w:rsid w:val="000335A7"/>
    <w:rsid w:val="00040C8C"/>
    <w:rsid w:val="00041D5A"/>
    <w:rsid w:val="00041E69"/>
    <w:rsid w:val="000441D8"/>
    <w:rsid w:val="00046543"/>
    <w:rsid w:val="00061EA2"/>
    <w:rsid w:val="00063B4A"/>
    <w:rsid w:val="000665E2"/>
    <w:rsid w:val="00080047"/>
    <w:rsid w:val="00083951"/>
    <w:rsid w:val="00085E65"/>
    <w:rsid w:val="000864C0"/>
    <w:rsid w:val="0009275C"/>
    <w:rsid w:val="000A16AF"/>
    <w:rsid w:val="000A2754"/>
    <w:rsid w:val="000A4AF2"/>
    <w:rsid w:val="000B350F"/>
    <w:rsid w:val="000B585B"/>
    <w:rsid w:val="000B5A96"/>
    <w:rsid w:val="000C0D8B"/>
    <w:rsid w:val="000C3E0E"/>
    <w:rsid w:val="000D3365"/>
    <w:rsid w:val="000D35DB"/>
    <w:rsid w:val="000E5B16"/>
    <w:rsid w:val="000E7AC6"/>
    <w:rsid w:val="000F5539"/>
    <w:rsid w:val="000F6C98"/>
    <w:rsid w:val="00103D0B"/>
    <w:rsid w:val="00106D6A"/>
    <w:rsid w:val="00125F67"/>
    <w:rsid w:val="00126ACC"/>
    <w:rsid w:val="00126BF3"/>
    <w:rsid w:val="001367DB"/>
    <w:rsid w:val="00137A70"/>
    <w:rsid w:val="001403ED"/>
    <w:rsid w:val="001440EB"/>
    <w:rsid w:val="00151B11"/>
    <w:rsid w:val="001527E1"/>
    <w:rsid w:val="00162A29"/>
    <w:rsid w:val="00165BC5"/>
    <w:rsid w:val="001713C1"/>
    <w:rsid w:val="00171618"/>
    <w:rsid w:val="001747EF"/>
    <w:rsid w:val="00181BE3"/>
    <w:rsid w:val="001828BD"/>
    <w:rsid w:val="00183152"/>
    <w:rsid w:val="00183D03"/>
    <w:rsid w:val="00191050"/>
    <w:rsid w:val="0019559D"/>
    <w:rsid w:val="001959B6"/>
    <w:rsid w:val="00197DF1"/>
    <w:rsid w:val="001A0062"/>
    <w:rsid w:val="001A3644"/>
    <w:rsid w:val="001B0D95"/>
    <w:rsid w:val="001B3999"/>
    <w:rsid w:val="001B4994"/>
    <w:rsid w:val="001C13CC"/>
    <w:rsid w:val="001C16D9"/>
    <w:rsid w:val="001C26AC"/>
    <w:rsid w:val="001C5AB5"/>
    <w:rsid w:val="001C6BAA"/>
    <w:rsid w:val="001C7059"/>
    <w:rsid w:val="001D0374"/>
    <w:rsid w:val="001D78C8"/>
    <w:rsid w:val="001E3F46"/>
    <w:rsid w:val="001E70E1"/>
    <w:rsid w:val="001F09FF"/>
    <w:rsid w:val="001F165B"/>
    <w:rsid w:val="001F42AA"/>
    <w:rsid w:val="001F47ED"/>
    <w:rsid w:val="001F7D09"/>
    <w:rsid w:val="002038CD"/>
    <w:rsid w:val="002065E2"/>
    <w:rsid w:val="002130D2"/>
    <w:rsid w:val="002244B0"/>
    <w:rsid w:val="002317A3"/>
    <w:rsid w:val="00237E49"/>
    <w:rsid w:val="0024026C"/>
    <w:rsid w:val="00243C65"/>
    <w:rsid w:val="00244CC9"/>
    <w:rsid w:val="00244DBA"/>
    <w:rsid w:val="00245B9D"/>
    <w:rsid w:val="00245CE2"/>
    <w:rsid w:val="0025419C"/>
    <w:rsid w:val="0025509B"/>
    <w:rsid w:val="00255750"/>
    <w:rsid w:val="00260A20"/>
    <w:rsid w:val="002626C1"/>
    <w:rsid w:val="0029676C"/>
    <w:rsid w:val="002A2D52"/>
    <w:rsid w:val="002A5F79"/>
    <w:rsid w:val="002A7101"/>
    <w:rsid w:val="002A73C4"/>
    <w:rsid w:val="002A7FAD"/>
    <w:rsid w:val="002B1EC0"/>
    <w:rsid w:val="002B5F3B"/>
    <w:rsid w:val="002C237A"/>
    <w:rsid w:val="002C64D1"/>
    <w:rsid w:val="002D3CB0"/>
    <w:rsid w:val="002D5775"/>
    <w:rsid w:val="002D5B83"/>
    <w:rsid w:val="002D70E2"/>
    <w:rsid w:val="002D7B32"/>
    <w:rsid w:val="002E2412"/>
    <w:rsid w:val="002E527C"/>
    <w:rsid w:val="002E54D0"/>
    <w:rsid w:val="002E61F4"/>
    <w:rsid w:val="002E7310"/>
    <w:rsid w:val="002E796D"/>
    <w:rsid w:val="002F039D"/>
    <w:rsid w:val="002F10A1"/>
    <w:rsid w:val="002F1CB8"/>
    <w:rsid w:val="00307215"/>
    <w:rsid w:val="00312698"/>
    <w:rsid w:val="003128C7"/>
    <w:rsid w:val="003150EF"/>
    <w:rsid w:val="00315686"/>
    <w:rsid w:val="00317359"/>
    <w:rsid w:val="00324FCC"/>
    <w:rsid w:val="00325CD7"/>
    <w:rsid w:val="00327291"/>
    <w:rsid w:val="00331210"/>
    <w:rsid w:val="00350F68"/>
    <w:rsid w:val="00354A0D"/>
    <w:rsid w:val="00365AAF"/>
    <w:rsid w:val="00376A4D"/>
    <w:rsid w:val="003816E0"/>
    <w:rsid w:val="00381A0F"/>
    <w:rsid w:val="003824FD"/>
    <w:rsid w:val="003847B3"/>
    <w:rsid w:val="00386339"/>
    <w:rsid w:val="00392918"/>
    <w:rsid w:val="003A522F"/>
    <w:rsid w:val="003C006C"/>
    <w:rsid w:val="003C1369"/>
    <w:rsid w:val="003C29C3"/>
    <w:rsid w:val="003C47D8"/>
    <w:rsid w:val="003C4A9D"/>
    <w:rsid w:val="003C507B"/>
    <w:rsid w:val="003C566E"/>
    <w:rsid w:val="003C7A99"/>
    <w:rsid w:val="003D0371"/>
    <w:rsid w:val="003D227D"/>
    <w:rsid w:val="003D2C28"/>
    <w:rsid w:val="003E03B9"/>
    <w:rsid w:val="003E0AAD"/>
    <w:rsid w:val="003F2DB3"/>
    <w:rsid w:val="003F5B2A"/>
    <w:rsid w:val="003F5B7D"/>
    <w:rsid w:val="003F65B4"/>
    <w:rsid w:val="004003D7"/>
    <w:rsid w:val="00401633"/>
    <w:rsid w:val="0041162F"/>
    <w:rsid w:val="0041511A"/>
    <w:rsid w:val="00425526"/>
    <w:rsid w:val="00425EF8"/>
    <w:rsid w:val="00433526"/>
    <w:rsid w:val="0043614F"/>
    <w:rsid w:val="0045008E"/>
    <w:rsid w:val="00454A4C"/>
    <w:rsid w:val="00457001"/>
    <w:rsid w:val="004646E0"/>
    <w:rsid w:val="00473BF2"/>
    <w:rsid w:val="004765B1"/>
    <w:rsid w:val="00476728"/>
    <w:rsid w:val="004778FC"/>
    <w:rsid w:val="00484893"/>
    <w:rsid w:val="00485189"/>
    <w:rsid w:val="004873FE"/>
    <w:rsid w:val="0049744C"/>
    <w:rsid w:val="004A01B4"/>
    <w:rsid w:val="004A42F1"/>
    <w:rsid w:val="004A5D2B"/>
    <w:rsid w:val="004B32EC"/>
    <w:rsid w:val="004B7260"/>
    <w:rsid w:val="004C38CE"/>
    <w:rsid w:val="004D48EB"/>
    <w:rsid w:val="004D5FBA"/>
    <w:rsid w:val="004D634A"/>
    <w:rsid w:val="004E5068"/>
    <w:rsid w:val="004E6F73"/>
    <w:rsid w:val="004F4B98"/>
    <w:rsid w:val="004F5162"/>
    <w:rsid w:val="004F6D46"/>
    <w:rsid w:val="00507731"/>
    <w:rsid w:val="005172AB"/>
    <w:rsid w:val="00521DF3"/>
    <w:rsid w:val="0052716A"/>
    <w:rsid w:val="00527FE5"/>
    <w:rsid w:val="00532D3E"/>
    <w:rsid w:val="00534186"/>
    <w:rsid w:val="00537FF0"/>
    <w:rsid w:val="0055418E"/>
    <w:rsid w:val="005557A0"/>
    <w:rsid w:val="00556331"/>
    <w:rsid w:val="00561894"/>
    <w:rsid w:val="00567E01"/>
    <w:rsid w:val="0057082E"/>
    <w:rsid w:val="00576D19"/>
    <w:rsid w:val="00582975"/>
    <w:rsid w:val="0058717D"/>
    <w:rsid w:val="00595CB0"/>
    <w:rsid w:val="005A09BF"/>
    <w:rsid w:val="005A2F4C"/>
    <w:rsid w:val="005A6F35"/>
    <w:rsid w:val="005B65A7"/>
    <w:rsid w:val="005C0BC4"/>
    <w:rsid w:val="005C203A"/>
    <w:rsid w:val="005D33E6"/>
    <w:rsid w:val="005D6682"/>
    <w:rsid w:val="005E0A2A"/>
    <w:rsid w:val="005E2E9E"/>
    <w:rsid w:val="005F043C"/>
    <w:rsid w:val="005F178E"/>
    <w:rsid w:val="005F1D27"/>
    <w:rsid w:val="005F2B69"/>
    <w:rsid w:val="0060319A"/>
    <w:rsid w:val="00606271"/>
    <w:rsid w:val="0062165A"/>
    <w:rsid w:val="006224EE"/>
    <w:rsid w:val="00626030"/>
    <w:rsid w:val="00637CE8"/>
    <w:rsid w:val="00643E9F"/>
    <w:rsid w:val="006448A6"/>
    <w:rsid w:val="00644DB9"/>
    <w:rsid w:val="006471E4"/>
    <w:rsid w:val="00650426"/>
    <w:rsid w:val="00650DF9"/>
    <w:rsid w:val="00656231"/>
    <w:rsid w:val="006568CB"/>
    <w:rsid w:val="00656FCC"/>
    <w:rsid w:val="00661B8E"/>
    <w:rsid w:val="006665CC"/>
    <w:rsid w:val="0066671D"/>
    <w:rsid w:val="006668FC"/>
    <w:rsid w:val="00682226"/>
    <w:rsid w:val="00684193"/>
    <w:rsid w:val="00686FE7"/>
    <w:rsid w:val="00692DA1"/>
    <w:rsid w:val="0069314F"/>
    <w:rsid w:val="006938BD"/>
    <w:rsid w:val="006A1906"/>
    <w:rsid w:val="006A22B1"/>
    <w:rsid w:val="006B18EC"/>
    <w:rsid w:val="006B349E"/>
    <w:rsid w:val="006B69A6"/>
    <w:rsid w:val="006B7F3C"/>
    <w:rsid w:val="006C79D7"/>
    <w:rsid w:val="006E3692"/>
    <w:rsid w:val="006F41DC"/>
    <w:rsid w:val="006F7980"/>
    <w:rsid w:val="00710A93"/>
    <w:rsid w:val="00714E69"/>
    <w:rsid w:val="00717BD8"/>
    <w:rsid w:val="00721BDF"/>
    <w:rsid w:val="00724F8F"/>
    <w:rsid w:val="007361BD"/>
    <w:rsid w:val="00737A27"/>
    <w:rsid w:val="007628E6"/>
    <w:rsid w:val="00763CC3"/>
    <w:rsid w:val="00775DFC"/>
    <w:rsid w:val="0078320A"/>
    <w:rsid w:val="0078533C"/>
    <w:rsid w:val="007878DF"/>
    <w:rsid w:val="00795806"/>
    <w:rsid w:val="007A2732"/>
    <w:rsid w:val="007A31CA"/>
    <w:rsid w:val="007A3535"/>
    <w:rsid w:val="007A56B3"/>
    <w:rsid w:val="007B0524"/>
    <w:rsid w:val="007B5B5D"/>
    <w:rsid w:val="007B74C8"/>
    <w:rsid w:val="007C772E"/>
    <w:rsid w:val="007D41D1"/>
    <w:rsid w:val="007D5171"/>
    <w:rsid w:val="007D5505"/>
    <w:rsid w:val="007E0238"/>
    <w:rsid w:val="007E0515"/>
    <w:rsid w:val="007F2862"/>
    <w:rsid w:val="007F4C92"/>
    <w:rsid w:val="007F791A"/>
    <w:rsid w:val="00800B45"/>
    <w:rsid w:val="00810673"/>
    <w:rsid w:val="008117DD"/>
    <w:rsid w:val="0081671E"/>
    <w:rsid w:val="00816A59"/>
    <w:rsid w:val="00832157"/>
    <w:rsid w:val="00834ADE"/>
    <w:rsid w:val="00843492"/>
    <w:rsid w:val="00846CAA"/>
    <w:rsid w:val="00852F26"/>
    <w:rsid w:val="00853665"/>
    <w:rsid w:val="00853DDC"/>
    <w:rsid w:val="00854A6B"/>
    <w:rsid w:val="00856C30"/>
    <w:rsid w:val="00857D88"/>
    <w:rsid w:val="008648BD"/>
    <w:rsid w:val="0087679C"/>
    <w:rsid w:val="00883005"/>
    <w:rsid w:val="00883A60"/>
    <w:rsid w:val="0088525C"/>
    <w:rsid w:val="008917EE"/>
    <w:rsid w:val="00893F76"/>
    <w:rsid w:val="008949EF"/>
    <w:rsid w:val="00897C44"/>
    <w:rsid w:val="008A3897"/>
    <w:rsid w:val="008A5286"/>
    <w:rsid w:val="008A542B"/>
    <w:rsid w:val="008B5263"/>
    <w:rsid w:val="008C2AED"/>
    <w:rsid w:val="008D1869"/>
    <w:rsid w:val="008D1F43"/>
    <w:rsid w:val="008D5739"/>
    <w:rsid w:val="008E4E05"/>
    <w:rsid w:val="008E5381"/>
    <w:rsid w:val="008E663E"/>
    <w:rsid w:val="008E6885"/>
    <w:rsid w:val="008E7921"/>
    <w:rsid w:val="008E7985"/>
    <w:rsid w:val="008F0930"/>
    <w:rsid w:val="008F23E8"/>
    <w:rsid w:val="008F2B25"/>
    <w:rsid w:val="008F4F8D"/>
    <w:rsid w:val="008F55CA"/>
    <w:rsid w:val="0090558F"/>
    <w:rsid w:val="00910924"/>
    <w:rsid w:val="00911CF8"/>
    <w:rsid w:val="00912F6C"/>
    <w:rsid w:val="009130BC"/>
    <w:rsid w:val="00916418"/>
    <w:rsid w:val="00916572"/>
    <w:rsid w:val="00917637"/>
    <w:rsid w:val="009277C9"/>
    <w:rsid w:val="00931299"/>
    <w:rsid w:val="009319FD"/>
    <w:rsid w:val="009339F3"/>
    <w:rsid w:val="00933D42"/>
    <w:rsid w:val="00935F5F"/>
    <w:rsid w:val="0094548A"/>
    <w:rsid w:val="00954292"/>
    <w:rsid w:val="00955054"/>
    <w:rsid w:val="00955CE8"/>
    <w:rsid w:val="00956447"/>
    <w:rsid w:val="00963A9A"/>
    <w:rsid w:val="00963D62"/>
    <w:rsid w:val="009739D6"/>
    <w:rsid w:val="00976E53"/>
    <w:rsid w:val="009775AF"/>
    <w:rsid w:val="00984D23"/>
    <w:rsid w:val="00995DAE"/>
    <w:rsid w:val="009A0BE1"/>
    <w:rsid w:val="009A3A2F"/>
    <w:rsid w:val="009A548D"/>
    <w:rsid w:val="009B1882"/>
    <w:rsid w:val="009B2571"/>
    <w:rsid w:val="009B586F"/>
    <w:rsid w:val="009B6236"/>
    <w:rsid w:val="009C0305"/>
    <w:rsid w:val="009C0399"/>
    <w:rsid w:val="009C1F85"/>
    <w:rsid w:val="009C44DB"/>
    <w:rsid w:val="009C6C01"/>
    <w:rsid w:val="009C7F7A"/>
    <w:rsid w:val="009D60B7"/>
    <w:rsid w:val="009D729A"/>
    <w:rsid w:val="009E197C"/>
    <w:rsid w:val="009E1FFB"/>
    <w:rsid w:val="009E656D"/>
    <w:rsid w:val="009E657C"/>
    <w:rsid w:val="009E66FB"/>
    <w:rsid w:val="009E6EE6"/>
    <w:rsid w:val="00A01384"/>
    <w:rsid w:val="00A01A5C"/>
    <w:rsid w:val="00A12ABB"/>
    <w:rsid w:val="00A12CC3"/>
    <w:rsid w:val="00A25F2C"/>
    <w:rsid w:val="00A27478"/>
    <w:rsid w:val="00A30089"/>
    <w:rsid w:val="00A30457"/>
    <w:rsid w:val="00A3230D"/>
    <w:rsid w:val="00A32BAE"/>
    <w:rsid w:val="00A35B24"/>
    <w:rsid w:val="00A40E3F"/>
    <w:rsid w:val="00A426C4"/>
    <w:rsid w:val="00A45B04"/>
    <w:rsid w:val="00A46B84"/>
    <w:rsid w:val="00A51F86"/>
    <w:rsid w:val="00A55FC0"/>
    <w:rsid w:val="00A568E5"/>
    <w:rsid w:val="00A57E31"/>
    <w:rsid w:val="00A671C6"/>
    <w:rsid w:val="00A714A7"/>
    <w:rsid w:val="00A719D0"/>
    <w:rsid w:val="00A7394B"/>
    <w:rsid w:val="00A77103"/>
    <w:rsid w:val="00A84C3A"/>
    <w:rsid w:val="00A91F88"/>
    <w:rsid w:val="00A93B72"/>
    <w:rsid w:val="00A96218"/>
    <w:rsid w:val="00AA148B"/>
    <w:rsid w:val="00AA5DF1"/>
    <w:rsid w:val="00AB0349"/>
    <w:rsid w:val="00AB0930"/>
    <w:rsid w:val="00AB1112"/>
    <w:rsid w:val="00AB11E3"/>
    <w:rsid w:val="00AB2668"/>
    <w:rsid w:val="00AB6537"/>
    <w:rsid w:val="00AB6DCE"/>
    <w:rsid w:val="00AC2217"/>
    <w:rsid w:val="00AC3F4C"/>
    <w:rsid w:val="00AC46E1"/>
    <w:rsid w:val="00AD39D0"/>
    <w:rsid w:val="00AD7BFB"/>
    <w:rsid w:val="00AE0A4D"/>
    <w:rsid w:val="00AF1107"/>
    <w:rsid w:val="00AF3F02"/>
    <w:rsid w:val="00B0068E"/>
    <w:rsid w:val="00B0222F"/>
    <w:rsid w:val="00B02B39"/>
    <w:rsid w:val="00B03786"/>
    <w:rsid w:val="00B061E6"/>
    <w:rsid w:val="00B0652A"/>
    <w:rsid w:val="00B13842"/>
    <w:rsid w:val="00B158E3"/>
    <w:rsid w:val="00B170D9"/>
    <w:rsid w:val="00B2317F"/>
    <w:rsid w:val="00B23CB7"/>
    <w:rsid w:val="00B26B91"/>
    <w:rsid w:val="00B30945"/>
    <w:rsid w:val="00B32712"/>
    <w:rsid w:val="00B35272"/>
    <w:rsid w:val="00B3534A"/>
    <w:rsid w:val="00B40A12"/>
    <w:rsid w:val="00B41AA1"/>
    <w:rsid w:val="00B44944"/>
    <w:rsid w:val="00B47C90"/>
    <w:rsid w:val="00B50961"/>
    <w:rsid w:val="00B56305"/>
    <w:rsid w:val="00B56E7D"/>
    <w:rsid w:val="00B60783"/>
    <w:rsid w:val="00B62C35"/>
    <w:rsid w:val="00B63837"/>
    <w:rsid w:val="00B64B0B"/>
    <w:rsid w:val="00B701E2"/>
    <w:rsid w:val="00B70BF1"/>
    <w:rsid w:val="00B71E1A"/>
    <w:rsid w:val="00B75DBB"/>
    <w:rsid w:val="00B8398F"/>
    <w:rsid w:val="00B85303"/>
    <w:rsid w:val="00B91A52"/>
    <w:rsid w:val="00B92242"/>
    <w:rsid w:val="00B95926"/>
    <w:rsid w:val="00B9743A"/>
    <w:rsid w:val="00BA0544"/>
    <w:rsid w:val="00BA57DB"/>
    <w:rsid w:val="00BA7A6C"/>
    <w:rsid w:val="00BB7D4A"/>
    <w:rsid w:val="00BC309E"/>
    <w:rsid w:val="00BC5FE1"/>
    <w:rsid w:val="00BD4585"/>
    <w:rsid w:val="00BD5454"/>
    <w:rsid w:val="00BE160E"/>
    <w:rsid w:val="00BE3FB4"/>
    <w:rsid w:val="00BE72C7"/>
    <w:rsid w:val="00BF461C"/>
    <w:rsid w:val="00BF4E15"/>
    <w:rsid w:val="00BF6D86"/>
    <w:rsid w:val="00C00EBC"/>
    <w:rsid w:val="00C01240"/>
    <w:rsid w:val="00C02B02"/>
    <w:rsid w:val="00C04817"/>
    <w:rsid w:val="00C05A51"/>
    <w:rsid w:val="00C31A14"/>
    <w:rsid w:val="00C34E52"/>
    <w:rsid w:val="00C40CF3"/>
    <w:rsid w:val="00C416AF"/>
    <w:rsid w:val="00C44466"/>
    <w:rsid w:val="00C4499A"/>
    <w:rsid w:val="00C44A52"/>
    <w:rsid w:val="00C44CC0"/>
    <w:rsid w:val="00C469D7"/>
    <w:rsid w:val="00C47753"/>
    <w:rsid w:val="00C5494E"/>
    <w:rsid w:val="00C56DD8"/>
    <w:rsid w:val="00C649ED"/>
    <w:rsid w:val="00C67DE6"/>
    <w:rsid w:val="00C753D4"/>
    <w:rsid w:val="00C7622A"/>
    <w:rsid w:val="00C827FD"/>
    <w:rsid w:val="00C857EE"/>
    <w:rsid w:val="00C87649"/>
    <w:rsid w:val="00C92076"/>
    <w:rsid w:val="00C97394"/>
    <w:rsid w:val="00CA0C94"/>
    <w:rsid w:val="00CA11C0"/>
    <w:rsid w:val="00CB196E"/>
    <w:rsid w:val="00CB5124"/>
    <w:rsid w:val="00CC03AF"/>
    <w:rsid w:val="00CC168B"/>
    <w:rsid w:val="00CC1A64"/>
    <w:rsid w:val="00CC2145"/>
    <w:rsid w:val="00CC52B5"/>
    <w:rsid w:val="00CC63E4"/>
    <w:rsid w:val="00CD123F"/>
    <w:rsid w:val="00CD2398"/>
    <w:rsid w:val="00CD4A10"/>
    <w:rsid w:val="00CD4CCB"/>
    <w:rsid w:val="00CD4EC8"/>
    <w:rsid w:val="00CE03CB"/>
    <w:rsid w:val="00CE466E"/>
    <w:rsid w:val="00CF0120"/>
    <w:rsid w:val="00CF017F"/>
    <w:rsid w:val="00CF0417"/>
    <w:rsid w:val="00CF07EF"/>
    <w:rsid w:val="00CF1488"/>
    <w:rsid w:val="00CF1597"/>
    <w:rsid w:val="00CF398C"/>
    <w:rsid w:val="00CF4FE4"/>
    <w:rsid w:val="00CF673E"/>
    <w:rsid w:val="00D02344"/>
    <w:rsid w:val="00D05265"/>
    <w:rsid w:val="00D12AD4"/>
    <w:rsid w:val="00D150A6"/>
    <w:rsid w:val="00D16464"/>
    <w:rsid w:val="00D20834"/>
    <w:rsid w:val="00D214B9"/>
    <w:rsid w:val="00D218AF"/>
    <w:rsid w:val="00D355BF"/>
    <w:rsid w:val="00D36BE8"/>
    <w:rsid w:val="00D4123E"/>
    <w:rsid w:val="00D41781"/>
    <w:rsid w:val="00D418F6"/>
    <w:rsid w:val="00D46347"/>
    <w:rsid w:val="00D6009C"/>
    <w:rsid w:val="00D61C92"/>
    <w:rsid w:val="00D67696"/>
    <w:rsid w:val="00D73148"/>
    <w:rsid w:val="00D80722"/>
    <w:rsid w:val="00D83605"/>
    <w:rsid w:val="00D8613C"/>
    <w:rsid w:val="00D87D81"/>
    <w:rsid w:val="00D91ACA"/>
    <w:rsid w:val="00D91FC6"/>
    <w:rsid w:val="00D92C4B"/>
    <w:rsid w:val="00D9438F"/>
    <w:rsid w:val="00D947CA"/>
    <w:rsid w:val="00D94ADC"/>
    <w:rsid w:val="00D96316"/>
    <w:rsid w:val="00DA1AF8"/>
    <w:rsid w:val="00DA79D2"/>
    <w:rsid w:val="00DB2C7B"/>
    <w:rsid w:val="00DC1A93"/>
    <w:rsid w:val="00DC2D31"/>
    <w:rsid w:val="00DC5A31"/>
    <w:rsid w:val="00DC5FEE"/>
    <w:rsid w:val="00DD097F"/>
    <w:rsid w:val="00DD3D89"/>
    <w:rsid w:val="00DD792B"/>
    <w:rsid w:val="00DE36DE"/>
    <w:rsid w:val="00DE65FF"/>
    <w:rsid w:val="00DF0745"/>
    <w:rsid w:val="00DF28EF"/>
    <w:rsid w:val="00DF2CAE"/>
    <w:rsid w:val="00DF3348"/>
    <w:rsid w:val="00DF461C"/>
    <w:rsid w:val="00DF53E7"/>
    <w:rsid w:val="00DF65E7"/>
    <w:rsid w:val="00E0079F"/>
    <w:rsid w:val="00E02AA5"/>
    <w:rsid w:val="00E071C6"/>
    <w:rsid w:val="00E227B6"/>
    <w:rsid w:val="00E36AF4"/>
    <w:rsid w:val="00E37126"/>
    <w:rsid w:val="00E418D3"/>
    <w:rsid w:val="00E55759"/>
    <w:rsid w:val="00E654AF"/>
    <w:rsid w:val="00E66682"/>
    <w:rsid w:val="00E667ED"/>
    <w:rsid w:val="00E6680F"/>
    <w:rsid w:val="00E700A4"/>
    <w:rsid w:val="00E70769"/>
    <w:rsid w:val="00E71E50"/>
    <w:rsid w:val="00E73539"/>
    <w:rsid w:val="00E77985"/>
    <w:rsid w:val="00E83974"/>
    <w:rsid w:val="00E83D59"/>
    <w:rsid w:val="00E909CE"/>
    <w:rsid w:val="00E93AAC"/>
    <w:rsid w:val="00E9487A"/>
    <w:rsid w:val="00E97B4D"/>
    <w:rsid w:val="00EA4340"/>
    <w:rsid w:val="00EA515B"/>
    <w:rsid w:val="00EA5850"/>
    <w:rsid w:val="00EA5AB1"/>
    <w:rsid w:val="00EB02D5"/>
    <w:rsid w:val="00EB5499"/>
    <w:rsid w:val="00EB744F"/>
    <w:rsid w:val="00EC1ACE"/>
    <w:rsid w:val="00EC2C98"/>
    <w:rsid w:val="00EC4F20"/>
    <w:rsid w:val="00EC6DAB"/>
    <w:rsid w:val="00EC7AA5"/>
    <w:rsid w:val="00ED0D9D"/>
    <w:rsid w:val="00ED29E3"/>
    <w:rsid w:val="00EE4187"/>
    <w:rsid w:val="00EE681B"/>
    <w:rsid w:val="00EE7CB1"/>
    <w:rsid w:val="00EF1392"/>
    <w:rsid w:val="00EF2479"/>
    <w:rsid w:val="00EF3539"/>
    <w:rsid w:val="00EF3947"/>
    <w:rsid w:val="00EF5DEB"/>
    <w:rsid w:val="00F14257"/>
    <w:rsid w:val="00F14720"/>
    <w:rsid w:val="00F17E94"/>
    <w:rsid w:val="00F27053"/>
    <w:rsid w:val="00F35593"/>
    <w:rsid w:val="00F35C3A"/>
    <w:rsid w:val="00F3689C"/>
    <w:rsid w:val="00F4446E"/>
    <w:rsid w:val="00F44B4E"/>
    <w:rsid w:val="00F44D80"/>
    <w:rsid w:val="00F530D0"/>
    <w:rsid w:val="00F53470"/>
    <w:rsid w:val="00F57EDD"/>
    <w:rsid w:val="00F60998"/>
    <w:rsid w:val="00F60BC1"/>
    <w:rsid w:val="00F612F1"/>
    <w:rsid w:val="00F648FD"/>
    <w:rsid w:val="00F678F1"/>
    <w:rsid w:val="00F71E30"/>
    <w:rsid w:val="00F73093"/>
    <w:rsid w:val="00F7704F"/>
    <w:rsid w:val="00F83167"/>
    <w:rsid w:val="00F85621"/>
    <w:rsid w:val="00F8716F"/>
    <w:rsid w:val="00F90161"/>
    <w:rsid w:val="00FA3533"/>
    <w:rsid w:val="00FA4080"/>
    <w:rsid w:val="00FA6AAF"/>
    <w:rsid w:val="00FB71A4"/>
    <w:rsid w:val="00FB759C"/>
    <w:rsid w:val="00FC20A1"/>
    <w:rsid w:val="00FC6625"/>
    <w:rsid w:val="00FD4AC3"/>
    <w:rsid w:val="00FD4EC9"/>
    <w:rsid w:val="00FD564F"/>
    <w:rsid w:val="00FE3C24"/>
    <w:rsid w:val="00FE5DF0"/>
    <w:rsid w:val="00FE7410"/>
    <w:rsid w:val="00FF0EB2"/>
    <w:rsid w:val="00FF1F41"/>
    <w:rsid w:val="00FF3515"/>
    <w:rsid w:val="00FF6B39"/>
    <w:rsid w:val="03994A46"/>
    <w:rsid w:val="03F51E47"/>
    <w:rsid w:val="048D665D"/>
    <w:rsid w:val="06C850EF"/>
    <w:rsid w:val="072D12B0"/>
    <w:rsid w:val="07B5BCE9"/>
    <w:rsid w:val="08123789"/>
    <w:rsid w:val="0A0005F1"/>
    <w:rsid w:val="0A0D1A60"/>
    <w:rsid w:val="0C8114F3"/>
    <w:rsid w:val="0E5C4B92"/>
    <w:rsid w:val="0EF33C7B"/>
    <w:rsid w:val="107A7138"/>
    <w:rsid w:val="1214716F"/>
    <w:rsid w:val="17FA6EAF"/>
    <w:rsid w:val="18653A18"/>
    <w:rsid w:val="1A1F0BF5"/>
    <w:rsid w:val="1CF25D8B"/>
    <w:rsid w:val="1D4961E3"/>
    <w:rsid w:val="2603057C"/>
    <w:rsid w:val="2846660E"/>
    <w:rsid w:val="29F128FC"/>
    <w:rsid w:val="2D654A4E"/>
    <w:rsid w:val="329E22D1"/>
    <w:rsid w:val="34223CEE"/>
    <w:rsid w:val="38185992"/>
    <w:rsid w:val="385E1608"/>
    <w:rsid w:val="386E22D2"/>
    <w:rsid w:val="393F6533"/>
    <w:rsid w:val="3DFF4256"/>
    <w:rsid w:val="3EBFDDD5"/>
    <w:rsid w:val="3FDB42B9"/>
    <w:rsid w:val="40007F34"/>
    <w:rsid w:val="42473A8C"/>
    <w:rsid w:val="427A0E42"/>
    <w:rsid w:val="44F52317"/>
    <w:rsid w:val="458539AC"/>
    <w:rsid w:val="48893ADC"/>
    <w:rsid w:val="4A616E77"/>
    <w:rsid w:val="4C2962F7"/>
    <w:rsid w:val="4D9576BF"/>
    <w:rsid w:val="4DA529C3"/>
    <w:rsid w:val="4DE65C30"/>
    <w:rsid w:val="4EB3180F"/>
    <w:rsid w:val="4F7A3F06"/>
    <w:rsid w:val="541F2660"/>
    <w:rsid w:val="55172147"/>
    <w:rsid w:val="58A970BD"/>
    <w:rsid w:val="58AB5E83"/>
    <w:rsid w:val="5AB96070"/>
    <w:rsid w:val="5B2F73FF"/>
    <w:rsid w:val="5F9368B2"/>
    <w:rsid w:val="61355E2F"/>
    <w:rsid w:val="6345321B"/>
    <w:rsid w:val="676E5F75"/>
    <w:rsid w:val="69C012F1"/>
    <w:rsid w:val="6AD54E94"/>
    <w:rsid w:val="6B5F3F51"/>
    <w:rsid w:val="6DDE3730"/>
    <w:rsid w:val="6F5B2576"/>
    <w:rsid w:val="6F9FF60B"/>
    <w:rsid w:val="6FBFF005"/>
    <w:rsid w:val="6FD1562F"/>
    <w:rsid w:val="6FDEBA0C"/>
    <w:rsid w:val="70635AA3"/>
    <w:rsid w:val="72225189"/>
    <w:rsid w:val="73527DE4"/>
    <w:rsid w:val="75E579CC"/>
    <w:rsid w:val="75F74C43"/>
    <w:rsid w:val="78E10822"/>
    <w:rsid w:val="79B02245"/>
    <w:rsid w:val="79B279BB"/>
    <w:rsid w:val="7A6FC8A5"/>
    <w:rsid w:val="7B699A0C"/>
    <w:rsid w:val="7CDA0126"/>
    <w:rsid w:val="7FD68B61"/>
    <w:rsid w:val="8BBB44C0"/>
    <w:rsid w:val="B5576134"/>
    <w:rsid w:val="B76B1D50"/>
    <w:rsid w:val="BEFDC6C8"/>
    <w:rsid w:val="E7FD7F88"/>
    <w:rsid w:val="FB7E67CE"/>
    <w:rsid w:val="FC77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spacing w:val="-6"/>
      <w:kern w:val="2"/>
      <w:sz w:val="32"/>
      <w:szCs w:val="32"/>
      <w:lang w:val="en-US" w:eastAsia="zh-CN" w:bidi="ar-SA"/>
    </w:rPr>
  </w:style>
  <w:style w:type="paragraph" w:styleId="2">
    <w:name w:val="heading 1"/>
    <w:next w:val="1"/>
    <w:link w:val="29"/>
    <w:qFormat/>
    <w:uiPriority w:val="9"/>
    <w:pPr>
      <w:keepNext/>
      <w:keepLines/>
      <w:spacing w:line="560" w:lineRule="exact"/>
      <w:outlineLvl w:val="0"/>
    </w:pPr>
    <w:rPr>
      <w:rFonts w:ascii="黑体" w:hAnsi="黑体" w:eastAsia="黑体" w:cs="Times New Roman"/>
      <w:kern w:val="44"/>
      <w:sz w:val="32"/>
      <w:szCs w:val="32"/>
      <w:lang w:val="en-US" w:eastAsia="zh-CN" w:bidi="ar-SA"/>
    </w:rPr>
  </w:style>
  <w:style w:type="paragraph" w:styleId="3">
    <w:name w:val="heading 2"/>
    <w:next w:val="1"/>
    <w:link w:val="30"/>
    <w:unhideWhenUsed/>
    <w:qFormat/>
    <w:uiPriority w:val="9"/>
    <w:pPr>
      <w:keepNext/>
      <w:keepLines/>
      <w:spacing w:line="560" w:lineRule="exact"/>
      <w:ind w:firstLine="894" w:firstLineChars="200"/>
      <w:outlineLvl w:val="1"/>
    </w:pPr>
    <w:rPr>
      <w:rFonts w:ascii="楷体_GB2312" w:hAnsi="楷体_GB2312" w:eastAsia="楷体_GB2312" w:cs="Times New Roman"/>
      <w:sz w:val="32"/>
      <w:szCs w:val="32"/>
      <w:lang w:val="en-US" w:eastAsia="zh-CN" w:bidi="ar-SA"/>
    </w:rPr>
  </w:style>
  <w:style w:type="paragraph" w:styleId="4">
    <w:name w:val="heading 3"/>
    <w:next w:val="1"/>
    <w:link w:val="31"/>
    <w:semiHidden/>
    <w:unhideWhenUsed/>
    <w:qFormat/>
    <w:uiPriority w:val="9"/>
    <w:pPr>
      <w:keepNext/>
      <w:keepLines/>
      <w:spacing w:line="560" w:lineRule="exact"/>
      <w:ind w:firstLine="894" w:firstLineChars="200"/>
      <w:outlineLvl w:val="2"/>
    </w:pPr>
    <w:rPr>
      <w:rFonts w:ascii="仿宋_GB2312" w:hAnsi="仿宋_GB2312" w:eastAsia="仿宋_GB2312" w:cs="Times New Roman"/>
      <w:sz w:val="32"/>
      <w:szCs w:val="32"/>
      <w:lang w:val="en-US" w:eastAsia="zh-CN" w:bidi="ar-SA"/>
    </w:rPr>
  </w:style>
  <w:style w:type="paragraph" w:styleId="5">
    <w:name w:val="heading 4"/>
    <w:next w:val="1"/>
    <w:link w:val="32"/>
    <w:semiHidden/>
    <w:unhideWhenUsed/>
    <w:qFormat/>
    <w:uiPriority w:val="9"/>
    <w:pPr>
      <w:keepNext/>
      <w:keepLines/>
      <w:spacing w:line="560" w:lineRule="exact"/>
      <w:ind w:firstLine="894" w:firstLineChars="200"/>
      <w:outlineLvl w:val="3"/>
    </w:pPr>
    <w:rPr>
      <w:rFonts w:ascii="仿宋_GB2312" w:hAnsi="仿宋_GB2312" w:eastAsia="仿宋_GB2312" w:cs="Times New Roman"/>
      <w:sz w:val="32"/>
      <w:szCs w:val="32"/>
      <w:lang w:val="en-US" w:eastAsia="zh-CN" w:bidi="ar-SA"/>
    </w:rPr>
  </w:style>
  <w:style w:type="paragraph" w:styleId="6">
    <w:name w:val="heading 5"/>
    <w:next w:val="1"/>
    <w:link w:val="33"/>
    <w:semiHidden/>
    <w:unhideWhenUsed/>
    <w:qFormat/>
    <w:uiPriority w:val="9"/>
    <w:pPr>
      <w:spacing w:line="560" w:lineRule="exact"/>
      <w:ind w:firstLine="894" w:firstLineChars="200"/>
      <w:outlineLvl w:val="4"/>
    </w:pPr>
    <w:rPr>
      <w:rFonts w:ascii="仿宋_GB2312" w:hAnsi="仿宋_GB2312" w:eastAsia="仿宋_GB2312" w:cs="Times New Roman"/>
      <w:sz w:val="32"/>
      <w:szCs w:val="32"/>
      <w:lang w:val="en-US" w:eastAsia="zh-CN" w:bidi="ar-SA"/>
    </w:rPr>
  </w:style>
  <w:style w:type="paragraph" w:styleId="7">
    <w:name w:val="heading 6"/>
    <w:next w:val="1"/>
    <w:link w:val="34"/>
    <w:semiHidden/>
    <w:unhideWhenUsed/>
    <w:qFormat/>
    <w:uiPriority w:val="9"/>
    <w:pPr>
      <w:spacing w:line="560" w:lineRule="exact"/>
      <w:ind w:firstLine="894" w:firstLineChars="200"/>
      <w:outlineLvl w:val="5"/>
    </w:pPr>
    <w:rPr>
      <w:rFonts w:ascii="仿宋_GB2312" w:hAnsi="仿宋_GB2312" w:eastAsia="仿宋_GB2312" w:cs="Times New Roman"/>
      <w:sz w:val="32"/>
      <w:szCs w:val="32"/>
      <w:lang w:val="en-US" w:eastAsia="zh-CN" w:bidi="ar-SA"/>
    </w:rPr>
  </w:style>
  <w:style w:type="paragraph" w:styleId="8">
    <w:name w:val="heading 7"/>
    <w:next w:val="1"/>
    <w:link w:val="35"/>
    <w:semiHidden/>
    <w:unhideWhenUsed/>
    <w:qFormat/>
    <w:uiPriority w:val="9"/>
    <w:pPr>
      <w:spacing w:line="560" w:lineRule="exact"/>
      <w:ind w:firstLine="894" w:firstLineChars="200"/>
      <w:outlineLvl w:val="6"/>
    </w:pPr>
    <w:rPr>
      <w:rFonts w:ascii="仿宋_GB2312" w:hAnsi="仿宋_GB2312" w:eastAsia="仿宋_GB2312" w:cs="Times New Roman"/>
      <w:sz w:val="32"/>
      <w:szCs w:val="32"/>
      <w:lang w:val="en-US" w:eastAsia="zh-CN" w:bidi="ar-SA"/>
    </w:rPr>
  </w:style>
  <w:style w:type="paragraph" w:styleId="9">
    <w:name w:val="heading 8"/>
    <w:next w:val="1"/>
    <w:link w:val="36"/>
    <w:semiHidden/>
    <w:unhideWhenUsed/>
    <w:qFormat/>
    <w:uiPriority w:val="9"/>
    <w:pPr>
      <w:spacing w:line="560" w:lineRule="exact"/>
      <w:ind w:firstLine="894" w:firstLineChars="200"/>
      <w:outlineLvl w:val="7"/>
    </w:pPr>
    <w:rPr>
      <w:rFonts w:ascii="仿宋_GB2312" w:hAnsi="仿宋_GB2312" w:eastAsia="仿宋_GB2312" w:cs="Times New Roman"/>
      <w:sz w:val="32"/>
      <w:szCs w:val="32"/>
      <w:lang w:val="en-US" w:eastAsia="zh-CN" w:bidi="ar-SA"/>
    </w:rPr>
  </w:style>
  <w:style w:type="paragraph" w:styleId="10">
    <w:name w:val="heading 9"/>
    <w:next w:val="1"/>
    <w:link w:val="37"/>
    <w:semiHidden/>
    <w:unhideWhenUsed/>
    <w:qFormat/>
    <w:uiPriority w:val="9"/>
    <w:pPr>
      <w:spacing w:line="560" w:lineRule="exact"/>
      <w:ind w:firstLine="894" w:firstLineChars="200"/>
      <w:outlineLvl w:val="8"/>
    </w:pPr>
    <w:rPr>
      <w:rFonts w:ascii="仿宋_GB2312" w:hAnsi="仿宋_GB2312" w:eastAsia="仿宋_GB2312" w:cs="Times New Roman"/>
      <w:sz w:val="32"/>
      <w:szCs w:val="32"/>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2"/>
    <w:unhideWhenUsed/>
    <w:qFormat/>
    <w:uiPriority w:val="99"/>
    <w:pPr>
      <w:jc w:val="left"/>
    </w:pPr>
  </w:style>
  <w:style w:type="paragraph" w:styleId="12">
    <w:name w:val="Body Text"/>
    <w:link w:val="63"/>
    <w:unhideWhenUsed/>
    <w:qFormat/>
    <w:uiPriority w:val="99"/>
    <w:pPr>
      <w:spacing w:line="560" w:lineRule="exact"/>
      <w:ind w:firstLine="630" w:firstLineChars="200"/>
      <w:jc w:val="both"/>
    </w:pPr>
    <w:rPr>
      <w:rFonts w:ascii="仿宋_GB2312" w:hAnsi="仿宋_GB2312" w:eastAsia="仿宋_GB2312" w:cs="Times New Roman"/>
      <w:spacing w:val="-6"/>
      <w:sz w:val="32"/>
      <w:lang w:val="en-US" w:eastAsia="zh-CN" w:bidi="ar-SA"/>
    </w:rPr>
  </w:style>
  <w:style w:type="paragraph" w:styleId="13">
    <w:name w:val="endnote text"/>
    <w:basedOn w:val="1"/>
    <w:link w:val="50"/>
    <w:semiHidden/>
    <w:unhideWhenUsed/>
    <w:qFormat/>
    <w:uiPriority w:val="99"/>
    <w:pPr>
      <w:snapToGrid w:val="0"/>
      <w:jc w:val="left"/>
    </w:p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header"/>
    <w:basedOn w:val="1"/>
    <w:link w:val="47"/>
    <w:unhideWhenUsed/>
    <w:qFormat/>
    <w:uiPriority w:val="99"/>
    <w:pPr>
      <w:tabs>
        <w:tab w:val="center" w:pos="4153"/>
        <w:tab w:val="right" w:pos="8306"/>
      </w:tabs>
      <w:snapToGrid w:val="0"/>
      <w:jc w:val="center"/>
    </w:pPr>
    <w:rPr>
      <w:sz w:val="18"/>
      <w:szCs w:val="18"/>
    </w:rPr>
  </w:style>
  <w:style w:type="paragraph" w:styleId="16">
    <w:name w:val="Subtitle"/>
    <w:next w:val="1"/>
    <w:link w:val="39"/>
    <w:qFormat/>
    <w:uiPriority w:val="11"/>
    <w:pPr>
      <w:spacing w:line="560" w:lineRule="exact"/>
      <w:jc w:val="center"/>
      <w:outlineLvl w:val="1"/>
    </w:pPr>
    <w:rPr>
      <w:rFonts w:ascii="楷体_GB2312" w:hAnsi="楷体_GB2312" w:eastAsia="楷体_GB2312" w:cs="Times New Roman"/>
      <w:kern w:val="28"/>
      <w:sz w:val="32"/>
      <w:szCs w:val="32"/>
      <w:lang w:val="en-US" w:eastAsia="zh-CN" w:bidi="ar-SA"/>
    </w:rPr>
  </w:style>
  <w:style w:type="paragraph" w:styleId="17">
    <w:name w:val="footnote text"/>
    <w:basedOn w:val="1"/>
    <w:unhideWhenUsed/>
    <w:qFormat/>
    <w:uiPriority w:val="99"/>
    <w:pPr>
      <w:snapToGrid w:val="0"/>
      <w:jc w:val="left"/>
    </w:pPr>
    <w:rPr>
      <w:sz w:val="18"/>
    </w:rPr>
  </w:style>
  <w:style w:type="paragraph" w:styleId="18">
    <w:name w:val="Normal (Web)"/>
    <w:basedOn w:val="1"/>
    <w:unhideWhenUsed/>
    <w:qFormat/>
    <w:uiPriority w:val="99"/>
    <w:pPr>
      <w:spacing w:beforeAutospacing="1" w:afterAutospacing="1"/>
      <w:jc w:val="left"/>
    </w:pPr>
    <w:rPr>
      <w:kern w:val="0"/>
      <w:sz w:val="24"/>
    </w:rPr>
  </w:style>
  <w:style w:type="paragraph" w:styleId="19">
    <w:name w:val="Title"/>
    <w:next w:val="1"/>
    <w:link w:val="38"/>
    <w:qFormat/>
    <w:uiPriority w:val="10"/>
    <w:pPr>
      <w:spacing w:line="720" w:lineRule="exact"/>
      <w:jc w:val="center"/>
      <w:outlineLvl w:val="0"/>
    </w:pPr>
    <w:rPr>
      <w:rFonts w:ascii="微软雅黑" w:hAnsi="微软雅黑" w:eastAsia="微软雅黑" w:cs="Times New Roman"/>
      <w:sz w:val="44"/>
      <w:szCs w:val="44"/>
      <w:lang w:val="en-US" w:eastAsia="zh-CN" w:bidi="ar-SA"/>
    </w:rPr>
  </w:style>
  <w:style w:type="paragraph" w:styleId="20">
    <w:name w:val="annotation subject"/>
    <w:basedOn w:val="11"/>
    <w:next w:val="11"/>
    <w:link w:val="53"/>
    <w:semiHidden/>
    <w:unhideWhenUsed/>
    <w:qFormat/>
    <w:uiPriority w:val="99"/>
    <w:rPr>
      <w:b/>
      <w:bCs/>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ndnote reference"/>
    <w:basedOn w:val="23"/>
    <w:semiHidden/>
    <w:unhideWhenUsed/>
    <w:qFormat/>
    <w:uiPriority w:val="99"/>
    <w:rPr>
      <w:vertAlign w:val="superscript"/>
    </w:rPr>
  </w:style>
  <w:style w:type="character" w:styleId="26">
    <w:name w:val="Hyperlink"/>
    <w:basedOn w:val="23"/>
    <w:unhideWhenUsed/>
    <w:qFormat/>
    <w:uiPriority w:val="99"/>
    <w:rPr>
      <w:color w:val="0000FF" w:themeColor="hyperlink"/>
      <w:u w:val="single"/>
      <w14:textFill>
        <w14:solidFill>
          <w14:schemeClr w14:val="hlink"/>
        </w14:solidFill>
      </w14:textFill>
    </w:rPr>
  </w:style>
  <w:style w:type="character" w:styleId="27">
    <w:name w:val="annotation reference"/>
    <w:basedOn w:val="23"/>
    <w:semiHidden/>
    <w:unhideWhenUsed/>
    <w:qFormat/>
    <w:uiPriority w:val="99"/>
    <w:rPr>
      <w:sz w:val="21"/>
      <w:szCs w:val="21"/>
    </w:rPr>
  </w:style>
  <w:style w:type="character" w:styleId="28">
    <w:name w:val="footnote reference"/>
    <w:basedOn w:val="23"/>
    <w:semiHidden/>
    <w:unhideWhenUsed/>
    <w:qFormat/>
    <w:uiPriority w:val="99"/>
    <w:rPr>
      <w:vertAlign w:val="superscript"/>
    </w:rPr>
  </w:style>
  <w:style w:type="character" w:customStyle="1" w:styleId="29">
    <w:name w:val="标题 1 字符"/>
    <w:basedOn w:val="23"/>
    <w:link w:val="2"/>
    <w:qFormat/>
    <w:uiPriority w:val="9"/>
    <w:rPr>
      <w:rFonts w:ascii="黑体" w:hAnsi="黑体" w:eastAsia="黑体"/>
      <w:kern w:val="44"/>
      <w:sz w:val="32"/>
      <w:szCs w:val="32"/>
    </w:rPr>
  </w:style>
  <w:style w:type="character" w:customStyle="1" w:styleId="30">
    <w:name w:val="标题 2 字符"/>
    <w:basedOn w:val="23"/>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31">
    <w:name w:val="标题 3 字符"/>
    <w:basedOn w:val="23"/>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32">
    <w:name w:val="标题 4 字符"/>
    <w:basedOn w:val="23"/>
    <w:link w:val="5"/>
    <w:semiHidden/>
    <w:qFormat/>
    <w:uiPriority w:val="9"/>
    <w:rPr>
      <w:rFonts w:cstheme="majorBidi"/>
      <w:color w:val="376092" w:themeColor="accent1" w:themeShade="BF"/>
      <w:sz w:val="28"/>
      <w:szCs w:val="28"/>
    </w:rPr>
  </w:style>
  <w:style w:type="character" w:customStyle="1" w:styleId="33">
    <w:name w:val="标题 5 字符"/>
    <w:basedOn w:val="23"/>
    <w:link w:val="6"/>
    <w:semiHidden/>
    <w:qFormat/>
    <w:uiPriority w:val="9"/>
    <w:rPr>
      <w:rFonts w:cstheme="majorBidi"/>
      <w:color w:val="376092" w:themeColor="accent1" w:themeShade="BF"/>
      <w:sz w:val="24"/>
      <w:szCs w:val="24"/>
    </w:rPr>
  </w:style>
  <w:style w:type="character" w:customStyle="1" w:styleId="34">
    <w:name w:val="标题 6 字符"/>
    <w:basedOn w:val="23"/>
    <w:link w:val="7"/>
    <w:semiHidden/>
    <w:qFormat/>
    <w:uiPriority w:val="9"/>
    <w:rPr>
      <w:rFonts w:cstheme="majorBidi"/>
      <w:b/>
      <w:bCs/>
      <w:color w:val="376092" w:themeColor="accent1" w:themeShade="BF"/>
    </w:rPr>
  </w:style>
  <w:style w:type="character" w:customStyle="1" w:styleId="35">
    <w:name w:val="标题 7 字符"/>
    <w:basedOn w:val="2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3"/>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3"/>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23"/>
    <w:qFormat/>
    <w:uiPriority w:val="21"/>
    <w:rPr>
      <w:i/>
      <w:iCs/>
      <w:color w:val="376092" w:themeColor="accent1" w:themeShade="BF"/>
    </w:rPr>
  </w:style>
  <w:style w:type="paragraph" w:styleId="44">
    <w:name w:val="Intense Quote"/>
    <w:basedOn w:val="1"/>
    <w:next w:val="1"/>
    <w:link w:val="45"/>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45">
    <w:name w:val="明显引用 字符"/>
    <w:basedOn w:val="23"/>
    <w:link w:val="44"/>
    <w:qFormat/>
    <w:uiPriority w:val="30"/>
    <w:rPr>
      <w:i/>
      <w:iCs/>
      <w:color w:val="376092" w:themeColor="accent1" w:themeShade="BF"/>
    </w:rPr>
  </w:style>
  <w:style w:type="character" w:customStyle="1" w:styleId="46">
    <w:name w:val="明显参考1"/>
    <w:basedOn w:val="23"/>
    <w:qFormat/>
    <w:uiPriority w:val="32"/>
    <w:rPr>
      <w:b/>
      <w:bCs/>
      <w:smallCaps/>
      <w:color w:val="376092" w:themeColor="accent1" w:themeShade="BF"/>
      <w:spacing w:val="5"/>
    </w:rPr>
  </w:style>
  <w:style w:type="character" w:customStyle="1" w:styleId="47">
    <w:name w:val="页眉 字符"/>
    <w:basedOn w:val="23"/>
    <w:link w:val="15"/>
    <w:qFormat/>
    <w:uiPriority w:val="99"/>
    <w:rPr>
      <w:sz w:val="18"/>
      <w:szCs w:val="18"/>
    </w:rPr>
  </w:style>
  <w:style w:type="character" w:customStyle="1" w:styleId="48">
    <w:name w:val="页脚 字符"/>
    <w:basedOn w:val="23"/>
    <w:link w:val="14"/>
    <w:qFormat/>
    <w:uiPriority w:val="99"/>
    <w:rPr>
      <w:sz w:val="18"/>
      <w:szCs w:val="18"/>
    </w:rPr>
  </w:style>
  <w:style w:type="paragraph" w:customStyle="1" w:styleId="49">
    <w:name w:val="修订1"/>
    <w:hidden/>
    <w:unhideWhenUsed/>
    <w:qFormat/>
    <w:uiPriority w:val="99"/>
    <w:rPr>
      <w:rFonts w:ascii="仿宋_GB2312" w:hAnsi="仿宋_GB2312" w:eastAsia="仿宋_GB2312" w:cs="Times New Roman"/>
      <w:spacing w:val="-6"/>
      <w:kern w:val="2"/>
      <w:sz w:val="32"/>
      <w:szCs w:val="32"/>
      <w:lang w:val="en-US" w:eastAsia="zh-CN" w:bidi="ar-SA"/>
    </w:rPr>
  </w:style>
  <w:style w:type="character" w:customStyle="1" w:styleId="50">
    <w:name w:val="尾注文本 字符"/>
    <w:basedOn w:val="23"/>
    <w:link w:val="13"/>
    <w:semiHidden/>
    <w:qFormat/>
    <w:uiPriority w:val="99"/>
    <w:rPr>
      <w:rFonts w:ascii="仿宋_GB2312" w:hAnsi="仿宋_GB2312" w:eastAsia="仿宋_GB2312"/>
      <w:spacing w:val="-6"/>
      <w:kern w:val="2"/>
      <w:sz w:val="32"/>
      <w:szCs w:val="32"/>
    </w:rPr>
  </w:style>
  <w:style w:type="paragraph" w:customStyle="1" w:styleId="51">
    <w:name w:val="修订2"/>
    <w:hidden/>
    <w:unhideWhenUsed/>
    <w:qFormat/>
    <w:uiPriority w:val="99"/>
    <w:rPr>
      <w:rFonts w:ascii="仿宋_GB2312" w:hAnsi="仿宋_GB2312" w:eastAsia="仿宋_GB2312" w:cs="Times New Roman"/>
      <w:spacing w:val="-6"/>
      <w:kern w:val="2"/>
      <w:sz w:val="32"/>
      <w:szCs w:val="32"/>
      <w:lang w:val="en-US" w:eastAsia="zh-CN" w:bidi="ar-SA"/>
    </w:rPr>
  </w:style>
  <w:style w:type="character" w:customStyle="1" w:styleId="52">
    <w:name w:val="批注文字 字符"/>
    <w:basedOn w:val="23"/>
    <w:link w:val="11"/>
    <w:qFormat/>
    <w:uiPriority w:val="99"/>
    <w:rPr>
      <w:rFonts w:ascii="仿宋_GB2312" w:hAnsi="仿宋_GB2312" w:eastAsia="仿宋_GB2312"/>
      <w:spacing w:val="-6"/>
      <w:kern w:val="2"/>
      <w:sz w:val="32"/>
      <w:szCs w:val="32"/>
    </w:rPr>
  </w:style>
  <w:style w:type="character" w:customStyle="1" w:styleId="53">
    <w:name w:val="批注主题 字符"/>
    <w:basedOn w:val="52"/>
    <w:link w:val="20"/>
    <w:semiHidden/>
    <w:qFormat/>
    <w:uiPriority w:val="99"/>
    <w:rPr>
      <w:rFonts w:ascii="仿宋_GB2312" w:hAnsi="仿宋_GB2312" w:eastAsia="仿宋_GB2312"/>
      <w:b/>
      <w:bCs/>
      <w:spacing w:val="-6"/>
      <w:kern w:val="2"/>
      <w:sz w:val="32"/>
      <w:szCs w:val="32"/>
    </w:rPr>
  </w:style>
  <w:style w:type="paragraph" w:customStyle="1" w:styleId="54">
    <w:name w:val="修订3"/>
    <w:hidden/>
    <w:unhideWhenUsed/>
    <w:qFormat/>
    <w:uiPriority w:val="99"/>
    <w:rPr>
      <w:rFonts w:ascii="仿宋_GB2312" w:hAnsi="仿宋_GB2312" w:eastAsia="仿宋_GB2312" w:cs="Times New Roman"/>
      <w:spacing w:val="-6"/>
      <w:kern w:val="2"/>
      <w:sz w:val="32"/>
      <w:szCs w:val="32"/>
      <w:lang w:val="en-US" w:eastAsia="zh-CN" w:bidi="ar-SA"/>
    </w:rPr>
  </w:style>
  <w:style w:type="paragraph" w:customStyle="1" w:styleId="55">
    <w:name w:val="修订4"/>
    <w:hidden/>
    <w:unhideWhenUsed/>
    <w:qFormat/>
    <w:uiPriority w:val="99"/>
    <w:rPr>
      <w:rFonts w:ascii="仿宋_GB2312" w:hAnsi="仿宋_GB2312" w:eastAsia="仿宋_GB2312" w:cs="Times New Roman"/>
      <w:spacing w:val="-6"/>
      <w:kern w:val="2"/>
      <w:sz w:val="32"/>
      <w:szCs w:val="32"/>
      <w:lang w:val="en-US" w:eastAsia="zh-CN" w:bidi="ar-SA"/>
    </w:rPr>
  </w:style>
  <w:style w:type="paragraph" w:customStyle="1" w:styleId="56">
    <w:name w:val="修订5"/>
    <w:hidden/>
    <w:unhideWhenUsed/>
    <w:qFormat/>
    <w:uiPriority w:val="99"/>
    <w:rPr>
      <w:rFonts w:ascii="仿宋_GB2312" w:hAnsi="仿宋_GB2312" w:eastAsia="仿宋_GB2312" w:cs="Times New Roman"/>
      <w:spacing w:val="-6"/>
      <w:kern w:val="2"/>
      <w:sz w:val="32"/>
      <w:szCs w:val="32"/>
      <w:lang w:val="en-US" w:eastAsia="zh-CN" w:bidi="ar-SA"/>
    </w:rPr>
  </w:style>
  <w:style w:type="character" w:customStyle="1" w:styleId="57">
    <w:name w:val="未处理的提及1"/>
    <w:basedOn w:val="23"/>
    <w:semiHidden/>
    <w:unhideWhenUsed/>
    <w:qFormat/>
    <w:uiPriority w:val="99"/>
    <w:rPr>
      <w:color w:val="605E5C"/>
      <w:shd w:val="clear" w:color="auto" w:fill="E1DFDD"/>
    </w:rPr>
  </w:style>
  <w:style w:type="paragraph" w:customStyle="1" w:styleId="58">
    <w:name w:val="修订6"/>
    <w:hidden/>
    <w:unhideWhenUsed/>
    <w:qFormat/>
    <w:uiPriority w:val="99"/>
    <w:rPr>
      <w:rFonts w:ascii="仿宋_GB2312" w:hAnsi="仿宋_GB2312" w:eastAsia="仿宋_GB2312" w:cs="Times New Roman"/>
      <w:spacing w:val="-6"/>
      <w:kern w:val="2"/>
      <w:sz w:val="32"/>
      <w:szCs w:val="32"/>
      <w:lang w:val="en-US" w:eastAsia="zh-CN" w:bidi="ar-SA"/>
    </w:rPr>
  </w:style>
  <w:style w:type="paragraph" w:customStyle="1" w:styleId="59">
    <w:name w:val="17babae4-54f0-44fa-a444-1068224df0ac"/>
    <w:basedOn w:val="19"/>
    <w:next w:val="60"/>
    <w:link w:val="61"/>
    <w:qFormat/>
    <w:uiPriority w:val="0"/>
    <w:pPr>
      <w:adjustRightInd w:val="0"/>
      <w:spacing w:line="288" w:lineRule="auto"/>
      <w:ind w:firstLine="200" w:firstLineChars="200"/>
    </w:pPr>
    <w:rPr>
      <w:b/>
      <w:color w:val="000000"/>
      <w:sz w:val="40"/>
    </w:rPr>
  </w:style>
  <w:style w:type="paragraph" w:customStyle="1" w:styleId="60">
    <w:name w:val="acbfdd8b-e11b-4d36-88ff-6049b138f862"/>
    <w:basedOn w:val="1"/>
    <w:link w:val="62"/>
    <w:qFormat/>
    <w:uiPriority w:val="0"/>
    <w:pPr>
      <w:adjustRightInd w:val="0"/>
      <w:spacing w:line="288" w:lineRule="auto"/>
      <w:ind w:firstLine="200" w:firstLineChars="200"/>
      <w:jc w:val="left"/>
    </w:pPr>
    <w:rPr>
      <w:rFonts w:ascii="微软雅黑" w:hAnsi="微软雅黑" w:eastAsia="微软雅黑"/>
      <w:color w:val="000000"/>
      <w:sz w:val="22"/>
    </w:rPr>
  </w:style>
  <w:style w:type="character" w:customStyle="1" w:styleId="61">
    <w:name w:val="17babae4-54f0-44fa-a444-1068224df0ac 字符"/>
    <w:basedOn w:val="23"/>
    <w:link w:val="59"/>
    <w:qFormat/>
    <w:uiPriority w:val="0"/>
    <w:rPr>
      <w:rFonts w:ascii="微软雅黑" w:hAnsi="微软雅黑" w:eastAsia="微软雅黑"/>
      <w:b/>
      <w:color w:val="000000"/>
      <w:sz w:val="40"/>
      <w:szCs w:val="44"/>
    </w:rPr>
  </w:style>
  <w:style w:type="character" w:customStyle="1" w:styleId="62">
    <w:name w:val="acbfdd8b-e11b-4d36-88ff-6049b138f862 字符"/>
    <w:basedOn w:val="23"/>
    <w:link w:val="60"/>
    <w:qFormat/>
    <w:uiPriority w:val="0"/>
    <w:rPr>
      <w:rFonts w:ascii="微软雅黑" w:hAnsi="微软雅黑" w:eastAsia="微软雅黑"/>
      <w:color w:val="000000"/>
      <w:spacing w:val="-6"/>
      <w:kern w:val="2"/>
      <w:sz w:val="22"/>
      <w:szCs w:val="32"/>
    </w:rPr>
  </w:style>
  <w:style w:type="character" w:customStyle="1" w:styleId="63">
    <w:name w:val="正文文本 字符"/>
    <w:basedOn w:val="23"/>
    <w:link w:val="12"/>
    <w:qFormat/>
    <w:uiPriority w:val="99"/>
    <w:rPr>
      <w:rFonts w:ascii="仿宋_GB2312" w:hAnsi="仿宋_GB2312" w:eastAsia="仿宋_GB2312"/>
      <w:spacing w:val="-6"/>
      <w:sz w:val="32"/>
    </w:rPr>
  </w:style>
  <w:style w:type="paragraph" w:customStyle="1" w:styleId="64">
    <w:name w:val="修订7"/>
    <w:hidden/>
    <w:unhideWhenUsed/>
    <w:qFormat/>
    <w:uiPriority w:val="99"/>
    <w:rPr>
      <w:rFonts w:ascii="仿宋_GB2312" w:hAnsi="仿宋_GB2312" w:eastAsia="仿宋_GB2312" w:cs="Times New Roman"/>
      <w:spacing w:val="-6"/>
      <w:kern w:val="2"/>
      <w:sz w:val="32"/>
      <w:szCs w:val="32"/>
      <w:lang w:val="en-US" w:eastAsia="zh-CN" w:bidi="ar-SA"/>
    </w:rPr>
  </w:style>
  <w:style w:type="paragraph" w:customStyle="1" w:styleId="65">
    <w:name w:val="修订8"/>
    <w:hidden/>
    <w:unhideWhenUsed/>
    <w:qFormat/>
    <w:uiPriority w:val="99"/>
    <w:rPr>
      <w:rFonts w:ascii="仿宋_GB2312" w:hAnsi="仿宋_GB2312" w:eastAsia="仿宋_GB2312" w:cs="Times New Roman"/>
      <w:spacing w:val="-6"/>
      <w:kern w:val="2"/>
      <w:sz w:val="32"/>
      <w:szCs w:val="32"/>
      <w:lang w:val="en-US" w:eastAsia="zh-CN" w:bidi="ar-SA"/>
    </w:rPr>
  </w:style>
  <w:style w:type="paragraph" w:customStyle="1" w:styleId="66">
    <w:name w:val="修订9"/>
    <w:hidden/>
    <w:unhideWhenUsed/>
    <w:qFormat/>
    <w:uiPriority w:val="99"/>
    <w:rPr>
      <w:rFonts w:ascii="仿宋_GB2312" w:hAnsi="仿宋_GB2312" w:eastAsia="仿宋_GB2312" w:cs="Times New Roman"/>
      <w:spacing w:val="-6"/>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3502</Words>
  <Characters>3502</Characters>
  <Lines>159</Lines>
  <Paragraphs>107</Paragraphs>
  <TotalTime>56</TotalTime>
  <ScaleCrop>false</ScaleCrop>
  <LinksUpToDate>false</LinksUpToDate>
  <CharactersWithSpaces>6897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2026-03-18T14:49:00Z</dcterms:created>
  <dc:creator>Think Pad</dc:creator>
  <cp:lastModifiedBy>科创局刘颖</cp:lastModifiedBy>
  <cp:lastPrinted>2026-04-11T16:22:00Z</cp:lastPrinted>
  <dcterms:modified xsi:type="dcterms:W3CDTF">2026-05-27T11:09:13Z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E7FB2BA3B7A04DE1854A156A95AF207A_43</vt:lpwstr>
  </property>
  <property fmtid="{D5CDD505-2E9C-101B-9397-08002B2CF9AE}" pid="4" name="KSOTemplateDocerSaveRecord">
    <vt:lpwstr>eyJoZGlkIjoiYTdlNjc2ZjYxZDVhZTExMWZkZTE2M2Y0Mzc2MjMxYzEiLCJ1c2VySWQiOiI1NDUyNjkzNzUifQ==</vt:lpwstr>
  </property>
</Properties>
</file>