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59BA3">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2</w:t>
      </w:r>
    </w:p>
    <w:p w14:paraId="2DAFA83A">
      <w:pPr>
        <w:pStyle w:val="2"/>
        <w:ind w:left="0" w:leftChars="0" w:firstLine="0" w:firstLineChars="0"/>
        <w:rPr>
          <w:rFonts w:hint="default"/>
          <w:lang w:val="en-US" w:eastAsia="zh-CN"/>
        </w:rPr>
      </w:pPr>
    </w:p>
    <w:p w14:paraId="6FB59BA4">
      <w:pPr>
        <w:overflowPunct w:val="0"/>
        <w:ind w:firstLine="0" w:firstLineChars="0"/>
        <w:jc w:val="center"/>
        <w:outlineLvl w:val="0"/>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kern w:val="44"/>
          <w:sz w:val="44"/>
          <w:szCs w:val="44"/>
          <w:lang w:bidi="ar"/>
        </w:rPr>
        <w:t>《南山区自然科学基金管理办法》起草说明</w:t>
      </w:r>
    </w:p>
    <w:p w14:paraId="6FB59BA5">
      <w:pPr>
        <w:ind w:firstLine="640"/>
        <w:jc w:val="center"/>
        <w:rPr>
          <w:rFonts w:ascii="仿宋" w:hAnsi="仿宋" w:eastAsia="仿宋" w:cs="仿宋"/>
          <w:color w:val="000000"/>
        </w:rPr>
      </w:pPr>
    </w:p>
    <w:p w14:paraId="6FB59BA6">
      <w:pPr>
        <w:ind w:firstLine="640"/>
        <w:rPr>
          <w:rFonts w:hAnsi="Calibri" w:cs="Times New Roman"/>
        </w:rPr>
      </w:pPr>
      <w:r>
        <w:rPr>
          <w:rFonts w:hint="eastAsia"/>
        </w:rPr>
        <w:t>为深入实施创新驱动发展战略，强化南山区基础研究和原始创新能力，构建稳定可持续的基础研究保障机制，推动科技创新与产业创新深度融合，依据《中华人民共和国科学技术进步法》《国家自然科学基金条例》《深圳经济特区科技创新条例》《深圳市基础研究项目管理办法》以及《南山区促进产业高质量发展专项资金管理办法》等有关规定，我局研究制定了《南山区自然科学基金管理办法》（以下简称《管理办法》）。</w:t>
      </w:r>
      <w:r>
        <w:rPr>
          <w:rFonts w:hint="eastAsia" w:hAnsi="Calibri" w:cs="Times New Roman"/>
        </w:rPr>
        <w:t>现将有关情况说明如下：</w:t>
      </w:r>
    </w:p>
    <w:p w14:paraId="6FB59BA7">
      <w:pPr>
        <w:pStyle w:val="4"/>
        <w:ind w:firstLine="643"/>
        <w:rPr>
          <w:rFonts w:hint="eastAsia" w:ascii="黑体" w:hAnsi="黑体" w:eastAsia="黑体" w:cs="黑体"/>
          <w:b w:val="0"/>
          <w:bCs/>
        </w:rPr>
      </w:pPr>
      <w:r>
        <w:rPr>
          <w:rFonts w:hint="eastAsia" w:ascii="黑体" w:hAnsi="黑体" w:eastAsia="黑体" w:cs="黑体"/>
          <w:b w:val="0"/>
          <w:bCs/>
        </w:rPr>
        <w:t>一、起草背景</w:t>
      </w:r>
    </w:p>
    <w:p w14:paraId="6FB59BA8">
      <w:pPr>
        <w:ind w:firstLine="643"/>
        <w:rPr>
          <w:rFonts w:hint="eastAsia" w:ascii="楷体_GB2312" w:hAnsi="楷体_GB2312" w:eastAsia="楷体_GB2312" w:cs="楷体_GB2312"/>
          <w:b w:val="0"/>
          <w:bCs w:val="0"/>
        </w:rPr>
      </w:pPr>
      <w:r>
        <w:rPr>
          <w:rFonts w:hint="eastAsia" w:ascii="楷体_GB2312" w:hAnsi="楷体_GB2312" w:eastAsia="楷体_GB2312" w:cs="楷体_GB2312"/>
          <w:b w:val="0"/>
          <w:bCs w:val="0"/>
        </w:rPr>
        <w:t>（一）贯彻国家和省、市强化基础研究的战略部署。</w:t>
      </w:r>
    </w:p>
    <w:p w14:paraId="6FB59BA9">
      <w:pPr>
        <w:ind w:firstLine="640"/>
      </w:pPr>
      <w:r>
        <w:rPr>
          <w:rFonts w:hint="eastAsia"/>
        </w:rPr>
        <w:t>当前，国家已将基础研究摆在更加突出的位置。习近平总书记2026年2月就国家自然科学基金工作作出重要指示，强调要强化基础研究战略性、前瞻性、体系化布局，深化科学基金改革，支持科研人员产出更多原创性成果。</w:t>
      </w:r>
      <w:r>
        <w:t>2026年4月，习近平总书记在上海出席加强基础研究座谈会并发表重要讲话，进一步强调要以更大力度、更实举措加强基础研究，推动企业主导的产学研用深度融合，打通基础研究、应用开发、成果转化的创新链条，形成多元化投入格局，营造开放包容、宽容失败的创新环境，健全符合基础研究特点的分类评价体系。</w:t>
      </w:r>
      <w:r>
        <w:rPr>
          <w:rFonts w:hint="eastAsia"/>
        </w:rPr>
        <w:t>2026年政府工作报告明确提出，要继续提高基础研究投入比重、加大长期稳定支持，完善区域科技创新体系，推动科技创新和产业创新深度融合。广东省、深圳市相继完善基础研究项目资助体系和管理制度。</w:t>
      </w:r>
    </w:p>
    <w:p w14:paraId="6FB59BAA">
      <w:pPr>
        <w:ind w:firstLine="640"/>
      </w:pPr>
      <w:r>
        <w:rPr>
          <w:rFonts w:hint="eastAsia"/>
        </w:rPr>
        <w:t>在此背景下，南山区作为全国首个GDP破万亿的地市辖区，创新资源密集、科技企业活跃，有必要建立区级基础研究制度平台，形成与国家、省、市衔接的多层级支持体系。</w:t>
      </w:r>
    </w:p>
    <w:p w14:paraId="6FB59BAB">
      <w:pPr>
        <w:ind w:firstLine="643"/>
        <w:rPr>
          <w:rFonts w:hint="eastAsia" w:ascii="楷体_GB2312" w:hAnsi="楷体_GB2312" w:eastAsia="楷体_GB2312" w:cs="楷体_GB2312"/>
          <w:b w:val="0"/>
          <w:bCs w:val="0"/>
        </w:rPr>
      </w:pPr>
      <w:r>
        <w:rPr>
          <w:rFonts w:hint="eastAsia" w:ascii="楷体_GB2312" w:hAnsi="楷体_GB2312" w:eastAsia="楷体_GB2312" w:cs="楷体_GB2312"/>
          <w:b w:val="0"/>
          <w:bCs w:val="0"/>
        </w:rPr>
        <w:t>（二）回应南山区从“应用创新”向“源头创新”跃升的现实需求</w:t>
      </w:r>
    </w:p>
    <w:p w14:paraId="6FB59BAC">
      <w:pPr>
        <w:ind w:firstLine="640"/>
      </w:pPr>
      <w:r>
        <w:rPr>
          <w:rFonts w:hint="eastAsia"/>
        </w:rPr>
        <w:t>南山区集聚人工智能、生物医药、新一代信息技术等战略性产业集群，企业技术迭代频繁，但当前基础研究支持体系仍以市级为主，区级层面尚缺乏制度化、持续性支持机制。</w:t>
      </w:r>
    </w:p>
    <w:p w14:paraId="6FB59BAD">
      <w:pPr>
        <w:ind w:firstLine="640"/>
      </w:pPr>
      <w:r>
        <w:rPr>
          <w:rFonts w:hint="eastAsia"/>
        </w:rPr>
        <w:t>产业发展中逐步显现“基础研究供给与产业真实需求存在结构性错位”的问题，亟需构建“企业出题、政府组织、科研解题、成果回流产业”的机制，提升科研资源配置精准度。</w:t>
      </w:r>
      <w:r>
        <w:t>在此背景下，</w:t>
      </w:r>
      <w:r>
        <w:rPr>
          <w:rFonts w:hint="eastAsia"/>
        </w:rPr>
        <w:t>我</w:t>
      </w:r>
      <w:r>
        <w:t>局结合南山区实际，启动了本《</w:t>
      </w:r>
      <w:r>
        <w:rPr>
          <w:rFonts w:hint="eastAsia"/>
        </w:rPr>
        <w:t>管理</w:t>
      </w:r>
      <w:r>
        <w:t>办法》的起草工作。</w:t>
      </w:r>
    </w:p>
    <w:p w14:paraId="6FB59BAE">
      <w:pPr>
        <w:pStyle w:val="4"/>
        <w:ind w:firstLine="643"/>
        <w:rPr>
          <w:rFonts w:hint="eastAsia" w:ascii="黑体" w:hAnsi="黑体" w:eastAsia="黑体" w:cs="黑体"/>
          <w:b w:val="0"/>
          <w:bCs/>
        </w:rPr>
      </w:pPr>
      <w:r>
        <w:rPr>
          <w:rFonts w:hint="eastAsia" w:ascii="黑体" w:hAnsi="黑体" w:eastAsia="黑体" w:cs="黑体"/>
          <w:b w:val="0"/>
          <w:bCs/>
        </w:rPr>
        <w:t>二、起草过程</w:t>
      </w:r>
    </w:p>
    <w:p w14:paraId="6FB59BAF">
      <w:pPr>
        <w:ind w:firstLine="643"/>
      </w:pPr>
      <w:r>
        <w:rPr>
          <w:rFonts w:hint="eastAsia"/>
          <w:b/>
          <w:bCs/>
        </w:rPr>
        <w:t>一是认真梳理政策文件。</w:t>
      </w:r>
      <w:r>
        <w:rPr>
          <w:rFonts w:hint="eastAsia"/>
        </w:rPr>
        <w:t>系统梳理国家自然科学基金、广东省基础研究项目管理制度以及深圳市科技计划项目管理体系相关规定；对标北京、上海等国内先进城市区级基金管理制度；研究企业联合基金、转化机制、容错机制等制度做法。</w:t>
      </w:r>
    </w:p>
    <w:p w14:paraId="6FB59BB0">
      <w:pPr>
        <w:ind w:firstLine="643"/>
      </w:pPr>
      <w:r>
        <w:rPr>
          <w:rFonts w:hint="eastAsia"/>
          <w:b/>
          <w:bCs/>
        </w:rPr>
        <w:t>二是开展深入调研。</w:t>
      </w:r>
      <w:r>
        <w:rPr>
          <w:rFonts w:hint="eastAsia"/>
        </w:rPr>
        <w:t>调研走访深圳市自然科学基金委，以及区内龙头企业、高校、科研机构等相关单位，全面收集各方发展诉求与实操建议，梳理南山区基础研究领域的痛点堵点与核心发展需求，为《管理办法》制定奠定实践基础、</w:t>
      </w:r>
      <w:r>
        <w:t>提供明确方向指导</w:t>
      </w:r>
      <w:r>
        <w:rPr>
          <w:rFonts w:hint="eastAsia"/>
        </w:rPr>
        <w:t>。</w:t>
      </w:r>
    </w:p>
    <w:p w14:paraId="6FB59BB1">
      <w:pPr>
        <w:ind w:firstLine="643"/>
      </w:pPr>
      <w:r>
        <w:rPr>
          <w:rFonts w:hint="eastAsia"/>
          <w:b/>
          <w:bCs/>
        </w:rPr>
        <w:t>三是多轮内部论证与修改完善。</w:t>
      </w:r>
      <w:r>
        <w:t>围绕合法性、合规性、财政可承受性、执行可操作性等方面进行反复论证，对项目类型设置、</w:t>
      </w:r>
      <w:r>
        <w:rPr>
          <w:rFonts w:hint="eastAsia"/>
        </w:rPr>
        <w:t>项目遴选机制</w:t>
      </w:r>
      <w:r>
        <w:t>、</w:t>
      </w:r>
      <w:r>
        <w:rPr>
          <w:rFonts w:hint="eastAsia"/>
        </w:rPr>
        <w:t>资金投入机制</w:t>
      </w:r>
      <w:r>
        <w:t>、成果权益安排、</w:t>
      </w:r>
      <w:r>
        <w:rPr>
          <w:rFonts w:hint="eastAsia"/>
        </w:rPr>
        <w:t>项目全流程管理、</w:t>
      </w:r>
      <w:r>
        <w:t>责任调整条款等内容进行了优化完善。</w:t>
      </w:r>
    </w:p>
    <w:p w14:paraId="6FB59BB2">
      <w:pPr>
        <w:pStyle w:val="4"/>
        <w:ind w:firstLine="643"/>
        <w:rPr>
          <w:rFonts w:hint="eastAsia" w:ascii="黑体" w:hAnsi="黑体" w:eastAsia="黑体" w:cs="黑体"/>
          <w:b w:val="0"/>
          <w:bCs/>
        </w:rPr>
      </w:pPr>
      <w:r>
        <w:rPr>
          <w:rFonts w:hint="eastAsia" w:ascii="黑体" w:hAnsi="黑体" w:eastAsia="黑体" w:cs="黑体"/>
          <w:b w:val="0"/>
          <w:bCs/>
        </w:rPr>
        <w:t>三、起草思路和主要原则</w:t>
      </w:r>
    </w:p>
    <w:p w14:paraId="6FB59BB3">
      <w:pPr>
        <w:ind w:firstLine="640"/>
        <w:rPr>
          <w:rFonts w:hAnsi="Calibri" w:cs="Times New Roman"/>
        </w:rPr>
      </w:pPr>
      <w:r>
        <w:rPr>
          <w:rFonts w:hint="eastAsia" w:hAnsi="Calibri" w:cs="Times New Roman"/>
        </w:rPr>
        <w:t>以强化南山区基础研究和原始创新能力为核心，立足南山区产业实际，紧扣“产业牵引、市区协同、多元投入、成果转化”的主线，构建一套规范性与实操性兼具的区级自然科学基金管理体系。一是明确基金的定位和资助方向，聚焦区域核心产业关键科学问题，推动科研与产业深度融合；二是设计梯次化的项目类型，兼顾市区协同联动和区域及产业重点科学问题系统性、前沿性研究，同时强化产学研联合；三是构建“政府引导、企业主导、权责对等”的全过程管理体系，在保持政府战略统筹、备案审查和监管否决权的基础上，允许联合资助方作为项目组织单位，承担全周期管理职责；同时建立利益回避、备案报告和抽查审计等制度，确保放权不放手、监管不缺位；四是完善成果转化支撑体系，支持基金成果优先对接南山区概念验证平台、中试基地、孵化载体等科创载体，以及国创粤港澳基金、南山科创投资伙伴计划、千亿融资计划等科技金融资源，强化全链条科创扶持与资金支持，促进基金项目成果在区内就地转化、产业化落地。</w:t>
      </w:r>
    </w:p>
    <w:p w14:paraId="6FB59BB4">
      <w:pPr>
        <w:pStyle w:val="4"/>
        <w:ind w:firstLine="643"/>
        <w:rPr>
          <w:rFonts w:hint="eastAsia" w:ascii="黑体" w:hAnsi="黑体" w:eastAsia="黑体" w:cs="黑体"/>
          <w:b w:val="0"/>
          <w:bCs/>
        </w:rPr>
      </w:pPr>
      <w:r>
        <w:rPr>
          <w:rFonts w:hint="eastAsia" w:ascii="黑体" w:hAnsi="黑体" w:eastAsia="黑体" w:cs="黑体"/>
          <w:b w:val="0"/>
          <w:bCs/>
        </w:rPr>
        <w:t>四、主要内容</w:t>
      </w:r>
    </w:p>
    <w:p w14:paraId="6FB59BB5">
      <w:pPr>
        <w:ind w:firstLine="640"/>
        <w:rPr>
          <w:rFonts w:hAnsi="Calibri" w:cs="Times New Roman"/>
        </w:rPr>
      </w:pPr>
      <w:r>
        <w:rPr>
          <w:rFonts w:hint="eastAsia" w:ascii="仿宋" w:hAnsi="仿宋" w:eastAsia="仿宋" w:cs="仿宋"/>
        </w:rPr>
        <w:t>《管理办法》共分七章三十二条，涵盖基金管理的全流程和各关键环节，</w:t>
      </w:r>
      <w:r>
        <w:rPr>
          <w:rFonts w:hint="eastAsia" w:hAnsi="Calibri" w:cs="Times New Roman"/>
        </w:rPr>
        <w:t>具体内容如下：</w:t>
      </w:r>
    </w:p>
    <w:p w14:paraId="6FB59BB6">
      <w:pPr>
        <w:pStyle w:val="4"/>
        <w:ind w:firstLine="643"/>
        <w:rPr>
          <w:rFonts w:hint="eastAsia" w:ascii="楷体_GB2312" w:hAnsi="楷体_GB2312" w:eastAsia="楷体_GB2312" w:cs="楷体_GB2312"/>
          <w:b w:val="0"/>
          <w:bCs/>
        </w:rPr>
      </w:pPr>
      <w:r>
        <w:rPr>
          <w:rFonts w:hint="eastAsia" w:ascii="楷体_GB2312" w:hAnsi="楷体_GB2312" w:eastAsia="楷体_GB2312" w:cs="楷体_GB2312"/>
          <w:b w:val="0"/>
          <w:bCs/>
        </w:rPr>
        <w:t>（一）总则</w:t>
      </w:r>
    </w:p>
    <w:p w14:paraId="6FB59BB7">
      <w:pPr>
        <w:pStyle w:val="2"/>
        <w:ind w:firstLine="640"/>
      </w:pPr>
      <w:r>
        <w:t>共</w:t>
      </w:r>
      <w:r>
        <w:rPr>
          <w:rFonts w:hint="eastAsia"/>
        </w:rPr>
        <w:t>六</w:t>
      </w:r>
      <w:r>
        <w:t>条，明确《办法》的制定目的与依据、基金设立定位、</w:t>
      </w:r>
      <w:r>
        <w:rPr>
          <w:rFonts w:hint="eastAsia"/>
        </w:rPr>
        <w:t>主管部门</w:t>
      </w:r>
      <w:r>
        <w:t>职责、资金来源</w:t>
      </w:r>
      <w:r>
        <w:rPr>
          <w:rFonts w:hint="eastAsia"/>
        </w:rPr>
        <w:t>、</w:t>
      </w:r>
      <w:r>
        <w:t>资助方向</w:t>
      </w:r>
      <w:r>
        <w:rPr>
          <w:rFonts w:hint="eastAsia"/>
        </w:rPr>
        <w:t>和项目类型</w:t>
      </w:r>
      <w:r>
        <w:t>。</w:t>
      </w:r>
      <w:r>
        <w:rPr>
          <w:rFonts w:hint="eastAsia"/>
        </w:rPr>
        <w:t>一是明确《办法》制定背景和上位法依据；二是明确基金是南山区科技计划体系的重要组成部分；三是</w:t>
      </w:r>
      <w:r>
        <w:t>明确</w:t>
      </w:r>
      <w:r>
        <w:rPr>
          <w:rFonts w:hint="eastAsia"/>
        </w:rPr>
        <w:t>我</w:t>
      </w:r>
      <w:r>
        <w:t>局为基金统筹管理部门，遴选专家组建区基金委提供咨询指导；</w:t>
      </w:r>
      <w:r>
        <w:rPr>
          <w:rFonts w:hint="eastAsia"/>
        </w:rPr>
        <w:t>四是</w:t>
      </w:r>
      <w:r>
        <w:t>资金来源包括区级财政资金和依法吸纳的社会资金；</w:t>
      </w:r>
      <w:r>
        <w:rPr>
          <w:rFonts w:hint="eastAsia"/>
        </w:rPr>
        <w:t>五是</w:t>
      </w:r>
      <w:r>
        <w:t>基金重点资助</w:t>
      </w:r>
      <w:r>
        <w:rPr>
          <w:rFonts w:hint="eastAsia"/>
        </w:rPr>
        <w:t>基础研究和</w:t>
      </w:r>
      <w:r>
        <w:t>应用基础研究项目，聚焦南山区</w:t>
      </w:r>
      <w:r>
        <w:rPr>
          <w:rFonts w:hint="eastAsia"/>
        </w:rPr>
        <w:t>战略性新兴产业和未来</w:t>
      </w:r>
      <w:r>
        <w:t>产业方向</w:t>
      </w:r>
      <w:r>
        <w:rPr>
          <w:rFonts w:hint="eastAsia"/>
        </w:rPr>
        <w:t>；六是项目分为市区协同项目、前沿探索项目和产学研联合重点专项三类，明确各类项目的资助标准、研究期限。</w:t>
      </w:r>
    </w:p>
    <w:p w14:paraId="6FB59BB8">
      <w:pPr>
        <w:pStyle w:val="4"/>
        <w:ind w:firstLine="643"/>
        <w:rPr>
          <w:rFonts w:hint="eastAsia" w:ascii="楷体_GB2312" w:hAnsi="楷体_GB2312" w:eastAsia="楷体_GB2312" w:cs="楷体_GB2312"/>
          <w:b w:val="0"/>
          <w:bCs/>
        </w:rPr>
      </w:pPr>
      <w:r>
        <w:rPr>
          <w:rFonts w:hint="eastAsia" w:ascii="楷体_GB2312" w:hAnsi="楷体_GB2312" w:eastAsia="楷体_GB2312" w:cs="楷体_GB2312"/>
          <w:b w:val="0"/>
          <w:bCs/>
        </w:rPr>
        <w:t>（二）申报条件</w:t>
      </w:r>
    </w:p>
    <w:p w14:paraId="6FB59BB9">
      <w:pPr>
        <w:pStyle w:val="2"/>
        <w:ind w:firstLine="640"/>
      </w:pPr>
      <w:r>
        <w:rPr>
          <w:rFonts w:hint="eastAsia"/>
        </w:rPr>
        <w:t>共四条，明确项目组织单位条件、基金申报单位条件、项目牵头申请人条件和合作申请要求。一是明确联合资助方作为项目组织单位需要具备科研条件、管理制度和能力、利益回避制度；二是明确申报单位需具备独立法人资格、联合资助方分类限定申报、合作单位数量不超过4家等条件；三是牵头申请人需为申报单位全职人员且具备相应科研能力，同时设置限项要求；四是牵头申请单位需与合作研究单位明确分工、资金分配和知识产权归属。</w:t>
      </w:r>
    </w:p>
    <w:p w14:paraId="6FB59BBA">
      <w:pPr>
        <w:pStyle w:val="4"/>
        <w:ind w:firstLine="643"/>
        <w:rPr>
          <w:rFonts w:hint="eastAsia" w:ascii="楷体_GB2312" w:hAnsi="楷体_GB2312" w:eastAsia="楷体_GB2312" w:cs="楷体_GB2312"/>
          <w:b w:val="0"/>
          <w:bCs/>
        </w:rPr>
      </w:pPr>
      <w:r>
        <w:rPr>
          <w:rFonts w:hint="eastAsia" w:ascii="楷体_GB2312" w:hAnsi="楷体_GB2312" w:eastAsia="楷体_GB2312" w:cs="楷体_GB2312"/>
          <w:b w:val="0"/>
          <w:bCs/>
        </w:rPr>
        <w:t>（三）申请与评审</w:t>
      </w:r>
    </w:p>
    <w:p w14:paraId="6FB59BBB">
      <w:pPr>
        <w:pStyle w:val="2"/>
        <w:ind w:firstLine="640"/>
      </w:pPr>
      <w:r>
        <w:t>共六条，规范项目</w:t>
      </w:r>
      <w:r>
        <w:rPr>
          <w:rFonts w:hint="eastAsia"/>
        </w:rPr>
        <w:t>实施方式、</w:t>
      </w:r>
      <w:r>
        <w:t>申报组织、申请要求、评审程序、立项公示</w:t>
      </w:r>
      <w:r>
        <w:rPr>
          <w:rFonts w:hint="eastAsia"/>
        </w:rPr>
        <w:t>和</w:t>
      </w:r>
      <w:r>
        <w:t>任务书签订。一是</w:t>
      </w:r>
      <w:r>
        <w:rPr>
          <w:rFonts w:hint="eastAsia"/>
        </w:rPr>
        <w:t>建立常态化产业科学问题征集机制，鼓励龙头企业等联合资助方参与凝练和提出科研命题，经论证后纳入年度项目指南。二是</w:t>
      </w:r>
      <w:r>
        <w:t>项目原则上每年集中申报</w:t>
      </w:r>
      <w:r>
        <w:rPr>
          <w:rFonts w:hint="eastAsia"/>
        </w:rPr>
        <w:t>，我局组织发布申报指南；三是要求项目牵头申请人通过所在单位向我局提出书面申请；四是我</w:t>
      </w:r>
      <w:r>
        <w:t>局组织</w:t>
      </w:r>
      <w:r>
        <w:rPr>
          <w:rFonts w:hint="eastAsia"/>
        </w:rPr>
        <w:t>或委托第三方机构开展</w:t>
      </w:r>
      <w:r>
        <w:t>形式审查、专家评审和现场核查，评审标准按《深圳市科技项目评审管理办法》执行；</w:t>
      </w:r>
      <w:r>
        <w:rPr>
          <w:rFonts w:hint="eastAsia"/>
        </w:rPr>
        <w:t>五</w:t>
      </w:r>
      <w:r>
        <w:t>是拟立项项目公示期</w:t>
      </w:r>
      <w:r>
        <w:rPr>
          <w:rFonts w:hint="eastAsia"/>
          <w:lang w:eastAsia="zh-CN"/>
        </w:rPr>
        <w:t>为</w:t>
      </w:r>
      <w:r>
        <w:rPr>
          <w:rFonts w:hint="eastAsia"/>
          <w:lang w:val="en-US" w:eastAsia="zh-CN"/>
        </w:rPr>
        <w:t>5个工作</w:t>
      </w:r>
      <w:bookmarkStart w:id="0" w:name="_GoBack"/>
      <w:bookmarkEnd w:id="0"/>
      <w:r>
        <w:rPr>
          <w:rFonts w:hint="eastAsia"/>
          <w:lang w:val="en-US" w:eastAsia="zh-CN"/>
        </w:rPr>
        <w:t>日</w:t>
      </w:r>
      <w:r>
        <w:t>，公示无异议后下达资助计划</w:t>
      </w:r>
      <w:r>
        <w:rPr>
          <w:rFonts w:hint="eastAsia"/>
        </w:rPr>
        <w:t>并拨付资金；六是</w:t>
      </w:r>
      <w:r>
        <w:t>项目承担单位需在30日内签订任务书</w:t>
      </w:r>
      <w:r>
        <w:rPr>
          <w:rFonts w:hint="eastAsia"/>
        </w:rPr>
        <w:t>。</w:t>
      </w:r>
    </w:p>
    <w:p w14:paraId="6FB59BBC">
      <w:pPr>
        <w:pStyle w:val="4"/>
        <w:ind w:firstLine="643"/>
        <w:rPr>
          <w:rFonts w:hint="eastAsia" w:ascii="楷体_GB2312" w:hAnsi="楷体_GB2312" w:eastAsia="楷体_GB2312" w:cs="楷体_GB2312"/>
          <w:b w:val="0"/>
          <w:bCs/>
        </w:rPr>
      </w:pPr>
      <w:r>
        <w:rPr>
          <w:rFonts w:hint="eastAsia" w:ascii="楷体_GB2312" w:hAnsi="楷体_GB2312" w:eastAsia="楷体_GB2312" w:cs="楷体_GB2312"/>
          <w:b w:val="0"/>
          <w:bCs/>
        </w:rPr>
        <w:t>（四）实施与管理</w:t>
      </w:r>
    </w:p>
    <w:p w14:paraId="6FB59BBD">
      <w:pPr>
        <w:pStyle w:val="2"/>
        <w:ind w:firstLine="640"/>
      </w:pPr>
      <w:r>
        <w:rPr>
          <w:rFonts w:hint="eastAsia"/>
        </w:rPr>
        <w:t>共九条，明确项目组织单位的职责、申报单位职责、项目实施过程、变更、延期、终止与撤销、验收及容错机制。一是明确经区科创局遴选委托的联合资助方承担项目全周期管理职责；二是明确项目承担单位在实施过程中应履行的职责；三是对不同类型项目进行分类检查和监督，前沿探索项目及产学研联合重点专项采用阶段性评估资助方式；四是项目研究方向不变、不降低绩效指标的，可自主调整研究方案，确需变更合同内容的需经我局同意；五是项目延期仅可申请1次，期限不超过1年；六是项目遇阻可主动申请撤销,项目违规科创局可主动终止；七是</w:t>
      </w:r>
      <w:r>
        <w:t>经费实行专款专用、单独核算，</w:t>
      </w:r>
      <w:r>
        <w:rPr>
          <w:rFonts w:hint="eastAsia"/>
        </w:rPr>
        <w:t>前沿探索项目及产学研联合重点专项</w:t>
      </w:r>
      <w:r>
        <w:t>采取分期补助方式，首期拨款不低于50%。</w:t>
      </w:r>
      <w:r>
        <w:rPr>
          <w:rFonts w:hint="eastAsia"/>
        </w:rPr>
        <w:t>八是</w:t>
      </w:r>
      <w:r>
        <w:rPr>
          <w:rFonts w:hint="eastAsia"/>
          <w:lang w:eastAsia="zh-CN"/>
        </w:rPr>
        <w:t>区科创</w:t>
      </w:r>
      <w:r>
        <w:rPr>
          <w:rFonts w:hint="eastAsia"/>
        </w:rPr>
        <w:t>局按照任务书组织或委托第三方机构开展项目验收，验收结果分为通过、结题、不通过；九是设置容错机制，对因不可抗力导致项目无法完成且履行勤勉义务的，减轻或免除相关合约责任</w:t>
      </w:r>
      <w:r>
        <w:t>。</w:t>
      </w:r>
    </w:p>
    <w:p w14:paraId="6FB59BBE">
      <w:pPr>
        <w:pStyle w:val="4"/>
        <w:ind w:firstLine="643"/>
        <w:rPr>
          <w:rFonts w:hint="eastAsia" w:ascii="楷体_GB2312" w:hAnsi="楷体_GB2312" w:eastAsia="楷体_GB2312" w:cs="楷体_GB2312"/>
          <w:b w:val="0"/>
          <w:bCs/>
        </w:rPr>
      </w:pPr>
      <w:r>
        <w:rPr>
          <w:rFonts w:hint="eastAsia" w:ascii="楷体_GB2312" w:hAnsi="楷体_GB2312" w:eastAsia="楷体_GB2312" w:cs="楷体_GB2312"/>
          <w:b w:val="0"/>
          <w:bCs/>
        </w:rPr>
        <w:t>（五）成果与转化支持</w:t>
      </w:r>
    </w:p>
    <w:p w14:paraId="6FB59BBF">
      <w:pPr>
        <w:pStyle w:val="2"/>
        <w:ind w:firstLine="640"/>
      </w:pPr>
      <w:r>
        <w:t>共四条，明确基金项目成果的标注要求、权益管理、转化衔接及服务机制。一是成果需标注“南山区自然科学基金资助项目”；二是企业联合基金项目成果知识产权可约定共有，联合资助方可</w:t>
      </w:r>
      <w:r>
        <w:rPr>
          <w:rFonts w:hint="eastAsia"/>
        </w:rPr>
        <w:t>享有优先使用权</w:t>
      </w:r>
      <w:r>
        <w:t>；三是阶段性成果可优先纳入西丽湖国际科教城概念验证平台项目库，具备产业化前景的成果对接南山区中试基地；四是</w:t>
      </w:r>
      <w:r>
        <w:rPr>
          <w:rFonts w:hint="eastAsia"/>
        </w:rPr>
        <w:t>为成果</w:t>
      </w:r>
      <w:r>
        <w:t>提供知识产权运营、技术交易、科技金融等支持，孵化企业可优先入驻区级科技孵化平台。</w:t>
      </w:r>
    </w:p>
    <w:p w14:paraId="6FB59BC0">
      <w:pPr>
        <w:pStyle w:val="4"/>
        <w:ind w:firstLine="643"/>
        <w:rPr>
          <w:rFonts w:hint="eastAsia" w:ascii="楷体_GB2312" w:hAnsi="楷体_GB2312" w:eastAsia="楷体_GB2312" w:cs="楷体_GB2312"/>
          <w:b w:val="0"/>
          <w:bCs/>
        </w:rPr>
      </w:pPr>
      <w:r>
        <w:rPr>
          <w:rFonts w:hint="eastAsia" w:ascii="楷体_GB2312" w:hAnsi="楷体_GB2312" w:eastAsia="楷体_GB2312" w:cs="楷体_GB2312"/>
          <w:b w:val="0"/>
          <w:bCs/>
        </w:rPr>
        <w:t>（六）监督管理</w:t>
      </w:r>
    </w:p>
    <w:p w14:paraId="6FB59BC1">
      <w:pPr>
        <w:pStyle w:val="2"/>
        <w:ind w:firstLine="640"/>
      </w:pPr>
      <w:r>
        <w:t>共两条，明确《办法》未尽事项按深圳市科技计划项目</w:t>
      </w:r>
      <w:r>
        <w:rPr>
          <w:rFonts w:hint="eastAsia"/>
        </w:rPr>
        <w:t>以及南山区的</w:t>
      </w:r>
      <w:r>
        <w:t>相关管理规定执行，同时对</w:t>
      </w:r>
      <w:r>
        <w:rPr>
          <w:rFonts w:hint="eastAsia"/>
          <w:lang w:eastAsia="zh-CN"/>
        </w:rPr>
        <w:t>区科创</w:t>
      </w:r>
      <w:r>
        <w:t>局工作人员的违规行为设定责任追究条款。</w:t>
      </w:r>
    </w:p>
    <w:p w14:paraId="6FB59BC2">
      <w:pPr>
        <w:pStyle w:val="4"/>
        <w:ind w:firstLine="643"/>
        <w:rPr>
          <w:rFonts w:hint="eastAsia" w:ascii="楷体_GB2312" w:hAnsi="楷体_GB2312" w:eastAsia="楷体_GB2312" w:cs="楷体_GB2312"/>
          <w:b w:val="0"/>
          <w:bCs/>
        </w:rPr>
      </w:pPr>
      <w:r>
        <w:rPr>
          <w:rFonts w:hint="eastAsia" w:ascii="楷体_GB2312" w:hAnsi="楷体_GB2312" w:eastAsia="楷体_GB2312" w:cs="楷体_GB2312"/>
          <w:b w:val="0"/>
          <w:bCs/>
        </w:rPr>
        <w:t>（七）附则</w:t>
      </w:r>
    </w:p>
    <w:p w14:paraId="6FB59BC3">
      <w:pPr>
        <w:pStyle w:val="2"/>
        <w:ind w:firstLine="640"/>
      </w:pPr>
      <w:r>
        <w:t>共一条，明确《办法》的施行时间和有效期。</w:t>
      </w:r>
    </w:p>
    <w:p w14:paraId="7E0672F2">
      <w:pPr>
        <w:pStyle w:val="2"/>
        <w:ind w:firstLine="640"/>
        <w:rPr>
          <w:rFonts w:hint="eastAsia"/>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871" w:right="1304" w:bottom="1871" w:left="1587" w:header="851" w:footer="992" w:gutter="0"/>
      <w:cols w:space="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_GB2312"/>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仿宋_GB2312"/>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Times New Roman"/>
    <w:panose1 w:val="020F030202020403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59BCC">
    <w:pPr>
      <w:pStyle w:val="10"/>
      <w:ind w:firstLine="0" w:firstLineChars="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59BD1">
                          <w:pPr>
                            <w:pStyle w:val="10"/>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B59BD1">
                    <w:pPr>
                      <w:pStyle w:val="10"/>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59BCB">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59BCE">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59BCA">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59BC9">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59BCD">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zZWUwYTFhYmExMWY0Zjk4OTQyNWZlOTM2NzYzNjMifQ=="/>
  </w:docVars>
  <w:rsids>
    <w:rsidRoot w:val="00EB2825"/>
    <w:rsid w:val="00006CBB"/>
    <w:rsid w:val="00007E9C"/>
    <w:rsid w:val="00012B43"/>
    <w:rsid w:val="00015A10"/>
    <w:rsid w:val="00016217"/>
    <w:rsid w:val="000440A0"/>
    <w:rsid w:val="00074923"/>
    <w:rsid w:val="00076C69"/>
    <w:rsid w:val="000831BF"/>
    <w:rsid w:val="00095312"/>
    <w:rsid w:val="000A5127"/>
    <w:rsid w:val="000A7CE4"/>
    <w:rsid w:val="000E2AB2"/>
    <w:rsid w:val="001049A6"/>
    <w:rsid w:val="00133466"/>
    <w:rsid w:val="0014144C"/>
    <w:rsid w:val="00173A3B"/>
    <w:rsid w:val="00183372"/>
    <w:rsid w:val="00186901"/>
    <w:rsid w:val="001944F6"/>
    <w:rsid w:val="001977D3"/>
    <w:rsid w:val="001A2138"/>
    <w:rsid w:val="001B244C"/>
    <w:rsid w:val="001B31B4"/>
    <w:rsid w:val="001C0C5B"/>
    <w:rsid w:val="001C52FB"/>
    <w:rsid w:val="001D4F23"/>
    <w:rsid w:val="001E536B"/>
    <w:rsid w:val="00200CDB"/>
    <w:rsid w:val="00206C62"/>
    <w:rsid w:val="0020740A"/>
    <w:rsid w:val="00211173"/>
    <w:rsid w:val="00252008"/>
    <w:rsid w:val="002953AB"/>
    <w:rsid w:val="002A6438"/>
    <w:rsid w:val="002A720A"/>
    <w:rsid w:val="002B34C9"/>
    <w:rsid w:val="002C3CF7"/>
    <w:rsid w:val="002D30AC"/>
    <w:rsid w:val="002E7CBE"/>
    <w:rsid w:val="00305FB2"/>
    <w:rsid w:val="00307E09"/>
    <w:rsid w:val="00314067"/>
    <w:rsid w:val="00316E5D"/>
    <w:rsid w:val="003212C0"/>
    <w:rsid w:val="00322E22"/>
    <w:rsid w:val="003246A4"/>
    <w:rsid w:val="00327E0F"/>
    <w:rsid w:val="003417EF"/>
    <w:rsid w:val="003566B7"/>
    <w:rsid w:val="00380F3E"/>
    <w:rsid w:val="003827F3"/>
    <w:rsid w:val="003A3AE1"/>
    <w:rsid w:val="003B05FF"/>
    <w:rsid w:val="003B0DA5"/>
    <w:rsid w:val="003B772B"/>
    <w:rsid w:val="003E2342"/>
    <w:rsid w:val="00402A60"/>
    <w:rsid w:val="004157B9"/>
    <w:rsid w:val="004162BA"/>
    <w:rsid w:val="004319E8"/>
    <w:rsid w:val="00433061"/>
    <w:rsid w:val="00434565"/>
    <w:rsid w:val="00436B90"/>
    <w:rsid w:val="00484A2C"/>
    <w:rsid w:val="0048706F"/>
    <w:rsid w:val="00491A53"/>
    <w:rsid w:val="00493A3F"/>
    <w:rsid w:val="004B5106"/>
    <w:rsid w:val="004C6E56"/>
    <w:rsid w:val="004D50ED"/>
    <w:rsid w:val="0050772C"/>
    <w:rsid w:val="00510C7F"/>
    <w:rsid w:val="00513722"/>
    <w:rsid w:val="00536CA3"/>
    <w:rsid w:val="00543F40"/>
    <w:rsid w:val="00544C99"/>
    <w:rsid w:val="005705B0"/>
    <w:rsid w:val="0057408C"/>
    <w:rsid w:val="005B47EF"/>
    <w:rsid w:val="005B5FFC"/>
    <w:rsid w:val="005C3020"/>
    <w:rsid w:val="005D32A7"/>
    <w:rsid w:val="005E7341"/>
    <w:rsid w:val="006045FE"/>
    <w:rsid w:val="00607217"/>
    <w:rsid w:val="0060728D"/>
    <w:rsid w:val="00624905"/>
    <w:rsid w:val="00632183"/>
    <w:rsid w:val="00632E83"/>
    <w:rsid w:val="00643384"/>
    <w:rsid w:val="00675FB6"/>
    <w:rsid w:val="00684126"/>
    <w:rsid w:val="00693E7C"/>
    <w:rsid w:val="006A02F1"/>
    <w:rsid w:val="006A065C"/>
    <w:rsid w:val="006C6D30"/>
    <w:rsid w:val="006D5D2E"/>
    <w:rsid w:val="006F6745"/>
    <w:rsid w:val="00714FA6"/>
    <w:rsid w:val="00715847"/>
    <w:rsid w:val="00722430"/>
    <w:rsid w:val="0073063B"/>
    <w:rsid w:val="007376B1"/>
    <w:rsid w:val="0074002B"/>
    <w:rsid w:val="00743938"/>
    <w:rsid w:val="007477C7"/>
    <w:rsid w:val="00772E38"/>
    <w:rsid w:val="00781721"/>
    <w:rsid w:val="00785FB0"/>
    <w:rsid w:val="0079040E"/>
    <w:rsid w:val="007A17FE"/>
    <w:rsid w:val="007A6B40"/>
    <w:rsid w:val="007C660E"/>
    <w:rsid w:val="007C6830"/>
    <w:rsid w:val="007D1906"/>
    <w:rsid w:val="007E6B54"/>
    <w:rsid w:val="007F0A1F"/>
    <w:rsid w:val="007F0DC2"/>
    <w:rsid w:val="007F71A2"/>
    <w:rsid w:val="00800B9C"/>
    <w:rsid w:val="0080736E"/>
    <w:rsid w:val="00807CC2"/>
    <w:rsid w:val="00812090"/>
    <w:rsid w:val="00825B44"/>
    <w:rsid w:val="008413EB"/>
    <w:rsid w:val="0088519A"/>
    <w:rsid w:val="008A1C72"/>
    <w:rsid w:val="008A6043"/>
    <w:rsid w:val="008B1C71"/>
    <w:rsid w:val="008C5B6A"/>
    <w:rsid w:val="008C63F9"/>
    <w:rsid w:val="008C7EE7"/>
    <w:rsid w:val="008E2161"/>
    <w:rsid w:val="008F5B61"/>
    <w:rsid w:val="00905209"/>
    <w:rsid w:val="00917B97"/>
    <w:rsid w:val="009250B9"/>
    <w:rsid w:val="00962279"/>
    <w:rsid w:val="009661FC"/>
    <w:rsid w:val="00972869"/>
    <w:rsid w:val="00974197"/>
    <w:rsid w:val="00980EE6"/>
    <w:rsid w:val="0099295E"/>
    <w:rsid w:val="009A0798"/>
    <w:rsid w:val="009A26B4"/>
    <w:rsid w:val="009B1383"/>
    <w:rsid w:val="009F7694"/>
    <w:rsid w:val="00A37435"/>
    <w:rsid w:val="00A53E6D"/>
    <w:rsid w:val="00A70E42"/>
    <w:rsid w:val="00A84873"/>
    <w:rsid w:val="00A946AD"/>
    <w:rsid w:val="00AA510A"/>
    <w:rsid w:val="00AB3377"/>
    <w:rsid w:val="00AC03D5"/>
    <w:rsid w:val="00B040FA"/>
    <w:rsid w:val="00B116E8"/>
    <w:rsid w:val="00B121C3"/>
    <w:rsid w:val="00B15D12"/>
    <w:rsid w:val="00B239E7"/>
    <w:rsid w:val="00B30D38"/>
    <w:rsid w:val="00B32A5E"/>
    <w:rsid w:val="00B509D4"/>
    <w:rsid w:val="00BA73AC"/>
    <w:rsid w:val="00BB3789"/>
    <w:rsid w:val="00BD036B"/>
    <w:rsid w:val="00BE376D"/>
    <w:rsid w:val="00BF2C6D"/>
    <w:rsid w:val="00C0697B"/>
    <w:rsid w:val="00C15003"/>
    <w:rsid w:val="00C25C1F"/>
    <w:rsid w:val="00C311CC"/>
    <w:rsid w:val="00C4134C"/>
    <w:rsid w:val="00C64D9A"/>
    <w:rsid w:val="00C66F32"/>
    <w:rsid w:val="00C908B7"/>
    <w:rsid w:val="00C92DA0"/>
    <w:rsid w:val="00CC0339"/>
    <w:rsid w:val="00CD6391"/>
    <w:rsid w:val="00CF14A2"/>
    <w:rsid w:val="00D3549C"/>
    <w:rsid w:val="00D6402E"/>
    <w:rsid w:val="00D66A79"/>
    <w:rsid w:val="00DB1708"/>
    <w:rsid w:val="00DE3830"/>
    <w:rsid w:val="00DF3C98"/>
    <w:rsid w:val="00E07077"/>
    <w:rsid w:val="00E2214D"/>
    <w:rsid w:val="00E375C8"/>
    <w:rsid w:val="00E443CD"/>
    <w:rsid w:val="00E467F3"/>
    <w:rsid w:val="00E5668D"/>
    <w:rsid w:val="00E57AA4"/>
    <w:rsid w:val="00E6153D"/>
    <w:rsid w:val="00E63E2A"/>
    <w:rsid w:val="00E805F8"/>
    <w:rsid w:val="00E82020"/>
    <w:rsid w:val="00E83D59"/>
    <w:rsid w:val="00E86E67"/>
    <w:rsid w:val="00E87EF5"/>
    <w:rsid w:val="00E904F2"/>
    <w:rsid w:val="00E950D7"/>
    <w:rsid w:val="00EB2825"/>
    <w:rsid w:val="00EB4674"/>
    <w:rsid w:val="00EB4679"/>
    <w:rsid w:val="00EC1F75"/>
    <w:rsid w:val="00ED5878"/>
    <w:rsid w:val="00ED5D17"/>
    <w:rsid w:val="00F211F7"/>
    <w:rsid w:val="00F331C5"/>
    <w:rsid w:val="00F35959"/>
    <w:rsid w:val="00F411FA"/>
    <w:rsid w:val="00F41DFF"/>
    <w:rsid w:val="00F64486"/>
    <w:rsid w:val="00F94A83"/>
    <w:rsid w:val="00FA0D81"/>
    <w:rsid w:val="00FB27F6"/>
    <w:rsid w:val="00FC42DA"/>
    <w:rsid w:val="00FC74F7"/>
    <w:rsid w:val="00FD3970"/>
    <w:rsid w:val="00FE6EE8"/>
    <w:rsid w:val="05D16BBF"/>
    <w:rsid w:val="0D1F1C05"/>
    <w:rsid w:val="14E07D19"/>
    <w:rsid w:val="176F4EEF"/>
    <w:rsid w:val="18EB67F8"/>
    <w:rsid w:val="1B827583"/>
    <w:rsid w:val="1BF54CDB"/>
    <w:rsid w:val="1C154D29"/>
    <w:rsid w:val="1E304EBA"/>
    <w:rsid w:val="21500E00"/>
    <w:rsid w:val="22D233F8"/>
    <w:rsid w:val="24F33445"/>
    <w:rsid w:val="25256D20"/>
    <w:rsid w:val="266FE7CA"/>
    <w:rsid w:val="272C0627"/>
    <w:rsid w:val="2ABC6575"/>
    <w:rsid w:val="2BAF7E61"/>
    <w:rsid w:val="2D766D30"/>
    <w:rsid w:val="2E456552"/>
    <w:rsid w:val="30CC5882"/>
    <w:rsid w:val="32B122C4"/>
    <w:rsid w:val="33BC03D8"/>
    <w:rsid w:val="366FA1D6"/>
    <w:rsid w:val="37B75AE7"/>
    <w:rsid w:val="37FF6B88"/>
    <w:rsid w:val="396127CC"/>
    <w:rsid w:val="3A63223A"/>
    <w:rsid w:val="3B2F036E"/>
    <w:rsid w:val="3CDB2766"/>
    <w:rsid w:val="3D6E33D0"/>
    <w:rsid w:val="3F5D0E4C"/>
    <w:rsid w:val="3F7D6D65"/>
    <w:rsid w:val="3FEFAC0D"/>
    <w:rsid w:val="4054703C"/>
    <w:rsid w:val="462D3821"/>
    <w:rsid w:val="471B5BFC"/>
    <w:rsid w:val="49D7F93B"/>
    <w:rsid w:val="4A2771F0"/>
    <w:rsid w:val="4C991AEB"/>
    <w:rsid w:val="4E530ED4"/>
    <w:rsid w:val="4EDC49A8"/>
    <w:rsid w:val="4EEF2BD7"/>
    <w:rsid w:val="506D39BB"/>
    <w:rsid w:val="521818C7"/>
    <w:rsid w:val="529000C0"/>
    <w:rsid w:val="57FA0063"/>
    <w:rsid w:val="5844118A"/>
    <w:rsid w:val="5A3B82C9"/>
    <w:rsid w:val="5B6EC419"/>
    <w:rsid w:val="5DA71C9D"/>
    <w:rsid w:val="5E987596"/>
    <w:rsid w:val="5EDFD891"/>
    <w:rsid w:val="5F4358D0"/>
    <w:rsid w:val="5F5F9667"/>
    <w:rsid w:val="5F6706E3"/>
    <w:rsid w:val="5FFA035B"/>
    <w:rsid w:val="620034BC"/>
    <w:rsid w:val="64C8729C"/>
    <w:rsid w:val="65FE99B3"/>
    <w:rsid w:val="676E247F"/>
    <w:rsid w:val="69E13166"/>
    <w:rsid w:val="6B752D1A"/>
    <w:rsid w:val="6B956B52"/>
    <w:rsid w:val="6BDFD133"/>
    <w:rsid w:val="6BE91993"/>
    <w:rsid w:val="6DC9B272"/>
    <w:rsid w:val="6DF763F6"/>
    <w:rsid w:val="6EEF2C99"/>
    <w:rsid w:val="6F471B8E"/>
    <w:rsid w:val="6FBA9A52"/>
    <w:rsid w:val="6FEFA3E9"/>
    <w:rsid w:val="6FFF44CB"/>
    <w:rsid w:val="6FFFC439"/>
    <w:rsid w:val="7369B99D"/>
    <w:rsid w:val="764D37C3"/>
    <w:rsid w:val="767EEC63"/>
    <w:rsid w:val="76A50163"/>
    <w:rsid w:val="775DD167"/>
    <w:rsid w:val="777F2E15"/>
    <w:rsid w:val="77F667F0"/>
    <w:rsid w:val="77FF05C9"/>
    <w:rsid w:val="784B4F5A"/>
    <w:rsid w:val="7AB482E5"/>
    <w:rsid w:val="7B090BD3"/>
    <w:rsid w:val="7B7F9BA9"/>
    <w:rsid w:val="7BDF37B9"/>
    <w:rsid w:val="7BF2C51F"/>
    <w:rsid w:val="7EFF1F28"/>
    <w:rsid w:val="7EFFBF7D"/>
    <w:rsid w:val="7F7A0E2F"/>
    <w:rsid w:val="7F9F635F"/>
    <w:rsid w:val="7FDD40CB"/>
    <w:rsid w:val="7FF66874"/>
    <w:rsid w:val="7FFBC5E9"/>
    <w:rsid w:val="7FFD75D9"/>
    <w:rsid w:val="7FFF8132"/>
    <w:rsid w:val="7FFFCA9E"/>
    <w:rsid w:val="8FD7FB43"/>
    <w:rsid w:val="91DFDD8E"/>
    <w:rsid w:val="9DBB2493"/>
    <w:rsid w:val="A7B635DA"/>
    <w:rsid w:val="B3F64489"/>
    <w:rsid w:val="B7F5F65D"/>
    <w:rsid w:val="BBF7BFD7"/>
    <w:rsid w:val="BDEA2A3A"/>
    <w:rsid w:val="BF5FFFE2"/>
    <w:rsid w:val="BFFB22E0"/>
    <w:rsid w:val="CA7EE82F"/>
    <w:rsid w:val="CBFD1E4F"/>
    <w:rsid w:val="CF756609"/>
    <w:rsid w:val="D2540D14"/>
    <w:rsid w:val="D572A5A0"/>
    <w:rsid w:val="D5BFCF71"/>
    <w:rsid w:val="D9FAF89C"/>
    <w:rsid w:val="DBFFF2F1"/>
    <w:rsid w:val="DDFE930F"/>
    <w:rsid w:val="DE7B6F61"/>
    <w:rsid w:val="DF2E3CFF"/>
    <w:rsid w:val="E5EBB6FB"/>
    <w:rsid w:val="EBFF06D2"/>
    <w:rsid w:val="EFD69E0C"/>
    <w:rsid w:val="F76BFB47"/>
    <w:rsid w:val="F7DFB7EB"/>
    <w:rsid w:val="F7FDA8B9"/>
    <w:rsid w:val="F7FFF66D"/>
    <w:rsid w:val="FBDFC561"/>
    <w:rsid w:val="FD72CFF8"/>
    <w:rsid w:val="FDAB6AB4"/>
    <w:rsid w:val="FECF4686"/>
    <w:rsid w:val="FEED20E2"/>
    <w:rsid w:val="FEFEE952"/>
    <w:rsid w:val="FEFF1340"/>
    <w:rsid w:val="FF1FA57D"/>
    <w:rsid w:val="FF9BB211"/>
    <w:rsid w:val="FFBF4A64"/>
    <w:rsid w:val="FFFA24F2"/>
    <w:rsid w:val="FFFF2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仿宋_GB2312" w:hAnsi="仿宋_GB2312" w:eastAsia="仿宋_GB2312" w:cs="仿宋_GB2312"/>
      <w:kern w:val="2"/>
      <w:sz w:val="32"/>
      <w:szCs w:val="32"/>
      <w:lang w:val="en-US" w:eastAsia="zh-CN" w:bidi="ar-SA"/>
    </w:rPr>
  </w:style>
  <w:style w:type="paragraph" w:styleId="3">
    <w:name w:val="heading 1"/>
    <w:basedOn w:val="1"/>
    <w:next w:val="1"/>
    <w:qFormat/>
    <w:uiPriority w:val="0"/>
    <w:pPr>
      <w:spacing w:beforeAutospacing="1" w:afterAutospacing="1"/>
      <w:ind w:firstLine="0" w:firstLineChars="0"/>
      <w:jc w:val="center"/>
      <w:outlineLvl w:val="0"/>
    </w:pPr>
    <w:rPr>
      <w:rFonts w:hint="eastAsia" w:ascii="微软雅黑" w:hAnsi="微软雅黑" w:eastAsia="宋体" w:cs="Times New Roman"/>
      <w:b/>
      <w:bCs/>
      <w:kern w:val="44"/>
      <w:sz w:val="44"/>
      <w:szCs w:val="44"/>
    </w:rPr>
  </w:style>
  <w:style w:type="paragraph" w:styleId="4">
    <w:name w:val="heading 2"/>
    <w:basedOn w:val="1"/>
    <w:next w:val="1"/>
    <w:unhideWhenUsed/>
    <w:qFormat/>
    <w:uiPriority w:val="0"/>
    <w:pPr>
      <w:ind w:firstLine="200"/>
      <w:outlineLvl w:val="1"/>
    </w:pPr>
    <w:rPr>
      <w:rFonts w:ascii="Arial" w:hAnsi="Arial" w:eastAsia="楷体_GB2312"/>
      <w:b/>
    </w:rPr>
  </w:style>
  <w:style w:type="paragraph" w:styleId="5">
    <w:name w:val="heading 3"/>
    <w:basedOn w:val="1"/>
    <w:next w:val="1"/>
    <w:link w:val="15"/>
    <w:unhideWhenUsed/>
    <w:qFormat/>
    <w:uiPriority w:val="0"/>
    <w:pPr>
      <w:outlineLvl w:val="2"/>
    </w:pPr>
    <w:rPr>
      <w:rFonts w:eastAsia="楷体_GB2312"/>
      <w:b/>
    </w:rPr>
  </w:style>
  <w:style w:type="paragraph" w:styleId="6">
    <w:name w:val="heading 4"/>
    <w:basedOn w:val="1"/>
    <w:next w:val="1"/>
    <w:semiHidden/>
    <w:unhideWhenUsed/>
    <w:qFormat/>
    <w:uiPriority w:val="0"/>
    <w:pPr>
      <w:outlineLvl w:val="3"/>
    </w:pPr>
    <w:rPr>
      <w:rFonts w:ascii="Arial" w:hAnsi="Arial"/>
      <w:b/>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2"/>
    <w:qFormat/>
    <w:uiPriority w:val="0"/>
    <w:pPr>
      <w:ind w:firstLine="200"/>
    </w:pPr>
    <w:rPr>
      <w:rFonts w:hAnsi="Times New Roman"/>
    </w:rPr>
  </w:style>
  <w:style w:type="paragraph" w:styleId="7">
    <w:name w:val="Body Text"/>
    <w:basedOn w:val="1"/>
    <w:next w:val="8"/>
    <w:qFormat/>
    <w:uiPriority w:val="1"/>
    <w:pPr>
      <w:autoSpaceDE w:val="0"/>
      <w:autoSpaceDN w:val="0"/>
      <w:jc w:val="left"/>
    </w:pPr>
    <w:rPr>
      <w:rFonts w:ascii="仿宋" w:hAnsi="仿宋" w:eastAsia="仿宋" w:cs="仿宋"/>
      <w:kern w:val="0"/>
      <w:lang w:val="zh-CN" w:bidi="zh-CN"/>
    </w:rPr>
  </w:style>
  <w:style w:type="paragraph" w:styleId="8">
    <w:name w:val="Title"/>
    <w:basedOn w:val="1"/>
    <w:next w:val="1"/>
    <w:qFormat/>
    <w:uiPriority w:val="0"/>
    <w:pPr>
      <w:spacing w:before="240" w:after="60"/>
      <w:outlineLvl w:val="0"/>
    </w:pPr>
    <w:rPr>
      <w:rFonts w:eastAsia="宋体" w:asciiTheme="majorHAnsi" w:hAnsiTheme="majorHAnsi" w:cstheme="majorBidi"/>
      <w:b/>
      <w:bCs/>
    </w:rPr>
  </w:style>
  <w:style w:type="paragraph" w:styleId="9">
    <w:name w:val="Plain Text"/>
    <w:basedOn w:val="1"/>
    <w:qFormat/>
    <w:uiPriority w:val="0"/>
    <w:rPr>
      <w:rFonts w:ascii="宋体" w:hAnsi="Courier New" w:eastAsia="宋体"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Normal (Web)"/>
    <w:basedOn w:val="1"/>
    <w:qFormat/>
    <w:uiPriority w:val="99"/>
    <w:pPr>
      <w:spacing w:beforeAutospacing="1" w:afterAutospacing="1"/>
      <w:jc w:val="left"/>
    </w:pPr>
    <w:rPr>
      <w:rFonts w:cs="Times New Roman"/>
      <w:kern w:val="0"/>
      <w:sz w:val="24"/>
    </w:rPr>
  </w:style>
  <w:style w:type="character" w:customStyle="1" w:styleId="15">
    <w:name w:val="标题 3 字符"/>
    <w:link w:val="5"/>
    <w:qFormat/>
    <w:uiPriority w:val="0"/>
    <w:rPr>
      <w:rFonts w:eastAsia="楷体_GB2312"/>
      <w:b/>
    </w:rPr>
  </w:style>
  <w:style w:type="paragraph" w:customStyle="1" w:styleId="16">
    <w:name w:val="修订1"/>
    <w:hidden/>
    <w:unhideWhenUsed/>
    <w:qFormat/>
    <w:uiPriority w:val="99"/>
    <w:rPr>
      <w:rFonts w:ascii="仿宋_GB2312" w:hAnsi="仿宋_GB2312" w:eastAsia="仿宋_GB2312" w:cs="仿宋_GB2312"/>
      <w:kern w:val="2"/>
      <w:sz w:val="32"/>
      <w:szCs w:val="32"/>
      <w:lang w:val="en-US" w:eastAsia="zh-CN" w:bidi="ar-SA"/>
    </w:rPr>
  </w:style>
  <w:style w:type="character" w:customStyle="1" w:styleId="17">
    <w:name w:val="font101"/>
    <w:basedOn w:val="14"/>
    <w:qFormat/>
    <w:uiPriority w:val="0"/>
    <w:rPr>
      <w:rFonts w:hint="eastAsia" w:ascii="仿宋_GB2312" w:eastAsia="仿宋_GB2312"/>
      <w:color w:val="000000"/>
      <w:sz w:val="22"/>
      <w:szCs w:val="22"/>
      <w:u w:val="none"/>
    </w:rPr>
  </w:style>
  <w:style w:type="character" w:customStyle="1" w:styleId="18">
    <w:name w:val="font111"/>
    <w:basedOn w:val="14"/>
    <w:qFormat/>
    <w:uiPriority w:val="0"/>
    <w:rPr>
      <w:rFonts w:hint="eastAsia" w:ascii="宋体" w:hAnsi="宋体" w:eastAsia="宋体"/>
      <w:b/>
      <w:bCs/>
      <w:color w:val="000000"/>
      <w:sz w:val="22"/>
      <w:szCs w:val="22"/>
      <w:u w:val="none"/>
    </w:rPr>
  </w:style>
  <w:style w:type="character" w:customStyle="1" w:styleId="19">
    <w:name w:val="font81"/>
    <w:basedOn w:val="14"/>
    <w:qFormat/>
    <w:uiPriority w:val="0"/>
    <w:rPr>
      <w:rFonts w:hint="eastAsia" w:ascii="仿宋_GB2312" w:eastAsia="仿宋_GB2312"/>
      <w:b/>
      <w:bCs/>
      <w:color w:val="000000"/>
      <w:sz w:val="22"/>
      <w:szCs w:val="22"/>
      <w:u w:val="none"/>
    </w:rPr>
  </w:style>
  <w:style w:type="character" w:customStyle="1" w:styleId="20">
    <w:name w:val="font121"/>
    <w:basedOn w:val="14"/>
    <w:qFormat/>
    <w:uiPriority w:val="0"/>
    <w:rPr>
      <w:rFonts w:hint="eastAsia" w:ascii="仿宋_GB2312" w:eastAsia="仿宋_GB2312"/>
      <w:color w:val="000000"/>
      <w:sz w:val="22"/>
      <w:szCs w:val="22"/>
      <w:u w:val="none"/>
    </w:rPr>
  </w:style>
  <w:style w:type="table" w:customStyle="1" w:styleId="21">
    <w:name w:val="网格型1"/>
    <w:basedOn w:val="13"/>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正文缩进 字符"/>
    <w:link w:val="2"/>
    <w:qFormat/>
    <w:uiPriority w:val="0"/>
    <w:rPr>
      <w:rFonts w:ascii="仿宋_GB2312" w:eastAsia="仿宋_GB2312" w:cs="仿宋_GB2312"/>
      <w:kern w:val="2"/>
      <w:sz w:val="32"/>
      <w:szCs w:val="32"/>
    </w:rPr>
  </w:style>
  <w:style w:type="character" w:customStyle="1" w:styleId="23">
    <w:name w:val="font91"/>
    <w:basedOn w:val="14"/>
    <w:qFormat/>
    <w:uiPriority w:val="0"/>
    <w:rPr>
      <w:rFonts w:hint="eastAsia" w:ascii="仿宋_GB2312" w:eastAsia="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DAF89F-F844-4895-B9E2-7F42D3DE01B8}">
  <ds:schemaRefs/>
</ds:datastoreItem>
</file>

<file path=docProps/app.xml><?xml version="1.0" encoding="utf-8"?>
<Properties xmlns="http://schemas.openxmlformats.org/officeDocument/2006/extended-properties" xmlns:vt="http://schemas.openxmlformats.org/officeDocument/2006/docPropsVTypes">
  <Template>Normal</Template>
  <Pages>6</Pages>
  <Words>1551</Words>
  <Characters>1551</Characters>
  <Lines>67</Lines>
  <Paragraphs>32</Paragraphs>
  <TotalTime>39</TotalTime>
  <ScaleCrop>false</ScaleCrop>
  <LinksUpToDate>false</LinksUpToDate>
  <CharactersWithSpaces>3070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2024-06-29T03:21:00Z</dcterms:created>
  <dc:creator>王竹</dc:creator>
  <cp:lastModifiedBy>张康康</cp:lastModifiedBy>
  <dcterms:modified xsi:type="dcterms:W3CDTF">2026-05-27T14:36:24Z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235E21952C804CCCAB2F9815A439667F_13</vt:lpwstr>
  </property>
  <property fmtid="{D5CDD505-2E9C-101B-9397-08002B2CF9AE}" pid="4" name="KSOTemplateDocerSaveRecord">
    <vt:lpwstr>eyJoZGlkIjoiYTdlNjc2ZjYxZDVhZTExMWZkZTE2M2Y0Mzc2MjMxYzEiLCJ1c2VySWQiOiI1NDUyNjkzNzUifQ==</vt:lpwstr>
  </property>
</Properties>
</file>