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889D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南山区促进产业高质量发展专项资金——区工业和信息化局分项资金—</w:t>
      </w:r>
    </w:p>
    <w:p w14:paraId="3FBB6AE2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2026年一季度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“流量券”项目操作规程</w:t>
      </w:r>
    </w:p>
    <w:p w14:paraId="0B5B112D">
      <w:pPr>
        <w:spacing w:line="560" w:lineRule="exact"/>
        <w:contextualSpacing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（2026年度）</w:t>
      </w:r>
    </w:p>
    <w:p w14:paraId="7308B70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E3A4B4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为鼓励企业创新发展，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促进供给和需求良性互动，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根据《南山区促进产业高质量发展专项资金管理办法》《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南山区支持产业发展“六个券”行动方案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》等文件规定，制定本操作规程。</w:t>
      </w:r>
    </w:p>
    <w:p w14:paraId="5FD3FAA4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一、政策内容</w:t>
      </w:r>
    </w:p>
    <w:p w14:paraId="61C8E975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设立“流量券”资金池，对符合条件的企业按照上季度投流金额的5%</w:t>
      </w:r>
      <w:r>
        <w:rPr>
          <w:rFonts w:ascii="仿宋_GB2312" w:hAnsi="仿宋_GB2312" w:eastAsia="仿宋_GB2312" w:cs="仿宋_GB2312"/>
          <w:sz w:val="32"/>
          <w:szCs w:val="32"/>
        </w:rPr>
        <w:t>及投流增量的5%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发放“流量券”，本季度在流量平台进行投放时可直接进行抵扣，单家企业每批次“流量券”申领最高300万元。</w:t>
      </w:r>
    </w:p>
    <w:p w14:paraId="61C3E9B1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资助方式</w:t>
      </w:r>
    </w:p>
    <w:p w14:paraId="2DB4CD8A">
      <w:pPr>
        <w:widowControl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 w14:paraId="331B2FEE">
      <w:pPr>
        <w:widowControl/>
        <w:spacing w:line="560" w:lineRule="exact"/>
        <w:ind w:firstLine="537" w:firstLineChars="168"/>
        <w:rPr>
          <w:rFonts w:eastAsia="仿宋_GB2312"/>
        </w:rPr>
      </w:pPr>
      <w:r>
        <w:rPr>
          <w:rFonts w:hint="eastAsia" w:eastAsia="仿宋_GB2312"/>
          <w:sz w:val="32"/>
          <w:szCs w:val="32"/>
        </w:rPr>
        <w:t>本项资助受年度资金预算控制，区工信局视申报情况和预算安排，可以对资助金额、支持比例和拨付进度等进行统一调整，申报主体应无条件同意调整结果。</w:t>
      </w:r>
    </w:p>
    <w:p w14:paraId="208DBAB9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三、资助标准</w:t>
      </w:r>
    </w:p>
    <w:p w14:paraId="5B4BDDF4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对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规上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营利性服务业、工业、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批零业、住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  <w:lang w:val="en-US" w:eastAsia="zh-CN"/>
        </w:rPr>
        <w:t>宿业及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餐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  <w:lang w:val="en-US" w:eastAsia="zh-CN"/>
        </w:rPr>
        <w:t>饮业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企业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给予流量补贴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eastAsia="zh-CN"/>
        </w:rPr>
        <w:t>（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投流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40"/>
        </w:rPr>
        <w:t>平台和广告服务商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不在补贴范围内）：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一是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一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季度营收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产值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/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销售额/营业额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指标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同比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正增长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40"/>
        </w:rPr>
        <w:footnoteReference w:id="0"/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的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一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流量投放总额给予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基础流量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奖励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最高奖励金额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按照指标规模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分档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；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二是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一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加大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投放力度的企业，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2026年一季度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2025年四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季度投放流量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增加额给予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新增流量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奖励。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者可叠加享受，每家企业每季度最高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  <w:lang w:val="en-US" w:eastAsia="zh-CN"/>
        </w:rPr>
        <w:t>补贴金额不超过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40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00万元。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具体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奖励规则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如下：</w:t>
      </w:r>
    </w:p>
    <w:p w14:paraId="25BD4C7F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3" w:firstLineChars="200"/>
        <w:jc w:val="left"/>
        <w:textAlignment w:val="center"/>
        <w:rPr>
          <w:rFonts w:hint="eastAsia"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1.基础流量奖励</w:t>
      </w:r>
    </w:p>
    <w:p w14:paraId="402D3778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广告主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企业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2026年一季度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营收/产值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/销售额/营业额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规模指标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40"/>
        </w:rPr>
        <w:footnoteReference w:id="1"/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同比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正增长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的，按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在平台实际投放流量的5%发放“流量券”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eastAsia="zh-CN"/>
        </w:rPr>
        <w:t>，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</w:rPr>
        <w:t>计算公式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为：基础流量奖励=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月实际投放流量金额*5%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；广告主企业每季度可申领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最高奖励金额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按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2026年一季度月均指标规模分档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，具体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如下：</w:t>
      </w:r>
    </w:p>
    <w:tbl>
      <w:tblPr>
        <w:tblStyle w:val="11"/>
        <w:tblW w:w="7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2453"/>
      </w:tblGrid>
      <w:tr w14:paraId="0554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973" w:type="dxa"/>
            <w:shd w:val="clear" w:color="auto" w:fill="D7D7D7" w:themeFill="background1" w:themeFillShade="D8"/>
            <w:vAlign w:val="center"/>
          </w:tcPr>
          <w:p w14:paraId="28AFD30A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2026年一季度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月均营收/产值/销售额/营业额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规模</w:t>
            </w:r>
            <w:r>
              <w:rPr>
                <w:rStyle w:val="16"/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ootnoteReference w:id="2"/>
            </w:r>
          </w:p>
        </w:tc>
        <w:tc>
          <w:tcPr>
            <w:tcW w:w="2453" w:type="dxa"/>
            <w:shd w:val="clear" w:color="auto" w:fill="D7D7D7" w:themeFill="background1" w:themeFillShade="D8"/>
            <w:vAlign w:val="center"/>
          </w:tcPr>
          <w:p w14:paraId="3F5CDDFB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每季度最高奖励金额（万元）</w:t>
            </w:r>
          </w:p>
        </w:tc>
      </w:tr>
      <w:tr w14:paraId="7119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73" w:type="dxa"/>
            <w:noWrap/>
            <w:vAlign w:val="center"/>
          </w:tcPr>
          <w:p w14:paraId="664C0BE9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元以下</w:t>
            </w:r>
          </w:p>
        </w:tc>
        <w:tc>
          <w:tcPr>
            <w:tcW w:w="2453" w:type="dxa"/>
            <w:noWrap/>
            <w:vAlign w:val="center"/>
          </w:tcPr>
          <w:p w14:paraId="720B9E48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 w14:paraId="1FF5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973" w:type="dxa"/>
            <w:noWrap/>
            <w:vAlign w:val="center"/>
          </w:tcPr>
          <w:p w14:paraId="79338767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（含）-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亿元</w:t>
            </w:r>
          </w:p>
        </w:tc>
        <w:tc>
          <w:tcPr>
            <w:tcW w:w="2453" w:type="dxa"/>
            <w:noWrap/>
            <w:vAlign w:val="center"/>
          </w:tcPr>
          <w:p w14:paraId="21E87C8F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769B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73" w:type="dxa"/>
            <w:noWrap/>
            <w:vAlign w:val="center"/>
          </w:tcPr>
          <w:p w14:paraId="620BB36B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5亿元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（含）以上</w:t>
            </w:r>
          </w:p>
        </w:tc>
        <w:tc>
          <w:tcPr>
            <w:tcW w:w="2453" w:type="dxa"/>
            <w:noWrap/>
            <w:vAlign w:val="center"/>
          </w:tcPr>
          <w:p w14:paraId="72B7B8FE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</w:tr>
    </w:tbl>
    <w:p w14:paraId="76547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2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2.新增流量奖励</w:t>
      </w:r>
    </w:p>
    <w:p w14:paraId="48B3B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在平台实际投放流量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2025年10月至12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增加额的5%给予流量奖励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40"/>
        </w:rPr>
        <w:footnoteReference w:id="3"/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eastAsia="zh-CN"/>
        </w:rPr>
        <w:t>，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</w:rPr>
        <w:t>计算公式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为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</w:rPr>
        <w:t>：新增流量奖励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=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（202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月实际投放流量金额-2025年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10月至12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月实际投放流量金额）*5%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。</w:t>
      </w:r>
    </w:p>
    <w:p w14:paraId="0103C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营收/产值/销售额/营业额规模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以区统计局确认的数据为准；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实际投放流量金额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平台提供的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与已遴选公示的服务商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关联公司）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平台产生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2026年1月至3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月实际消耗金额数据为准。</w:t>
      </w:r>
    </w:p>
    <w:p w14:paraId="6C5AF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2026年一季度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流量券项目的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投流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平台与广告服务商通过遴选确定，遴选公示名单详见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南山区工信局官网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65527802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四、申请条件</w:t>
      </w:r>
    </w:p>
    <w:p w14:paraId="66083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（一）基本条件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</w:p>
    <w:p w14:paraId="39A46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数据申报地在南山区的主体；</w:t>
      </w:r>
    </w:p>
    <w:p w14:paraId="4A1E9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2.履行相关数据申报义务、守法经营、诚实守信、有规范健全的财务制度；</w:t>
      </w:r>
    </w:p>
    <w:p w14:paraId="0F5F9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3.积极配合区委、区政府相关工作。</w:t>
      </w:r>
    </w:p>
    <w:p w14:paraId="5EDA0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（二）有下列情况之一的，本项资金不予资助：</w:t>
      </w:r>
    </w:p>
    <w:p w14:paraId="7C2D9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1.被依法依规纳入严重失信主体名单或失信惩戒措施清单的；</w:t>
      </w:r>
    </w:p>
    <w:p w14:paraId="5CC40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2.提出资助申请后，申报主体项目实施地或数据申报地发生变化，不再符合申报条件的。</w:t>
      </w:r>
    </w:p>
    <w:p w14:paraId="4FAF2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37" w:firstLineChars="168"/>
        <w:textAlignment w:val="auto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五、</w:t>
      </w:r>
      <w:r>
        <w:rPr>
          <w:rFonts w:hint="eastAsia" w:ascii="黑体" w:hAnsi="黑体" w:eastAsia="黑体" w:cs="Times New Roman"/>
          <w:bCs/>
          <w:sz w:val="32"/>
          <w:szCs w:val="32"/>
        </w:rPr>
        <w:t>办理流程</w:t>
      </w:r>
    </w:p>
    <w:p w14:paraId="58880A10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（一）申报主体登陆“Ai南山企业服务综合平台”（https://www.inanshan.org.cn/），网上提交项目申报材料；</w:t>
      </w:r>
    </w:p>
    <w:p w14:paraId="20FEF169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（二）区企业发展服务中心受理申请，对申报材料进行形式性审核，区工业和信息化局复审项目申报材料；</w:t>
      </w:r>
    </w:p>
    <w:p w14:paraId="493C76D3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（三）区工业和信息化局拟定资助计划；</w:t>
      </w:r>
    </w:p>
    <w:p w14:paraId="3EA1243A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（四）区相关部门对申报主体的有关经营资质情况进行核查；</w:t>
      </w:r>
    </w:p>
    <w:p w14:paraId="144F009C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区企业发展服务中心将拟资助项目向社会公示5个工作日，对公示期满、无有效投诉的项目资助计划，区工业和信息化局再按照相应审核程序提交会议审议；</w:t>
      </w:r>
    </w:p>
    <w:p w14:paraId="0008C501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（六）经审议后，由区工业和信息化局直接行文下达资金计划；</w:t>
      </w:r>
    </w:p>
    <w:p w14:paraId="14093C86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申报主体授权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平台线上提交加盖单位财务专用章的收据后，区财政部门及时安排资金，区工业和信息化局同步办理资金拨付手续拨付至相应平台；</w:t>
      </w:r>
    </w:p>
    <w:p w14:paraId="2F3D04F2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（八）若申报企业在两家及以上投流平台发生实际投放的，须在流量券申报系统后台逐一勾选平台及广告服务商，并分别填写唯一充值账号。</w:t>
      </w:r>
    </w:p>
    <w:p w14:paraId="752B95D8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（九）奖励由平台代为充值至申报企业申报时填写的账号中，供企业投放后续流量时抵扣使用。充值方式如下：</w:t>
      </w:r>
    </w:p>
    <w:p w14:paraId="7F5A57A2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基础流量补贴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按各平台下各广告服务商已投放流量占比，分别充值至企业在申报系统后台填写的各广告服务商充值账号中；</w:t>
      </w:r>
    </w:p>
    <w:p w14:paraId="2E231E88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新增流量补贴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全部发放至实际投放金额最高的平台，由该平台充值至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该平台实际投放金额最高的广告服务商充值账号。</w:t>
      </w:r>
    </w:p>
    <w:p w14:paraId="4BDACC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  <w:highlight w:val="none"/>
        </w:rPr>
        <w:t>六、所需材料</w:t>
      </w:r>
    </w:p>
    <w:p w14:paraId="1A2A8D43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登录“Ai南山企业服务综合平台”https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://www.inanshan.org.cn/，在线填写《南山区促进产业高质量发展专项资金—区工业和信息化局分项资金—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2026年一季度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“流量券”项目申请书》相关申报材料； </w:t>
      </w:r>
    </w:p>
    <w:p w14:paraId="19B70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）统一社会信用代码证书（原件彩色扫描成PDF文件上传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7CA9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）法定代表人身份证[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原件（或复印件加盖单位公章）彩色扫描成PDF文件上传）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>]；</w:t>
      </w:r>
    </w:p>
    <w:p w14:paraId="68985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）申报主体由税务部门开具的单位202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税证明（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上传税务系统下载带有税务机关红色印章的电子版）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A7B0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五</w:t>
      </w:r>
      <w:r>
        <w:rPr>
          <w:rFonts w:hint="eastAsia" w:ascii="仿宋_GB2312" w:eastAsia="仿宋_GB2312"/>
          <w:sz w:val="32"/>
          <w:szCs w:val="32"/>
        </w:rPr>
        <w:t>）申请基础流量奖励项目需提供：</w:t>
      </w:r>
    </w:p>
    <w:p w14:paraId="0FFCF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1.（1）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营利性服务业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</w:rPr>
        <w:t>财务状况表；工业1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工业产销总值及主要产品产量表；批发业、零售业1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商品销售和库存表；住宿业、餐饮业1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经营情况表；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调查单位基本情况表[“统计联网直报平台”下载，原件（或复印件加盖单位公章）彩色扫描成PDF文件上传]；</w:t>
      </w:r>
    </w:p>
    <w:p w14:paraId="501F6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含合同），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 w:val="0"/>
          <w:bCs w:val="0"/>
          <w:color w:val="7030A0"/>
          <w:sz w:val="32"/>
          <w:szCs w:val="32"/>
          <w:lang w:eastAsia="zh-CN"/>
        </w:rPr>
        <w:t>。</w:t>
      </w:r>
    </w:p>
    <w:p w14:paraId="3DEFB82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申请新增流量奖励项目需提供：</w:t>
      </w:r>
    </w:p>
    <w:p w14:paraId="3F837A1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1.（1）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营利性服务业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</w:rPr>
        <w:t>财务状况表；工业1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工业产销总值及主要产品产量表；批发业、零售业1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商品销售和库存表；住宿业、餐饮业1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经营情况表；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调查单位基本情况表[“统计联网直报平台”下载，原件（或复印件加盖单位公章）彩色扫描成PDF文件上传]；</w:t>
      </w:r>
    </w:p>
    <w:p w14:paraId="7009941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2.2025年10月—12月及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1月—3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含合同）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7CC14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企业涉及分公司流量投放数据时，</w:t>
      </w:r>
      <w:r>
        <w:rPr>
          <w:rFonts w:hint="eastAsia" w:ascii="仿宋_GB2312" w:eastAsia="仿宋_GB2312"/>
          <w:sz w:val="32"/>
          <w:szCs w:val="32"/>
        </w:rPr>
        <w:t>需提供分公司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申请企业填报项目申请书时需准确填写分公司名称，分公司在平台产生的实际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消耗金额数据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统一纳入总公司在平台产生的实际消耗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金额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B029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审核部门认为需要提供的其他材料［原件（或复印件加盖单位公章）彩色扫描成PDF文件上传］。</w:t>
      </w:r>
    </w:p>
    <w:p w14:paraId="53720B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七、时限要求</w:t>
      </w:r>
    </w:p>
    <w:p w14:paraId="4B7B56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（一）区工信局视申请情况安排集中受理企业申请，具体受理时间以发布的申报通知为准。</w:t>
      </w:r>
    </w:p>
    <w:p w14:paraId="47D882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（二）申报主体须按照区工信局相关通知要求及时提交资金拨付所需材料，逾期不办理者视为自动放弃。</w:t>
      </w:r>
    </w:p>
    <w:p w14:paraId="56B7FC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八、其他事项</w:t>
      </w:r>
    </w:p>
    <w:p w14:paraId="0EA95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8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</w:t>
      </w:r>
      <w:r>
        <w:rPr>
          <w:rFonts w:hint="eastAsia" w:ascii="仿宋_GB2312" w:hAnsi="黑体" w:eastAsia="仿宋_GB2312"/>
          <w:sz w:val="32"/>
          <w:szCs w:val="32"/>
        </w:rPr>
        <w:t>本项目所依据的政策内容执行期间如遇国家、省、市有关政策调整的，按照上级有关规定执行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 w14:paraId="2F9D78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申请本项目资助的主体应保证其申报材料的完整性、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并承担因其提交的项目申报材料产生的相关法律责任，如有虚假或侵权等行为，该项目申请无效，如事后发现存在以上行为，本资金主管部门将保留依法追究其法律责任的权利。</w:t>
      </w:r>
    </w:p>
    <w:p w14:paraId="1CD8E8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九、附则</w:t>
      </w:r>
    </w:p>
    <w:p w14:paraId="7712E1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仿宋" w:eastAsia="仿宋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，本操作规程由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负责解释，自发布之日起施行。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7496C-2750-4EB5-B7B7-A28ECB5148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E3F4858-3D9B-4B29-8015-892AED5AAE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E1BB66-C1D5-4A1D-A290-F2ED3F9D06D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4156AC4-17E4-4DA6-84D3-2D4BD8A306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246588-EC3C-4584-BB9E-8D7170583F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4E8BADA-C64D-4879-A8BA-EDC53590BB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FDB2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D77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D77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110AF74C">
      <w:pPr>
        <w:pStyle w:val="8"/>
        <w:snapToGrid w:val="0"/>
        <w:jc w:val="both"/>
        <w:rPr>
          <w:rFonts w:hint="default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 xml:space="preserve"> 同比正增长：企业2026年第一季度规模指标＞2025年第一季度规模指标。</w:t>
      </w:r>
    </w:p>
  </w:footnote>
  <w:footnote w:id="1">
    <w:p w14:paraId="60085700">
      <w:pPr>
        <w:snapToGrid w:val="0"/>
        <w:jc w:val="both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Style w:val="16"/>
          <w:rFonts w:hint="eastAsia" w:ascii="仿宋_GB2312" w:hAnsi="仿宋_GB2312" w:eastAsia="仿宋_GB2312" w:cs="仿宋_GB2312"/>
          <w:color w:val="auto"/>
          <w:szCs w:val="21"/>
          <w:vertAlign w:val="baseline"/>
        </w:rPr>
        <w:footnoteRef/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企业规模指标按行业分类：营利性服务业企业以营收为指标、工业企业以产值为指标、批发零售业企业以销售额为指标、住宿餐饮业企业以营业额为指标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，具体以统计局数据为准；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季度营收/产值/销售额/营业额指标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统计范围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：营利性服务业为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1月-2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月；工业、批发业、零售业、住宿业、餐饮业为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1月-3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。</w:t>
      </w:r>
    </w:p>
  </w:footnote>
  <w:footnote w:id="2">
    <w:p w14:paraId="7F50A127">
      <w:pPr>
        <w:pStyle w:val="8"/>
        <w:snapToGrid w:val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Style w:val="16"/>
          <w:rFonts w:hint="eastAsia" w:ascii="仿宋_GB2312" w:hAnsi="仿宋_GB2312" w:eastAsia="仿宋_GB2312" w:cs="仿宋_GB2312"/>
          <w:color w:val="auto"/>
          <w:sz w:val="21"/>
          <w:szCs w:val="21"/>
          <w:vertAlign w:val="baseline"/>
        </w:rPr>
        <w:footnoteRef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月均指标规模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方法：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营利性服务业月均营收为：202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1月—2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月营收/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工业月均产值、批发零售业月均销售额、住宿餐饮业月均营业额规模计算公式为：（202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年1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月—3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月产值/销售额/营业额规模）/3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</w:footnote>
  <w:footnote w:id="3">
    <w:p w14:paraId="63A9BD11">
      <w:pPr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Style w:val="16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对申请</w:t>
      </w:r>
      <w:r>
        <w:rPr>
          <w:rFonts w:hint="eastAsia" w:ascii="仿宋_GB2312" w:hAnsi="仿宋_GB2312" w:eastAsia="仿宋_GB2312" w:cs="仿宋_GB2312"/>
          <w:szCs w:val="21"/>
        </w:rPr>
        <w:t>新增流量奖励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企业不设</w:t>
      </w:r>
      <w:r>
        <w:rPr>
          <w:rFonts w:hint="eastAsia" w:ascii="仿宋_GB2312" w:hAnsi="仿宋_GB2312" w:eastAsia="仿宋_GB2312" w:cs="仿宋_GB2312"/>
          <w:szCs w:val="21"/>
        </w:rPr>
        <w:t>营收/产值/销售额/营业额指标同比正增长要求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FD1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4FD9D"/>
    <w:multiLevelType w:val="singleLevel"/>
    <w:tmpl w:val="BEF4FD9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6304C"/>
    <w:rsid w:val="00153A87"/>
    <w:rsid w:val="004128AA"/>
    <w:rsid w:val="00452315"/>
    <w:rsid w:val="004F4881"/>
    <w:rsid w:val="005B3561"/>
    <w:rsid w:val="007F5770"/>
    <w:rsid w:val="00816C49"/>
    <w:rsid w:val="00846DE0"/>
    <w:rsid w:val="00856F8E"/>
    <w:rsid w:val="00877371"/>
    <w:rsid w:val="008906E2"/>
    <w:rsid w:val="008F0DC5"/>
    <w:rsid w:val="0096158F"/>
    <w:rsid w:val="00A445ED"/>
    <w:rsid w:val="00A966AA"/>
    <w:rsid w:val="00A96A7E"/>
    <w:rsid w:val="00BA1117"/>
    <w:rsid w:val="00C84AAE"/>
    <w:rsid w:val="00CF5F21"/>
    <w:rsid w:val="00D547F6"/>
    <w:rsid w:val="00D604AA"/>
    <w:rsid w:val="00DF11AF"/>
    <w:rsid w:val="03C878D7"/>
    <w:rsid w:val="0B803DF5"/>
    <w:rsid w:val="0CE42BD1"/>
    <w:rsid w:val="0DB627CC"/>
    <w:rsid w:val="102C28D3"/>
    <w:rsid w:val="16F21760"/>
    <w:rsid w:val="171B7636"/>
    <w:rsid w:val="182B350C"/>
    <w:rsid w:val="19780645"/>
    <w:rsid w:val="19C27019"/>
    <w:rsid w:val="1C947DDD"/>
    <w:rsid w:val="1CD468EB"/>
    <w:rsid w:val="1E7C383D"/>
    <w:rsid w:val="1F8E09CB"/>
    <w:rsid w:val="1FBFB84F"/>
    <w:rsid w:val="2B3FC42D"/>
    <w:rsid w:val="2BBBDA55"/>
    <w:rsid w:val="2BED59F1"/>
    <w:rsid w:val="2BFA3931"/>
    <w:rsid w:val="2D444CFC"/>
    <w:rsid w:val="2DF53CF9"/>
    <w:rsid w:val="2EDF2856"/>
    <w:rsid w:val="2FB9024F"/>
    <w:rsid w:val="36283891"/>
    <w:rsid w:val="371D02B1"/>
    <w:rsid w:val="38DC08FD"/>
    <w:rsid w:val="3A354A03"/>
    <w:rsid w:val="3BA65FE9"/>
    <w:rsid w:val="3C66227C"/>
    <w:rsid w:val="3EF6E7D1"/>
    <w:rsid w:val="3FBBEFBC"/>
    <w:rsid w:val="3FC2DBF4"/>
    <w:rsid w:val="3FEFE7BF"/>
    <w:rsid w:val="3FF4A656"/>
    <w:rsid w:val="3FFF86DB"/>
    <w:rsid w:val="431D0842"/>
    <w:rsid w:val="4A1947CF"/>
    <w:rsid w:val="4BBFA0C6"/>
    <w:rsid w:val="4DD3727F"/>
    <w:rsid w:val="4E47368F"/>
    <w:rsid w:val="4F6FA2DA"/>
    <w:rsid w:val="4FD642BE"/>
    <w:rsid w:val="4FEB407D"/>
    <w:rsid w:val="51DF61F2"/>
    <w:rsid w:val="521879A2"/>
    <w:rsid w:val="55D2737D"/>
    <w:rsid w:val="55FCA63F"/>
    <w:rsid w:val="56768973"/>
    <w:rsid w:val="5AFF272D"/>
    <w:rsid w:val="5BDFCD17"/>
    <w:rsid w:val="5BFFB57F"/>
    <w:rsid w:val="5C763BF7"/>
    <w:rsid w:val="5DAFB5BA"/>
    <w:rsid w:val="5E9FA7C1"/>
    <w:rsid w:val="5EFB6072"/>
    <w:rsid w:val="61021EFD"/>
    <w:rsid w:val="612F2A2F"/>
    <w:rsid w:val="616E7593"/>
    <w:rsid w:val="635B863C"/>
    <w:rsid w:val="64306D81"/>
    <w:rsid w:val="66FF7026"/>
    <w:rsid w:val="67FF55C6"/>
    <w:rsid w:val="6865530C"/>
    <w:rsid w:val="6CD20126"/>
    <w:rsid w:val="6DC742B3"/>
    <w:rsid w:val="6E1FB4EB"/>
    <w:rsid w:val="6E672434"/>
    <w:rsid w:val="6FBF2613"/>
    <w:rsid w:val="723F34C0"/>
    <w:rsid w:val="72445F08"/>
    <w:rsid w:val="75FB6C8D"/>
    <w:rsid w:val="7651022E"/>
    <w:rsid w:val="76F7CE72"/>
    <w:rsid w:val="77C35AEB"/>
    <w:rsid w:val="78BF2F05"/>
    <w:rsid w:val="79125F5A"/>
    <w:rsid w:val="7B3A0D61"/>
    <w:rsid w:val="7B6DF7A5"/>
    <w:rsid w:val="7BAFAE63"/>
    <w:rsid w:val="7C2CA41A"/>
    <w:rsid w:val="7C570E8D"/>
    <w:rsid w:val="7D753B4A"/>
    <w:rsid w:val="7DB044E7"/>
    <w:rsid w:val="7E27968A"/>
    <w:rsid w:val="7EFF747F"/>
    <w:rsid w:val="7F65F9D6"/>
    <w:rsid w:val="7FCD65A3"/>
    <w:rsid w:val="7FCEBC8A"/>
    <w:rsid w:val="7FDFA169"/>
    <w:rsid w:val="7FFF1873"/>
    <w:rsid w:val="7FFF9AF2"/>
    <w:rsid w:val="7FFFA9B3"/>
    <w:rsid w:val="9FFFDF39"/>
    <w:rsid w:val="A23F1DE9"/>
    <w:rsid w:val="A77F2F0D"/>
    <w:rsid w:val="ABF885CB"/>
    <w:rsid w:val="AE7ED61B"/>
    <w:rsid w:val="B76FC44A"/>
    <w:rsid w:val="B94EAD07"/>
    <w:rsid w:val="BA7F4EC0"/>
    <w:rsid w:val="BBDBF9BF"/>
    <w:rsid w:val="BCFF137B"/>
    <w:rsid w:val="BD763E22"/>
    <w:rsid w:val="BDF504A0"/>
    <w:rsid w:val="BE6A0D59"/>
    <w:rsid w:val="BF771065"/>
    <w:rsid w:val="CD2791FB"/>
    <w:rsid w:val="CEBA1A17"/>
    <w:rsid w:val="CFFDEFAB"/>
    <w:rsid w:val="DF8FA6DA"/>
    <w:rsid w:val="DFF997D7"/>
    <w:rsid w:val="E5FF97CE"/>
    <w:rsid w:val="EFFFD27A"/>
    <w:rsid w:val="EFFFDCFB"/>
    <w:rsid w:val="F3CBEE14"/>
    <w:rsid w:val="F3FEFEBA"/>
    <w:rsid w:val="F5BEC2C2"/>
    <w:rsid w:val="F6E52A82"/>
    <w:rsid w:val="F773438A"/>
    <w:rsid w:val="F77FE554"/>
    <w:rsid w:val="FABB2D9D"/>
    <w:rsid w:val="FB65F40A"/>
    <w:rsid w:val="FBCD5B26"/>
    <w:rsid w:val="FBDC42A8"/>
    <w:rsid w:val="FBDF8F8D"/>
    <w:rsid w:val="FDBC610B"/>
    <w:rsid w:val="FDDF0CC2"/>
    <w:rsid w:val="FDFC5DA1"/>
    <w:rsid w:val="FDFF2571"/>
    <w:rsid w:val="FF5D7A2C"/>
    <w:rsid w:val="FF794E39"/>
    <w:rsid w:val="FF7B7353"/>
    <w:rsid w:val="FF7EB468"/>
    <w:rsid w:val="FF7FB5CE"/>
    <w:rsid w:val="FF8B49C1"/>
    <w:rsid w:val="FFA3868D"/>
    <w:rsid w:val="FFDC702D"/>
    <w:rsid w:val="FFE7878E"/>
    <w:rsid w:val="FFFD275B"/>
    <w:rsid w:val="FF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Arial" w:hAnsi="Arial" w:eastAsia="方正小标宋简体" w:cs="Times New Roman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7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18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2916</Words>
  <Characters>3114</Characters>
  <Lines>22</Lines>
  <Paragraphs>6</Paragraphs>
  <TotalTime>23</TotalTime>
  <ScaleCrop>false</ScaleCrop>
  <LinksUpToDate>false</LinksUpToDate>
  <CharactersWithSpaces>3115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2018-07-23T23:11:00Z</dcterms:created>
  <dc:creator>d</dc:creator>
  <cp:lastModifiedBy>李祖赠</cp:lastModifiedBy>
  <cp:lastPrinted>2026-05-15T11:36:00Z</cp:lastPrinted>
  <dcterms:modified xsi:type="dcterms:W3CDTF">2026-05-21T03:42:27Z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eyJoZGlkIjoiZThmYzYxYzczN2MzYjkzZjQxNjRjYjg3YTJkZWJkZjYiLCJ1c2VySWQiOiIyMTAwNjM2ODIifQ==</vt:lpwstr>
  </property>
  <property fmtid="{D5CDD505-2E9C-101B-9397-08002B2CF9AE}" pid="4" name="ICV">
    <vt:lpwstr>8422CF346EE54F0A9B4DAB49EA116777_13</vt:lpwstr>
  </property>
</Properties>
</file>