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val="en-US" w:eastAsia="zh-CN"/>
        </w:rPr>
      </w:pPr>
      <w:bookmarkStart w:id="0" w:name="_Toc13216"/>
      <w:bookmarkStart w:id="1" w:name="_Toc32562"/>
      <w:bookmarkStart w:id="2" w:name="_Toc5810"/>
      <w:bookmarkStart w:id="3" w:name="_Toc125127182"/>
      <w:r>
        <w:rPr>
          <w:rFonts w:hint="eastAsia" w:ascii="黑体" w:hAnsi="黑体" w:eastAsia="黑体" w:cs="黑体"/>
          <w:color w:val="auto"/>
          <w:sz w:val="32"/>
          <w:szCs w:val="32"/>
          <w:highlight w:val="none"/>
          <w:lang w:val="en-US" w:eastAsia="zh-CN"/>
        </w:rPr>
        <w:t>附件10</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auto"/>
          <w:sz w:val="32"/>
          <w:szCs w:val="32"/>
          <w:highlight w:val="none"/>
          <w:lang w:val="en-US" w:eastAsia="zh-CN"/>
        </w:rPr>
      </w:pPr>
    </w:p>
    <w:bookmarkEnd w:id="0"/>
    <w:bookmarkEnd w:id="1"/>
    <w:bookmarkEnd w:id="2"/>
    <w:bookmarkEnd w:id="3"/>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auto"/>
          <w:kern w:val="0"/>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深圳市2026年中央资金消费新业态新模式新场景试点（支持优质消费资源与知名IP跨界联名—“IP+”消费场景集聚区资助项目）申报指南</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4" w:name="_Toc24194"/>
      <w:bookmarkStart w:id="5" w:name="_Toc20798"/>
      <w:r>
        <w:rPr>
          <w:rFonts w:hint="eastAsia" w:ascii="仿宋_GB2312" w:hAnsi="仿宋_GB2312" w:eastAsia="黑体" w:cs="Times New Roman"/>
          <w:b w:val="0"/>
          <w:bCs/>
          <w:color w:val="auto"/>
          <w:kern w:val="36"/>
          <w:sz w:val="32"/>
          <w:szCs w:val="48"/>
          <w:highlight w:val="none"/>
          <w:lang w:val="en-GB" w:eastAsia="zh-CN" w:bidi="ar-SA"/>
        </w:rPr>
        <w:t>支持领域</w:t>
      </w:r>
      <w:bookmarkEnd w:id="4"/>
      <w:bookmarkEnd w:id="5"/>
    </w:p>
    <w:p>
      <w:pPr>
        <w:bidi w:val="0"/>
        <w:spacing w:before="0" w:after="0" w:line="560" w:lineRule="exact"/>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鼓励商业综合体、商圈街区等，汇聚符合社会主义核心价值观、具有正确价值导向的全球知名IP、国潮IP、历史文化IP、本地特色IP，打造具有特色和吸引力的“IP+”综合消费场景。</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15437"/>
      <w:bookmarkStart w:id="7" w:name="_Toc8852"/>
      <w:r>
        <w:rPr>
          <w:rFonts w:hint="eastAsia" w:ascii="仿宋_GB2312" w:hAnsi="仿宋_GB2312" w:eastAsia="黑体" w:cs="Times New Roman"/>
          <w:b w:val="0"/>
          <w:bCs/>
          <w:color w:val="auto"/>
          <w:kern w:val="36"/>
          <w:sz w:val="32"/>
          <w:szCs w:val="48"/>
          <w:highlight w:val="none"/>
          <w:lang w:val="en-US" w:eastAsia="zh-CN" w:bidi="ar-SA"/>
        </w:rPr>
        <w:t>设定依据</w:t>
      </w:r>
      <w:bookmarkEnd w:id="6"/>
      <w:bookmarkEnd w:id="7"/>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pPr>
        <w:widowControl/>
        <w:bidi w:val="0"/>
        <w:spacing w:before="0" w:after="0" w:line="560" w:lineRule="exact"/>
        <w:ind w:firstLine="640" w:firstLineChars="200"/>
        <w:rPr>
          <w:rFonts w:hint="eastAsia" w:ascii="仿宋_GB2312" w:hAnsi="仿宋_GB2312" w:eastAsia="仿宋_GB2312" w:cs="Times New Roman"/>
          <w:color w:val="auto"/>
          <w:sz w:val="32"/>
          <w:szCs w:val="32"/>
          <w:highlight w:val="none"/>
          <w:lang w:val="en-US" w:eastAsia="zh-CN"/>
        </w:rPr>
      </w:pPr>
      <w:r>
        <w:rPr>
          <w:rFonts w:hint="eastAsia" w:cs="Times New Roman"/>
          <w:color w:val="auto"/>
          <w:sz w:val="32"/>
          <w:szCs w:val="32"/>
          <w:highlight w:val="none"/>
          <w:lang w:eastAsia="zh-CN"/>
        </w:rPr>
        <w:t>《财政部 商务部关于开展消费新业态新模式新场景试点工作的通知</w:t>
      </w:r>
      <w:r>
        <w:rPr>
          <w:rFonts w:hint="eastAsia" w:cs="Times New Roman"/>
          <w:color w:val="auto"/>
          <w:sz w:val="32"/>
          <w:szCs w:val="32"/>
          <w:highlight w:val="none"/>
          <w:lang w:val="en-US" w:eastAsia="zh-CN"/>
        </w:rPr>
        <w:t>财建〔2025〕341号</w:t>
      </w:r>
      <w:r>
        <w:rPr>
          <w:rFonts w:hint="eastAsia"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18411"/>
      <w:bookmarkStart w:id="9" w:name="_Toc21755"/>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8"/>
      <w:bookmarkEnd w:id="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eastAsia"/>
          <w:color w:val="auto"/>
          <w:highlight w:val="none"/>
          <w:lang w:val="en-US" w:eastAsia="zh-CN"/>
        </w:rPr>
        <w:t>资助</w:t>
      </w:r>
      <w:r>
        <w:rPr>
          <w:rFonts w:hint="eastAsia" w:ascii="仿宋_GB2312" w:eastAsia="仿宋_GB2312"/>
          <w:color w:val="auto"/>
          <w:highlight w:val="none"/>
          <w:lang w:val="en-US" w:eastAsia="zh-CN"/>
        </w:rPr>
        <w:t>金额和拨付进度等进行统一调整，申报单位应无条件同意调整结果。</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0" w:name="_Toc15307"/>
      <w:bookmarkStart w:id="11" w:name="_Toc431"/>
      <w:r>
        <w:rPr>
          <w:rFonts w:hint="eastAsia" w:ascii="仿宋_GB2312" w:hAnsi="仿宋_GB2312" w:eastAsia="黑体" w:cs="Times New Roman"/>
          <w:b w:val="0"/>
          <w:bCs/>
          <w:color w:val="auto"/>
          <w:kern w:val="36"/>
          <w:sz w:val="32"/>
          <w:szCs w:val="48"/>
          <w:highlight w:val="none"/>
          <w:lang w:val="en-US" w:eastAsia="zh-CN" w:bidi="ar-SA"/>
        </w:rPr>
        <w:t>申报条件</w:t>
      </w:r>
      <w:bookmarkEnd w:id="10"/>
      <w:bookmarkEnd w:id="11"/>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申报项目须同时满足以下条件：</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1.申报</w:t>
      </w:r>
      <w:r>
        <w:rPr>
          <w:rFonts w:hint="default"/>
          <w:color w:val="auto"/>
          <w:highlight w:val="none"/>
          <w:lang w:val="en-US" w:eastAsia="zh-CN"/>
        </w:rPr>
        <w:t>项目</w:t>
      </w:r>
      <w:r>
        <w:rPr>
          <w:rFonts w:hint="eastAsia"/>
          <w:color w:val="auto"/>
          <w:highlight w:val="none"/>
          <w:lang w:val="en-US" w:eastAsia="zh-CN"/>
        </w:rPr>
        <w:t>须</w:t>
      </w:r>
      <w:r>
        <w:rPr>
          <w:rFonts w:hint="default"/>
          <w:color w:val="auto"/>
          <w:highlight w:val="none"/>
          <w:lang w:val="en-US" w:eastAsia="zh-CN"/>
        </w:rPr>
        <w:t>通过合法授权、整体规划、统一运营打造规模化IP消费场景集聚区</w:t>
      </w:r>
      <w:r>
        <w:rPr>
          <w:rFonts w:hint="eastAsia"/>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集聚区内</w:t>
      </w:r>
      <w:r>
        <w:rPr>
          <w:rFonts w:hint="eastAsia"/>
          <w:color w:val="auto"/>
          <w:highlight w:val="none"/>
          <w:lang w:val="en-US" w:eastAsia="zh-CN"/>
        </w:rPr>
        <w:t>须</w:t>
      </w:r>
      <w:r>
        <w:rPr>
          <w:rFonts w:hint="default"/>
          <w:color w:val="auto"/>
          <w:highlight w:val="none"/>
          <w:lang w:val="en-US" w:eastAsia="zh-CN"/>
        </w:rPr>
        <w:t>汇聚10家以上影视、游戏、动漫、国潮、历史文化等IP主题店铺</w:t>
      </w:r>
      <w:r>
        <w:rPr>
          <w:rFonts w:hint="eastAsia"/>
          <w:color w:val="auto"/>
          <w:highlight w:val="none"/>
          <w:lang w:val="en-US" w:eastAsia="zh-CN"/>
        </w:rPr>
        <w:t>，并具备覆盖</w:t>
      </w:r>
      <w:r>
        <w:rPr>
          <w:rFonts w:hint="default"/>
          <w:color w:val="auto"/>
          <w:highlight w:val="none"/>
          <w:lang w:val="en-US" w:eastAsia="zh-CN"/>
        </w:rPr>
        <w:t>零售、体验消费、数字内容消费、跨界联名消费、社交娱乐等2类以上IP衍生消费场景</w:t>
      </w:r>
      <w:r>
        <w:rPr>
          <w:rFonts w:hint="eastAsia"/>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集聚区内月均提供服务次数不低于3万次</w:t>
      </w:r>
      <w:r>
        <w:rPr>
          <w:rFonts w:hint="eastAsia"/>
          <w:color w:val="auto"/>
          <w:highlight w:val="none"/>
          <w:lang w:val="en-US" w:eastAsia="zh-CN"/>
        </w:rPr>
        <w:t>（统计周期为2025年9月30日至申报受理前一个月月末；月均值按该期间实际运营数据计算，不足一个月的部分，按日均值折算为月均值）。</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必须的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2" w:name="_Toc7095"/>
      <w:bookmarkStart w:id="13" w:name="_Toc31102"/>
      <w:r>
        <w:rPr>
          <w:rFonts w:hint="eastAsia" w:ascii="仿宋_GB2312" w:hAnsi="仿宋_GB2312" w:eastAsia="黑体" w:cs="Times New Roman"/>
          <w:b w:val="0"/>
          <w:bCs/>
          <w:color w:val="auto"/>
          <w:kern w:val="36"/>
          <w:sz w:val="32"/>
          <w:szCs w:val="48"/>
          <w:highlight w:val="none"/>
          <w:lang w:val="en-US" w:eastAsia="zh-CN" w:bidi="ar-SA"/>
        </w:rPr>
        <w:t>支持标准</w:t>
      </w:r>
      <w:bookmarkEnd w:id="12"/>
      <w:bookmarkEnd w:id="13"/>
    </w:p>
    <w:p>
      <w:pPr>
        <w:bidi w:val="0"/>
        <w:rPr>
          <w:rFonts w:hint="eastAsia" w:ascii="仿宋_GB2312" w:eastAsia="仿宋_GB2312"/>
          <w:color w:val="auto"/>
          <w:highlight w:val="none"/>
          <w:lang w:val="en-US" w:eastAsia="zh-CN"/>
        </w:rPr>
      </w:pPr>
      <w:r>
        <w:rPr>
          <w:rStyle w:val="19"/>
          <w:rFonts w:hint="eastAsia" w:ascii="仿宋_GB2312" w:hAnsi="仿宋_GB2312" w:eastAsia="仿宋_GB2312" w:cs="仿宋_GB2312"/>
          <w:color w:val="auto"/>
          <w:sz w:val="32"/>
          <w:szCs w:val="32"/>
          <w:highlight w:val="none"/>
          <w:lang w:val="en-US" w:eastAsia="zh-CN"/>
        </w:rPr>
        <w:t>支持商业综合体、商圈街区等载体，通过合法授权、整体规划、统一运营打造规模化IP消费场景集聚区</w:t>
      </w:r>
      <w:r>
        <w:rPr>
          <w:rStyle w:val="19"/>
          <w:rFonts w:hint="eastAsia" w:cs="仿宋_GB2312"/>
          <w:color w:val="auto"/>
          <w:sz w:val="32"/>
          <w:szCs w:val="32"/>
          <w:highlight w:val="none"/>
          <w:lang w:val="en-US" w:eastAsia="zh-CN"/>
        </w:rPr>
        <w:t>，</w:t>
      </w:r>
      <w:r>
        <w:rPr>
          <w:rFonts w:hint="eastAsia" w:ascii="仿宋_GB2312" w:eastAsia="仿宋_GB2312"/>
          <w:color w:val="auto"/>
          <w:highlight w:val="none"/>
          <w:lang w:val="en-US" w:eastAsia="zh-CN"/>
        </w:rPr>
        <w:t>按</w:t>
      </w:r>
      <w:r>
        <w:rPr>
          <w:rFonts w:hint="eastAsia"/>
          <w:color w:val="auto"/>
          <w:highlight w:val="none"/>
          <w:lang w:val="en-US" w:eastAsia="zh-CN"/>
        </w:rPr>
        <w:t>项目</w:t>
      </w:r>
      <w:r>
        <w:rPr>
          <w:rFonts w:hint="eastAsia" w:ascii="仿宋_GB2312" w:eastAsia="仿宋_GB2312"/>
          <w:color w:val="auto"/>
          <w:highlight w:val="none"/>
          <w:lang w:val="en-US" w:eastAsia="zh-CN"/>
        </w:rPr>
        <w:t>相关的实际</w:t>
      </w:r>
      <w:r>
        <w:rPr>
          <w:rFonts w:hint="eastAsia"/>
          <w:color w:val="auto"/>
          <w:highlight w:val="none"/>
          <w:lang w:val="en-US" w:eastAsia="zh-CN"/>
        </w:rPr>
        <w:t>有效</w:t>
      </w:r>
      <w:r>
        <w:rPr>
          <w:rFonts w:hint="eastAsia" w:ascii="仿宋_GB2312" w:eastAsia="仿宋_GB2312"/>
          <w:color w:val="auto"/>
          <w:highlight w:val="none"/>
          <w:lang w:val="en-US" w:eastAsia="zh-CN"/>
        </w:rPr>
        <w:t>投入</w:t>
      </w:r>
      <w:r>
        <w:rPr>
          <w:rFonts w:hint="eastAsia"/>
          <w:color w:val="auto"/>
          <w:highlight w:val="none"/>
          <w:lang w:val="en-US" w:eastAsia="zh-CN"/>
        </w:rPr>
        <w:t>的</w:t>
      </w:r>
      <w:r>
        <w:rPr>
          <w:rFonts w:hint="eastAsia" w:ascii="仿宋_GB2312" w:eastAsia="仿宋_GB2312"/>
          <w:color w:val="auto"/>
          <w:highlight w:val="none"/>
          <w:lang w:val="en-US" w:eastAsia="zh-CN"/>
        </w:rPr>
        <w:t>15%给予资助，试点期间最高不超过200万元。</w:t>
      </w:r>
    </w:p>
    <w:p>
      <w:pPr>
        <w:rPr>
          <w:rFonts w:hint="eastAsia" w:ascii="仿宋_GB2312" w:eastAsia="仿宋_GB2312"/>
          <w:color w:val="auto"/>
          <w:highlight w:val="none"/>
          <w:lang w:val="en-US" w:eastAsia="zh-CN"/>
        </w:rPr>
      </w:pPr>
      <w:r>
        <w:rPr>
          <w:rFonts w:hint="eastAsia"/>
          <w:color w:val="000000" w:themeColor="text1"/>
          <w:highlight w:val="none"/>
          <w:lang w:val="en-US" w:eastAsia="zh-CN"/>
          <w14:textFill>
            <w14:solidFill>
              <w14:schemeClr w14:val="tx1"/>
            </w14:solidFill>
          </w14:textFill>
        </w:rPr>
        <w:t>实际有效投入是指</w:t>
      </w:r>
      <w:r>
        <w:rPr>
          <w:rStyle w:val="19"/>
          <w:rFonts w:hint="eastAsia"/>
          <w:color w:val="auto"/>
          <w:sz w:val="32"/>
          <w:szCs w:val="32"/>
          <w:highlight w:val="none"/>
          <w:lang w:eastAsia="zh-CN"/>
        </w:rPr>
        <w:t>2025年9月30日以来至申报日，申报主体打造规模化</w:t>
      </w:r>
      <w:r>
        <w:rPr>
          <w:rStyle w:val="19"/>
          <w:rFonts w:hint="eastAsia"/>
          <w:color w:val="auto"/>
          <w:sz w:val="32"/>
          <w:szCs w:val="32"/>
          <w:highlight w:val="none"/>
          <w:lang w:val="en-US" w:eastAsia="zh-CN"/>
        </w:rPr>
        <w:t>IP消费场景集聚区</w:t>
      </w:r>
      <w:r>
        <w:rPr>
          <w:rStyle w:val="19"/>
          <w:rFonts w:hint="eastAsia"/>
          <w:color w:val="auto"/>
          <w:sz w:val="32"/>
          <w:szCs w:val="32"/>
          <w:highlight w:val="none"/>
          <w:lang w:eastAsia="zh-CN"/>
        </w:rPr>
        <w:t>时</w:t>
      </w:r>
      <w:r>
        <w:rPr>
          <w:rFonts w:hint="eastAsia"/>
          <w:color w:val="000000" w:themeColor="text1"/>
          <w:highlight w:val="none"/>
          <w:lang w:val="en-US" w:eastAsia="zh-CN"/>
          <w14:textFill>
            <w14:solidFill>
              <w14:schemeClr w14:val="tx1"/>
            </w14:solidFill>
          </w14:textFill>
        </w:rPr>
        <w:t>，已完成或阶段性完成部分相关投入，不包含各级财政投资部分，以及第四点第（二）条专项条件中明确不予支持部分。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4" w:name="_Toc7147"/>
      <w:bookmarkStart w:id="15" w:name="_Toc27028"/>
      <w:r>
        <w:rPr>
          <w:rFonts w:hint="eastAsia" w:ascii="黑体" w:hAnsi="黑体" w:eastAsia="黑体" w:cs="仿宋"/>
          <w:color w:val="auto"/>
          <w:kern w:val="2"/>
          <w:sz w:val="32"/>
          <w:szCs w:val="22"/>
          <w:highlight w:val="none"/>
          <w:lang w:val="en-US" w:eastAsia="zh-CN" w:bidi="ar-SA"/>
        </w:rPr>
        <w:t>六、申报材料</w:t>
      </w:r>
      <w:bookmarkEnd w:id="14"/>
      <w:bookmarkEnd w:id="15"/>
    </w:p>
    <w:p>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pPr>
        <w:bidi w:val="0"/>
        <w:rPr>
          <w:rFonts w:hint="default" w:ascii="楷体" w:hAnsi="楷体" w:eastAsia="楷体_GB2312" w:cstheme="majorBidi"/>
          <w:bCs/>
          <w:color w:val="000000" w:themeColor="text1"/>
          <w:kern w:val="2"/>
          <w:szCs w:val="32"/>
          <w:highlight w:val="none"/>
          <w:lang w:val="en-US" w:eastAsia="zh-CN" w:bidi="ar-SA"/>
          <w14:textFill>
            <w14:solidFill>
              <w14:schemeClr w14:val="tx1"/>
            </w14:solidFill>
          </w14:textFill>
        </w:rPr>
      </w:pPr>
      <w:r>
        <w:rPr>
          <w:rFonts w:hint="eastAsia"/>
          <w:color w:val="auto"/>
          <w:highlight w:val="none"/>
          <w:lang w:val="en-US" w:eastAsia="zh-CN"/>
        </w:rPr>
        <w:t>请各项目申报单位于线上填写并提交《项目申报书》，网址：https://www.gdzwfw.gov.cn/（广东政务服务网），搜索“消费新业态新场景新模式试点”——选择深圳-福田后，按照相关事项提示流程和要求进行线上申报（特别提醒该事项办理需申报主体以法人账号登录提交，不接受个人账号提交），并按办理指南提交相关材料（包括并不限于）如下</w:t>
      </w:r>
      <w:r>
        <w:rPr>
          <w:rFonts w:hint="eastAsia"/>
          <w:color w:val="000000" w:themeColor="text1"/>
          <w:highlight w:val="none"/>
          <w:lang w:val="en-US" w:eastAsia="zh-CN"/>
          <w14:textFill>
            <w14:solidFill>
              <w14:schemeClr w14:val="tx1"/>
            </w14:solidFill>
          </w14:textFill>
        </w:rPr>
        <w:t>：</w:t>
      </w:r>
    </w:p>
    <w:p>
      <w:pPr>
        <w:bidi w:val="0"/>
        <w:rPr>
          <w:rFonts w:hint="default"/>
          <w:color w:val="000000" w:themeColor="text1"/>
          <w:highlight w:val="yellow"/>
          <w:lang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1.</w:t>
      </w:r>
      <w:r>
        <w:rPr>
          <w:rFonts w:hint="default"/>
          <w:highlight w:val="none"/>
        </w:rPr>
        <w:t>资金项目申请书</w:t>
      </w:r>
      <w:r>
        <w:rPr>
          <w:rFonts w:hint="eastAsia"/>
          <w:highlight w:val="none"/>
          <w:lang w:eastAsia="zh-CN"/>
        </w:rPr>
        <w:t>：</w:t>
      </w:r>
      <w:r>
        <w:rPr>
          <w:rFonts w:hint="default"/>
          <w:color w:val="auto"/>
          <w:highlight w:val="none"/>
          <w:lang w:val="en-US" w:eastAsia="zh-CN"/>
        </w:rPr>
        <w:t>申报单位按照申报材料要求编写项目申请书并提供相关证明材料</w:t>
      </w:r>
      <w:r>
        <w:rPr>
          <w:rFonts w:hint="eastAsia"/>
          <w:color w:val="auto"/>
          <w:highlight w:val="none"/>
          <w:lang w:val="en-US" w:eastAsia="zh-CN"/>
        </w:rPr>
        <w:t>（温馨提示：材料要求齐备，缺漏无法受理，请务必认真研读相关指南，切实准备资料，确认符合申请条件和材料齐备后再行提交，避免资料补缺导致办理时间过长或条件不符合退回）</w:t>
      </w:r>
      <w:r>
        <w:rPr>
          <w:rFonts w:hint="default"/>
          <w:color w:val="auto"/>
          <w:highlight w:val="none"/>
          <w:lang w:val="en-US" w:eastAsia="zh-CN"/>
        </w:rPr>
        <w:t>，初审通过后提供申请书纸质文件原件并将本指南第六条要求的项目申报材料</w:t>
      </w:r>
      <w:r>
        <w:rPr>
          <w:rFonts w:hint="eastAsia"/>
          <w:color w:val="auto"/>
          <w:highlight w:val="none"/>
          <w:lang w:val="en-US" w:eastAsia="zh-CN"/>
        </w:rPr>
        <w:t>（一式四份）</w:t>
      </w:r>
      <w:r>
        <w:rPr>
          <w:rFonts w:hint="default"/>
          <w:color w:val="auto"/>
          <w:highlight w:val="none"/>
          <w:lang w:val="en-US" w:eastAsia="zh-CN"/>
        </w:rPr>
        <w:t>一并线下或通过邮寄方式交给区商务部门</w:t>
      </w:r>
      <w:r>
        <w:rPr>
          <w:rFonts w:hint="eastAsia"/>
          <w:color w:val="auto"/>
          <w:highlight w:val="none"/>
          <w:lang w:val="en-US" w:eastAsia="zh-CN"/>
        </w:rPr>
        <w:t>（福田区政务服务中心综合窗口）</w:t>
      </w:r>
      <w:r>
        <w:rPr>
          <w:rFonts w:hint="default"/>
          <w:color w:val="auto"/>
          <w:highlight w:val="none"/>
          <w:lang w:val="en-US" w:eastAsia="zh-CN"/>
        </w:rPr>
        <w:t>，线下</w:t>
      </w:r>
      <w:r>
        <w:rPr>
          <w:rFonts w:hint="eastAsia"/>
          <w:color w:val="auto"/>
          <w:highlight w:val="none"/>
          <w:lang w:val="en-US" w:eastAsia="zh-CN"/>
        </w:rPr>
        <w:t>材料递交或邮寄地址:深圳市福田区国际创新中心F座3楼（深南大道1006号）</w:t>
      </w:r>
      <w:r>
        <w:rPr>
          <w:rFonts w:hint="default"/>
          <w:color w:val="auto"/>
          <w:highlight w:val="none"/>
          <w:lang w:val="en-US" w:eastAsia="zh-CN"/>
        </w:rPr>
        <w:t>。</w:t>
      </w:r>
      <w:r>
        <w:rPr>
          <w:rFonts w:hint="eastAsia"/>
          <w:color w:val="auto"/>
          <w:highlight w:val="none"/>
          <w:lang w:val="en-US" w:eastAsia="zh-CN"/>
        </w:rPr>
        <w:t>办公电话：0755-82978001。服务时间：星期一至星期五:上午9:00-12:00,下午 14:00-17:45(法定节假日除外)</w:t>
      </w:r>
      <w:r>
        <w:rPr>
          <w:rFonts w:hint="eastAsia" w:ascii="仿宋_GB2312" w:hAnsi="仿宋_GB2312" w:eastAsia="仿宋_GB2312" w:cs="Times New Roman"/>
          <w:color w:val="auto"/>
          <w:sz w:val="32"/>
          <w:szCs w:val="32"/>
          <w:highlight w:val="none"/>
          <w:lang w:val="en-US" w:eastAsia="zh-CN"/>
        </w:rPr>
        <w:t>。</w:t>
      </w:r>
    </w:p>
    <w:p>
      <w:pPr>
        <w:bidi w:val="0"/>
        <w:rPr>
          <w:rFonts w:hint="eastAsia"/>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pPr>
        <w:bidi w:val="0"/>
        <w:rPr>
          <w:rFonts w:hint="eastAsia"/>
          <w:color w:val="auto"/>
          <w:highlight w:val="none"/>
          <w:lang w:val="en-US" w:eastAsia="zh-CN"/>
        </w:rPr>
      </w:pPr>
      <w:r>
        <w:rPr>
          <w:rFonts w:hint="eastAsia"/>
          <w:color w:val="auto"/>
          <w:highlight w:val="none"/>
          <w:lang w:val="en-US" w:eastAsia="zh-CN"/>
        </w:rPr>
        <w:t>1.项目成效总结（模板详见项目申报书）。</w:t>
      </w:r>
    </w:p>
    <w:p>
      <w:pPr>
        <w:bidi w:val="0"/>
        <w:rPr>
          <w:rFonts w:hint="eastAsia"/>
          <w:color w:val="auto"/>
          <w:highlight w:val="none"/>
          <w:lang w:val="en-US" w:eastAsia="zh-CN"/>
        </w:rPr>
      </w:pPr>
      <w:r>
        <w:rPr>
          <w:rFonts w:hint="eastAsia"/>
          <w:color w:val="auto"/>
          <w:highlight w:val="none"/>
          <w:lang w:val="en-US" w:eastAsia="zh-CN"/>
        </w:rPr>
        <w:t>2.专项资金项目投入明细表及佐证材料（详见项目申报书）。</w:t>
      </w:r>
    </w:p>
    <w:p>
      <w:pPr>
        <w:bidi w:val="0"/>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w:t>
      </w:r>
      <w:r>
        <w:rPr>
          <w:rFonts w:hint="eastAsia"/>
          <w:color w:val="auto"/>
          <w:highlight w:val="none"/>
          <w:lang w:val="en-US" w:eastAsia="zh-CN"/>
        </w:rPr>
        <w:t>授权与运营材料：相关IP授权协议或合作协议（须体现合法授权），整体规划及统一运营方案。</w:t>
      </w:r>
    </w:p>
    <w:p>
      <w:pPr>
        <w:bidi w:val="0"/>
        <w:rPr>
          <w:rFonts w:hint="default"/>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.集聚</w:t>
      </w:r>
      <w:r>
        <w:rPr>
          <w:rFonts w:hint="default"/>
          <w:color w:val="auto"/>
          <w:highlight w:val="none"/>
          <w:lang w:val="en-US" w:eastAsia="zh-CN"/>
        </w:rPr>
        <w:t>规模材料：IP主题店铺清单（含店铺名称、IP类型、合作方式），及店铺租赁合同或入驻协议（须体现不少于10家）。</w:t>
      </w:r>
    </w:p>
    <w:p>
      <w:pPr>
        <w:bidi w:val="0"/>
        <w:rPr>
          <w:rFonts w:hint="default"/>
          <w:color w:val="auto"/>
          <w:highlight w:val="none"/>
          <w:lang w:val="en-US" w:eastAsia="zh-CN"/>
        </w:rPr>
      </w:pPr>
      <w:r>
        <w:rPr>
          <w:rFonts w:hint="default"/>
          <w:color w:val="auto"/>
          <w:highlight w:val="none"/>
          <w:lang w:val="en-US" w:eastAsia="zh-CN"/>
        </w:rPr>
        <w:t>5</w:t>
      </w:r>
      <w:r>
        <w:rPr>
          <w:rFonts w:hint="eastAsia"/>
          <w:color w:val="auto"/>
          <w:highlight w:val="none"/>
          <w:lang w:val="en-US" w:eastAsia="zh-CN"/>
        </w:rPr>
        <w:t>.业态场景材料：说明已具备的IP衍生消费场景（至少2类），并简要描述场景内容。</w:t>
      </w:r>
    </w:p>
    <w:p>
      <w:pPr>
        <w:bidi w:val="0"/>
        <w:rPr>
          <w:rFonts w:hint="eastAsia"/>
          <w:color w:val="auto"/>
          <w:highlight w:val="none"/>
          <w:lang w:val="en-US" w:eastAsia="zh-CN"/>
        </w:rPr>
      </w:pPr>
      <w:r>
        <w:rPr>
          <w:rFonts w:hint="default"/>
          <w:color w:val="auto"/>
          <w:highlight w:val="none"/>
          <w:lang w:val="en-US" w:eastAsia="zh-CN"/>
        </w:rPr>
        <w:t>6</w:t>
      </w:r>
      <w:r>
        <w:rPr>
          <w:rFonts w:hint="eastAsia"/>
          <w:color w:val="auto"/>
          <w:highlight w:val="none"/>
          <w:lang w:val="en-US" w:eastAsia="zh-CN"/>
        </w:rPr>
        <w:t>.服务次数材料：后台服务记录、消费订单数据等（须体现不低于3万次）。</w:t>
      </w:r>
    </w:p>
    <w:p>
      <w:pPr>
        <w:bidi w:val="0"/>
        <w:rPr>
          <w:rFonts w:hint="eastAsia"/>
          <w:b/>
          <w:bCs/>
          <w:color w:val="auto"/>
          <w:highlight w:val="none"/>
          <w:lang w:val="en-US" w:eastAsia="zh-CN"/>
        </w:rPr>
      </w:pPr>
      <w:r>
        <w:rPr>
          <w:rFonts w:hint="default"/>
          <w:b/>
          <w:bCs/>
          <w:color w:val="auto"/>
          <w:highlight w:val="none"/>
          <w:lang w:val="en-US" w:eastAsia="zh-CN"/>
        </w:rPr>
        <w:t>以上申报材料按顺序一式</w:t>
      </w:r>
      <w:r>
        <w:rPr>
          <w:rFonts w:hint="eastAsia"/>
          <w:b/>
          <w:bCs/>
          <w:color w:val="auto"/>
          <w:highlight w:val="none"/>
          <w:lang w:val="en-US" w:eastAsia="zh-CN"/>
        </w:rPr>
        <w:t>四</w:t>
      </w:r>
      <w:r>
        <w:rPr>
          <w:rFonts w:hint="default"/>
          <w:b/>
          <w:bCs/>
          <w:color w:val="auto"/>
          <w:highlight w:val="none"/>
          <w:lang w:val="en-US" w:eastAsia="zh-CN"/>
        </w:rPr>
        <w:t>份（附可编辑电子版和PDF扫描件）装订成册，在封面加盖单位公章并加盖骑缝章（其中，申报</w:t>
      </w:r>
      <w:r>
        <w:rPr>
          <w:rFonts w:hint="eastAsia" w:ascii="仿宋_GB2312" w:eastAsia="仿宋_GB2312"/>
          <w:b/>
          <w:bCs/>
          <w:color w:val="auto"/>
          <w:highlight w:val="none"/>
          <w:lang w:val="en-US" w:eastAsia="zh-CN"/>
        </w:rPr>
        <w:t>指引</w:t>
      </w:r>
      <w:r>
        <w:rPr>
          <w:rFonts w:hint="default"/>
          <w:b/>
          <w:bCs/>
          <w:color w:val="auto"/>
          <w:highlight w:val="none"/>
          <w:lang w:val="en-US" w:eastAsia="zh-CN"/>
        </w:rPr>
        <w:t>及附件有明确要求加盖公章的资料需按要求执行）。</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6" w:name="_Toc5711"/>
      <w:bookmarkStart w:id="17" w:name="_Toc19526"/>
      <w:r>
        <w:rPr>
          <w:rFonts w:hint="eastAsia" w:ascii="黑体" w:hAnsi="黑体" w:eastAsia="黑体" w:cs="仿宋"/>
          <w:color w:val="auto"/>
          <w:kern w:val="2"/>
          <w:sz w:val="32"/>
          <w:szCs w:val="22"/>
          <w:highlight w:val="none"/>
          <w:lang w:val="en-US" w:eastAsia="zh-CN" w:bidi="ar-SA"/>
        </w:rPr>
        <w:t>七、申请表格</w:t>
      </w:r>
      <w:bookmarkEnd w:id="16"/>
      <w:bookmarkEnd w:id="17"/>
    </w:p>
    <w:p>
      <w:pPr>
        <w:keepNext/>
        <w:keepLines/>
        <w:widowControl w:val="0"/>
        <w:bidi w:val="0"/>
        <w:spacing w:before="0" w:beforeLines="0" w:beforeAutospacing="0" w:after="0" w:afterLines="0" w:afterAutospacing="0" w:line="560" w:lineRule="exact"/>
        <w:ind w:firstLine="640" w:firstLineChars="200"/>
        <w:jc w:val="both"/>
        <w:outlineLvl w:val="0"/>
        <w:rPr>
          <w:rFonts w:hint="default" w:hAnsi="Calibri" w:cs="Times New Roman"/>
          <w:color w:val="auto"/>
          <w:sz w:val="32"/>
          <w:szCs w:val="32"/>
          <w:highlight w:val="none"/>
          <w:lang w:eastAsia="zh-CN"/>
        </w:rPr>
      </w:pPr>
      <w:r>
        <w:rPr>
          <w:rFonts w:hint="eastAsia" w:ascii="仿宋_GB2312" w:hAnsi="Calibri" w:eastAsia="仿宋_GB2312" w:cs="Times New Roman"/>
          <w:color w:val="000000"/>
          <w:spacing w:val="0"/>
          <w:sz w:val="32"/>
          <w:szCs w:val="32"/>
          <w:highlight w:val="none"/>
        </w:rPr>
        <w:t>本指南第六条（一）规定</w:t>
      </w:r>
      <w:r>
        <w:rPr>
          <w:rFonts w:hint="eastAsia" w:ascii="仿宋_GB2312" w:hAnsi="仿宋_GB2312" w:eastAsia="仿宋_GB2312" w:cs="Times New Roman"/>
          <w:color w:val="auto"/>
          <w:sz w:val="32"/>
          <w:szCs w:val="32"/>
          <w:highlight w:val="none"/>
          <w:lang w:val="en-US" w:eastAsia="zh-CN"/>
        </w:rPr>
        <w:t>登录广东政务服务网在线下载填报申请书（网址：http://www.gdzwfw.gov.cn/）</w:t>
      </w:r>
      <w:r>
        <w:rPr>
          <w:rFonts w:hint="default" w:hAnsi="Calibri" w:cs="Times New Roman"/>
          <w:color w:val="auto"/>
          <w:sz w:val="32"/>
          <w:szCs w:val="32"/>
          <w:highlight w:val="none"/>
          <w:lang w:eastAsia="zh-CN"/>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18" w:name="_Toc13760"/>
      <w:bookmarkStart w:id="19" w:name="_Toc20121"/>
      <w:r>
        <w:rPr>
          <w:rFonts w:hint="eastAsia" w:ascii="黑体" w:hAnsi="黑体" w:eastAsia="黑体" w:cs="仿宋"/>
          <w:color w:val="auto"/>
          <w:kern w:val="2"/>
          <w:sz w:val="32"/>
          <w:szCs w:val="22"/>
          <w:highlight w:val="none"/>
          <w:lang w:val="en-US" w:eastAsia="zh-CN" w:bidi="ar-SA"/>
        </w:rPr>
        <w:t>八、受理机关</w:t>
      </w:r>
      <w:bookmarkEnd w:id="18"/>
      <w:bookmarkEnd w:id="1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（一）受理机关</w:t>
      </w:r>
    </w:p>
    <w:p>
      <w:pPr>
        <w:bidi w:val="0"/>
        <w:rPr>
          <w:rFonts w:hint="eastAsia" w:ascii="仿宋_GB2312" w:hAnsi="宋体" w:eastAsia="仿宋_GB2312" w:cs="宋体"/>
          <w:color w:val="auto"/>
          <w:kern w:val="0"/>
          <w:sz w:val="32"/>
          <w:szCs w:val="32"/>
          <w:highlight w:val="none"/>
          <w:lang w:val="en-US" w:eastAsia="zh-CN"/>
        </w:rPr>
      </w:pPr>
      <w:r>
        <w:rPr>
          <w:rFonts w:hint="eastAsia" w:cs="仿宋_GB2312"/>
          <w:color w:val="000000" w:themeColor="text1"/>
          <w:sz w:val="32"/>
          <w:szCs w:val="32"/>
          <w:highlight w:val="none"/>
          <w:u w:val="none"/>
          <w:lang w:eastAsia="zh-CN"/>
          <w14:textFill>
            <w14:solidFill>
              <w14:schemeClr w14:val="tx1"/>
            </w14:solidFill>
          </w14:textFill>
        </w:rPr>
        <w:t>深圳市福田区商务局</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（二）受理时间</w:t>
      </w:r>
    </w:p>
    <w:p>
      <w:pPr>
        <w:bidi w:val="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1.网络填报时间：202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25</w:t>
      </w:r>
      <w:r>
        <w:rPr>
          <w:rFonts w:hint="eastAsia" w:ascii="仿宋_GB2312" w:hAnsi="宋体" w:eastAsia="仿宋_GB2312" w:cs="宋体"/>
          <w:color w:val="auto"/>
          <w:kern w:val="0"/>
          <w:sz w:val="32"/>
          <w:szCs w:val="32"/>
          <w:highlight w:val="none"/>
          <w:lang w:val="en-US" w:eastAsia="zh-CN"/>
        </w:rPr>
        <w:t>日-202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24</w:t>
      </w:r>
      <w:r>
        <w:rPr>
          <w:rFonts w:hint="eastAsia" w:ascii="仿宋_GB2312" w:hAnsi="宋体" w:eastAsia="仿宋_GB2312" w:cs="宋体"/>
          <w:color w:val="auto"/>
          <w:kern w:val="0"/>
          <w:sz w:val="32"/>
          <w:szCs w:val="32"/>
          <w:highlight w:val="none"/>
          <w:lang w:val="en-US" w:eastAsia="zh-CN"/>
        </w:rPr>
        <w:t>日</w:t>
      </w:r>
      <w:r>
        <w:rPr>
          <w:rFonts w:hint="eastAsia" w:hAnsi="宋体" w:cs="宋体"/>
          <w:color w:val="auto"/>
          <w:kern w:val="0"/>
          <w:sz w:val="32"/>
          <w:szCs w:val="32"/>
          <w:highlight w:val="none"/>
          <w:lang w:val="en-US" w:eastAsia="zh-CN"/>
        </w:rPr>
        <w:t>。</w:t>
      </w:r>
    </w:p>
    <w:p>
      <w:pPr>
        <w:bidi w:val="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2.材料提交时间：2026年</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25</w:t>
      </w:r>
      <w:r>
        <w:rPr>
          <w:rFonts w:hint="eastAsia" w:ascii="仿宋_GB2312" w:hAnsi="宋体" w:eastAsia="仿宋_GB2312" w:cs="宋体"/>
          <w:color w:val="auto"/>
          <w:kern w:val="0"/>
          <w:sz w:val="32"/>
          <w:szCs w:val="32"/>
          <w:highlight w:val="none"/>
          <w:lang w:val="en-US" w:eastAsia="zh-CN"/>
        </w:rPr>
        <w:t>日-2026年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28</w:t>
      </w:r>
      <w:r>
        <w:rPr>
          <w:rFonts w:hint="eastAsia" w:ascii="仿宋_GB2312" w:hAnsi="宋体" w:eastAsia="仿宋_GB2312" w:cs="宋体"/>
          <w:color w:val="auto"/>
          <w:kern w:val="0"/>
          <w:sz w:val="32"/>
          <w:szCs w:val="32"/>
          <w:highlight w:val="none"/>
          <w:lang w:val="en-US" w:eastAsia="zh-CN"/>
        </w:rPr>
        <w:t>日。</w:t>
      </w:r>
    </w:p>
    <w:p>
      <w:pPr>
        <w:bidi w:val="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申报单位在上述规定时间内填报、提交材料，逾期不予受理。</w:t>
      </w:r>
    </w:p>
    <w:p>
      <w:pPr>
        <w:bidi w:val="0"/>
        <w:spacing w:before="0" w:after="0" w:line="560" w:lineRule="exact"/>
        <w:ind w:left="645" w:firstLine="0" w:firstLineChars="0"/>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（三）受理地点</w:t>
      </w:r>
    </w:p>
    <w:p>
      <w:pPr>
        <w:keepNext w:val="0"/>
        <w:keepLines w:val="0"/>
        <w:widowControl/>
        <w:suppressLineNumbers w:val="0"/>
        <w:jc w:val="left"/>
        <w:rPr>
          <w:rFonts w:hint="eastAsia" w:ascii="仿宋_GB2312" w:hAnsi="仿宋_GB2312" w:eastAsia="仿宋_GB2312" w:cs="仿宋_GB2312"/>
          <w:color w:val="auto"/>
          <w:sz w:val="32"/>
          <w:szCs w:val="32"/>
          <w:highlight w:val="none"/>
        </w:rPr>
      </w:pPr>
      <w:r>
        <w:rPr>
          <w:rFonts w:hint="eastAsia" w:cs="仿宋_GB2312"/>
          <w:color w:val="auto"/>
          <w:sz w:val="32"/>
          <w:szCs w:val="32"/>
          <w:highlight w:val="none"/>
          <w:lang w:eastAsia="zh-CN"/>
        </w:rPr>
        <w:t>线上受理：</w:t>
      </w:r>
      <w:r>
        <w:rPr>
          <w:rFonts w:hint="eastAsia"/>
          <w:color w:val="auto"/>
          <w:highlight w:val="none"/>
          <w:lang w:val="en-US" w:eastAsia="zh-CN"/>
        </w:rPr>
        <w:t>https://www.gdzwfw.gov.cn/（广东政务服务网）。</w:t>
      </w:r>
    </w:p>
    <w:p>
      <w:pPr>
        <w:bidi w:val="0"/>
        <w:spacing w:before="0" w:after="0" w:line="560" w:lineRule="exact"/>
        <w:ind w:firstLine="640" w:firstLineChars="200"/>
        <w:rPr>
          <w:rFonts w:ascii="仿宋_GB2312" w:hAnsi="仿宋_GB2312" w:eastAsia="仿宋_GB2312" w:cs="仿宋_GB2312"/>
          <w:color w:val="auto"/>
          <w:sz w:val="32"/>
          <w:szCs w:val="32"/>
          <w:highlight w:val="none"/>
        </w:rPr>
      </w:pPr>
      <w:r>
        <w:rPr>
          <w:rFonts w:hint="eastAsia" w:cs="仿宋_GB2312"/>
          <w:color w:val="auto"/>
          <w:sz w:val="32"/>
          <w:szCs w:val="32"/>
          <w:highlight w:val="none"/>
          <w:lang w:eastAsia="zh-CN"/>
        </w:rPr>
        <w:t>线下材料递交地址：深圳市福田区国际创新中心F座3楼（深南大道1006号）福田区政务服务中心综合窗口。办公电话：0755-82978001。办公时间：星期一至星期五:上午9:00-12:00,下午 14:00-17:45(法定节假日除外)</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bidi w:val="0"/>
        <w:spacing w:before="0" w:after="0" w:line="560" w:lineRule="exact"/>
        <w:ind w:left="645" w:firstLine="0" w:firstLineChars="0"/>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（四）咨询电话</w:t>
      </w:r>
    </w:p>
    <w:p>
      <w:pPr>
        <w:bidi w:val="0"/>
        <w:rPr>
          <w:rFonts w:hint="eastAsia" w:ascii="仿宋_GB2312" w:hAnsi="仿宋_GB2312" w:eastAsia="仿宋_GB2312" w:cs="仿宋_GB2312"/>
          <w:color w:val="auto"/>
          <w:sz w:val="32"/>
          <w:szCs w:val="32"/>
          <w:highlight w:val="none"/>
          <w:u w:val="none"/>
        </w:rPr>
      </w:pPr>
      <w:r>
        <w:rPr>
          <w:rFonts w:hint="eastAsia" w:cs="仿宋_GB2312"/>
          <w:color w:val="auto"/>
          <w:sz w:val="32"/>
          <w:szCs w:val="32"/>
          <w:highlight w:val="none"/>
          <w:u w:val="none"/>
          <w:lang w:val="en-US" w:eastAsia="zh-CN"/>
        </w:rPr>
        <w:t>0755-82918333-2636/2030</w:t>
      </w:r>
      <w:bookmarkStart w:id="40" w:name="_GoBack"/>
      <w:bookmarkEnd w:id="40"/>
      <w:r>
        <w:rPr>
          <w:rFonts w:hint="eastAsia" w:ascii="仿宋_GB2312" w:hAnsi="仿宋_GB2312" w:eastAsia="仿宋_GB2312" w:cs="仿宋_GB2312"/>
          <w:color w:val="auto"/>
          <w:sz w:val="32"/>
          <w:szCs w:val="32"/>
          <w:highlight w:val="none"/>
          <w:u w:val="none"/>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0" w:name="_Toc9722"/>
      <w:bookmarkStart w:id="21" w:name="_Toc1376"/>
      <w:r>
        <w:rPr>
          <w:rFonts w:hint="eastAsia" w:ascii="黑体" w:hAnsi="黑体" w:eastAsia="黑体" w:cs="仿宋"/>
          <w:color w:val="auto"/>
          <w:kern w:val="2"/>
          <w:sz w:val="32"/>
          <w:szCs w:val="22"/>
          <w:highlight w:val="none"/>
          <w:lang w:val="en-US" w:eastAsia="zh-CN" w:bidi="ar-SA"/>
        </w:rPr>
        <w:t>九、申请决定机关</w:t>
      </w:r>
      <w:bookmarkEnd w:id="20"/>
      <w:bookmarkEnd w:id="21"/>
    </w:p>
    <w:p>
      <w:pPr>
        <w:bidi w:val="0"/>
        <w:rPr>
          <w:rFonts w:hint="eastAsia" w:ascii="仿宋_GB2312" w:hAnsi="宋体" w:eastAsia="仿宋_GB2312" w:cs="宋体"/>
          <w:color w:val="auto"/>
          <w:kern w:val="0"/>
          <w:sz w:val="32"/>
          <w:szCs w:val="32"/>
          <w:highlight w:val="none"/>
          <w:lang w:val="en-US" w:eastAsia="zh-CN"/>
        </w:rPr>
      </w:pPr>
      <w:bookmarkStart w:id="22" w:name="_Toc10305"/>
      <w:bookmarkStart w:id="23" w:name="_Toc125127183"/>
      <w:bookmarkStart w:id="24" w:name="_Toc161850809"/>
      <w:bookmarkStart w:id="25" w:name="_Toc2137"/>
      <w:r>
        <w:rPr>
          <w:rFonts w:hint="eastAsia" w:hAnsi="宋体" w:cs="宋体"/>
          <w:color w:val="auto"/>
          <w:kern w:val="0"/>
          <w:sz w:val="32"/>
          <w:szCs w:val="32"/>
          <w:highlight w:val="none"/>
          <w:lang w:val="en-US" w:eastAsia="zh-CN"/>
        </w:rPr>
        <w:t>各区级商务主管部门</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6" w:name="_Toc11274"/>
      <w:bookmarkStart w:id="27" w:name="_Toc16198"/>
      <w:r>
        <w:rPr>
          <w:rFonts w:hint="eastAsia" w:ascii="黑体" w:hAnsi="黑体" w:eastAsia="黑体" w:cs="仿宋"/>
          <w:color w:val="auto"/>
          <w:kern w:val="2"/>
          <w:sz w:val="32"/>
          <w:szCs w:val="22"/>
          <w:highlight w:val="none"/>
          <w:lang w:val="en-US" w:eastAsia="zh-CN" w:bidi="ar-SA"/>
        </w:rPr>
        <w:t>十、办理流程</w:t>
      </w:r>
      <w:bookmarkEnd w:id="26"/>
      <w:bookmarkEnd w:id="27"/>
    </w:p>
    <w:p>
      <w:pPr>
        <w:bidi w:val="0"/>
        <w:rPr>
          <w:rFonts w:hint="eastAsia" w:ascii="仿宋_GB2312" w:hAnsi="仿宋_GB2312" w:eastAsia="仿宋_GB2312" w:cs="Times New Roman"/>
          <w:color w:val="auto"/>
          <w:sz w:val="32"/>
          <w:szCs w:val="32"/>
          <w:highlight w:val="none"/>
          <w:lang w:bidi="ar"/>
        </w:rPr>
      </w:pPr>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w:t>
      </w:r>
      <w:r>
        <w:rPr>
          <w:rFonts w:hint="eastAsia" w:ascii="仿宋_GB2312" w:hAnsi="仿宋_GB2312" w:eastAsia="仿宋_GB2312" w:cs="Times New Roman"/>
          <w:color w:val="000000" w:themeColor="text1"/>
          <w:sz w:val="32"/>
          <w:szCs w:val="32"/>
          <w:highlight w:val="none"/>
          <w:lang w:val="en-US" w:eastAsia="zh-CN" w:bidi="ar"/>
          <w14:textFill>
            <w14:solidFill>
              <w14:schemeClr w14:val="tx1"/>
            </w14:solidFill>
          </w14:textFill>
        </w:rPr>
        <w:t>申报单位向辖区政务服务中心收文窗口提交申请材料</w:t>
      </w:r>
      <w:r>
        <w:rPr>
          <w:rFonts w:hint="eastAsia" w:ascii="仿宋_GB2312" w:hAnsi="仿宋_GB2312" w:eastAsia="仿宋_GB2312" w:cs="Times New Roman"/>
          <w:color w:val="auto"/>
          <w:sz w:val="32"/>
          <w:szCs w:val="32"/>
          <w:highlight w:val="none"/>
          <w:lang w:val="en-US" w:eastAsia="zh-CN" w:bidi="ar"/>
        </w:rPr>
        <w:t>——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8" w:name="_Toc28790"/>
      <w:bookmarkStart w:id="29" w:name="_Toc3693"/>
      <w:r>
        <w:rPr>
          <w:rFonts w:hint="eastAsia" w:ascii="黑体" w:hAnsi="黑体" w:eastAsia="黑体" w:cs="仿宋"/>
          <w:color w:val="auto"/>
          <w:kern w:val="2"/>
          <w:sz w:val="32"/>
          <w:szCs w:val="22"/>
          <w:highlight w:val="none"/>
          <w:lang w:val="en-US" w:eastAsia="zh-CN" w:bidi="ar-SA"/>
        </w:rPr>
        <w:t>十一、办理时限</w:t>
      </w:r>
      <w:bookmarkEnd w:id="28"/>
      <w:bookmarkEnd w:id="29"/>
    </w:p>
    <w:p>
      <w:pPr>
        <w:bidi w:val="0"/>
        <w:rPr>
          <w:rFonts w:hint="eastAsia"/>
          <w:color w:val="auto"/>
          <w:highlight w:val="none"/>
        </w:rPr>
      </w:pPr>
      <w:r>
        <w:rPr>
          <w:rFonts w:hint="eastAsia"/>
          <w:color w:val="auto"/>
          <w:highlight w:val="none"/>
          <w:lang w:val="en-US" w:eastAsia="zh-CN"/>
        </w:rPr>
        <w:t>180个工作日，不含特别程序。</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30" w:name="_Toc32254"/>
      <w:bookmarkStart w:id="31" w:name="_Toc29872"/>
      <w:r>
        <w:rPr>
          <w:rFonts w:hint="eastAsia" w:ascii="黑体" w:hAnsi="黑体" w:eastAsia="黑体" w:cs="仿宋"/>
          <w:color w:val="auto"/>
          <w:kern w:val="2"/>
          <w:sz w:val="32"/>
          <w:szCs w:val="22"/>
          <w:highlight w:val="none"/>
          <w:lang w:val="en-US" w:eastAsia="zh-CN" w:bidi="ar-SA"/>
        </w:rPr>
        <w:t>十二、证件及有效期</w:t>
      </w:r>
      <w:bookmarkEnd w:id="30"/>
      <w:bookmarkEnd w:id="31"/>
    </w:p>
    <w:p>
      <w:pPr>
        <w:bidi w:val="0"/>
        <w:rPr>
          <w:rFonts w:hint="eastAsia"/>
          <w:color w:val="auto"/>
          <w:highlight w:val="none"/>
        </w:rPr>
      </w:pPr>
      <w:r>
        <w:rPr>
          <w:rFonts w:hint="eastAsia"/>
          <w:color w:val="auto"/>
          <w:highlight w:val="none"/>
        </w:rPr>
        <w:t>证件：无</w:t>
      </w:r>
    </w:p>
    <w:p>
      <w:pPr>
        <w:bidi w:val="0"/>
        <w:rPr>
          <w:rFonts w:hint="eastAsia"/>
          <w:color w:val="auto"/>
          <w:highlight w:val="none"/>
        </w:rPr>
      </w:pPr>
      <w:r>
        <w:rPr>
          <w:rFonts w:hint="eastAsia"/>
          <w:color w:val="auto"/>
          <w:highlight w:val="none"/>
        </w:rPr>
        <w:t>有效期限：无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17239"/>
      <w:bookmarkStart w:id="33" w:name="_Toc19920"/>
      <w:r>
        <w:rPr>
          <w:rFonts w:hint="eastAsia" w:ascii="黑体" w:hAnsi="黑体" w:eastAsia="黑体" w:cs="Times New Roman"/>
          <w:color w:val="auto"/>
          <w:kern w:val="2"/>
          <w:sz w:val="32"/>
          <w:szCs w:val="32"/>
          <w:highlight w:val="none"/>
          <w:lang w:val="en-US" w:eastAsia="zh-CN" w:bidi="ar-SA"/>
        </w:rPr>
        <w:t>十三、证件的法律效力</w:t>
      </w:r>
      <w:bookmarkEnd w:id="32"/>
      <w:bookmarkEnd w:id="33"/>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4" w:name="_Toc6842"/>
      <w:bookmarkStart w:id="35" w:name="_Toc7505"/>
      <w:r>
        <w:rPr>
          <w:rFonts w:hint="eastAsia" w:ascii="黑体" w:hAnsi="黑体" w:eastAsia="黑体" w:cs="Times New Roman"/>
          <w:color w:val="auto"/>
          <w:kern w:val="2"/>
          <w:sz w:val="32"/>
          <w:szCs w:val="32"/>
          <w:highlight w:val="none"/>
          <w:lang w:val="en-US" w:eastAsia="zh-CN" w:bidi="ar-SA"/>
        </w:rPr>
        <w:t>十四、收费</w:t>
      </w:r>
      <w:bookmarkEnd w:id="34"/>
      <w:bookmarkEnd w:id="35"/>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6" w:name="_Toc30475"/>
      <w:bookmarkStart w:id="37" w:name="_Toc30145"/>
      <w:r>
        <w:rPr>
          <w:rFonts w:hint="eastAsia" w:ascii="黑体" w:hAnsi="黑体" w:eastAsia="黑体" w:cs="Times New Roman"/>
          <w:color w:val="auto"/>
          <w:kern w:val="2"/>
          <w:sz w:val="32"/>
          <w:szCs w:val="32"/>
          <w:highlight w:val="none"/>
          <w:lang w:val="en-US" w:eastAsia="zh-CN" w:bidi="ar-SA"/>
        </w:rPr>
        <w:t>十五、年审或年检</w:t>
      </w:r>
      <w:bookmarkEnd w:id="36"/>
      <w:bookmarkEnd w:id="37"/>
    </w:p>
    <w:p>
      <w:pPr>
        <w:bidi w:val="0"/>
        <w:rPr>
          <w:rFonts w:hint="eastAsia"/>
          <w:color w:val="auto"/>
          <w:highlight w:val="none"/>
        </w:rPr>
      </w:pPr>
      <w:r>
        <w:rPr>
          <w:rFonts w:hint="eastAsia"/>
          <w:color w:val="auto"/>
          <w:highlight w:val="none"/>
        </w:rPr>
        <w:t>无</w:t>
      </w:r>
      <w:bookmarkStart w:id="38" w:name="_Toc28762"/>
      <w:bookmarkStart w:id="39" w:name="_Toc20677"/>
    </w:p>
    <w:p>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8"/>
      <w:bookmarkEnd w:id="39"/>
    </w:p>
    <w:p>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p>
    <w:p>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auto"/>
          <w:highlight w:val="none"/>
          <w:lang w:eastAsia="zh-CN"/>
        </w:rPr>
        <w:t>（举报电话：</w:t>
      </w:r>
      <w:r>
        <w:rPr>
          <w:rFonts w:hint="eastAsia"/>
          <w:color w:val="auto"/>
          <w:highlight w:val="none"/>
          <w:lang w:val="en-US" w:eastAsia="zh-CN"/>
        </w:rPr>
        <w:t>0755-</w:t>
      </w:r>
      <w:r>
        <w:rPr>
          <w:rFonts w:hint="eastAsia" w:cs="仿宋_GB2312"/>
          <w:color w:val="auto"/>
          <w:sz w:val="32"/>
          <w:szCs w:val="32"/>
          <w:highlight w:val="none"/>
          <w:u w:val="none"/>
          <w:lang w:val="en-US" w:eastAsia="zh-CN"/>
        </w:rPr>
        <w:t>82918333-2636</w:t>
      </w:r>
      <w:r>
        <w:rPr>
          <w:rFonts w:hint="eastAsia"/>
          <w:color w:val="auto"/>
          <w:highlight w:val="none"/>
          <w:lang w:eastAsia="zh-CN"/>
        </w:rPr>
        <w:t>）</w:t>
      </w:r>
      <w:r>
        <w:rPr>
          <w:rFonts w:hint="eastAsia"/>
          <w:color w:val="auto"/>
          <w:highlight w:val="none"/>
          <w:lang w:val="en-US" w:eastAsia="zh-CN"/>
        </w:rPr>
        <w:t>。</w:t>
      </w:r>
    </w:p>
    <w:p>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pPr>
        <w:bidi w:val="0"/>
        <w:rPr>
          <w:rFonts w:hint="eastAsia"/>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w:t>
      </w:r>
      <w:r>
        <w:rPr>
          <w:rFonts w:hint="eastAsia"/>
          <w:color w:val="auto"/>
          <w:highlight w:val="none"/>
          <w:lang w:eastAsia="zh-CN"/>
        </w:rPr>
        <w:t>拨付</w:t>
      </w:r>
      <w:r>
        <w:rPr>
          <w:color w:val="auto"/>
          <w:highlight w:val="none"/>
        </w:rPr>
        <w:t>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p>
    <w:p>
      <w:pPr>
        <w:bidi w:val="0"/>
        <w:rPr>
          <w:rFonts w:hint="eastAsia"/>
          <w:color w:val="auto"/>
          <w:highlight w:val="none"/>
        </w:rPr>
      </w:pPr>
    </w:p>
    <w:p>
      <w:pPr>
        <w:bidi w:val="0"/>
        <w:rPr>
          <w:rFonts w:hint="eastAsia"/>
          <w:color w:val="auto"/>
          <w:highlight w:val="none"/>
          <w:lang w:eastAsia="zh-CN"/>
        </w:rPr>
      </w:pPr>
      <w:r>
        <w:rPr>
          <w:rFonts w:hint="eastAsia"/>
          <w:color w:val="auto"/>
          <w:highlight w:val="none"/>
          <w:lang w:eastAsia="zh-CN"/>
        </w:rPr>
        <w:t>附录：名词解释</w:t>
      </w:r>
    </w:p>
    <w:p>
      <w:pPr>
        <w:bidi w:val="0"/>
        <w:ind w:firstLine="0" w:firstLineChars="0"/>
        <w:rPr>
          <w:rFonts w:hint="eastAsia"/>
          <w:color w:val="auto"/>
          <w:highlight w:val="none"/>
          <w:lang w:eastAsia="zh-CN"/>
        </w:rPr>
      </w:pPr>
      <w:r>
        <w:rPr>
          <w:rFonts w:hint="eastAsia"/>
          <w:color w:val="auto"/>
          <w:highlight w:val="none"/>
          <w:lang w:eastAsia="zh-CN"/>
        </w:rPr>
        <w:br w:type="page"/>
      </w:r>
      <w:r>
        <w:rPr>
          <w:rFonts w:hint="eastAsia"/>
          <w:color w:val="auto"/>
          <w:highlight w:val="none"/>
          <w:lang w:eastAsia="zh-CN"/>
        </w:rPr>
        <w:t>附</w:t>
      </w:r>
      <w:r>
        <w:rPr>
          <w:rFonts w:hint="eastAsia"/>
          <w:color w:val="auto"/>
          <w:highlight w:val="none"/>
          <w:lang w:val="en-US" w:eastAsia="zh-CN"/>
        </w:rPr>
        <w:t xml:space="preserve">  </w:t>
      </w:r>
      <w:r>
        <w:rPr>
          <w:rFonts w:hint="eastAsia"/>
          <w:color w:val="auto"/>
          <w:highlight w:val="none"/>
          <w:lang w:eastAsia="zh-CN"/>
        </w:rPr>
        <w:t>录</w:t>
      </w:r>
    </w:p>
    <w:p>
      <w:pPr>
        <w:bidi w:val="0"/>
        <w:ind w:firstLine="0" w:firstLineChars="0"/>
        <w:rPr>
          <w:rFonts w:hint="eastAsia"/>
          <w:color w:val="auto"/>
          <w:highlight w:val="none"/>
          <w:lang w:eastAsia="zh-CN"/>
        </w:rPr>
      </w:pPr>
    </w:p>
    <w:bookmarkEnd w:id="22"/>
    <w:bookmarkEnd w:id="23"/>
    <w:bookmarkEnd w:id="24"/>
    <w:bookmarkEnd w:id="25"/>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名词解释</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ind w:firstLine="642"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一、</w:t>
      </w:r>
      <w:r>
        <w:rPr>
          <w:rFonts w:hint="default" w:ascii="仿宋_GB2312" w:hAnsi="仿宋_GB2312" w:eastAsia="仿宋_GB2312" w:cs="仿宋_GB2312"/>
          <w:b/>
          <w:bCs/>
          <w:color w:val="auto"/>
          <w:sz w:val="32"/>
          <w:szCs w:val="32"/>
          <w:highlight w:val="none"/>
          <w:lang w:val="en-US" w:eastAsia="zh-CN"/>
        </w:rPr>
        <w:t>提供服务次数：</w:t>
      </w:r>
      <w:r>
        <w:rPr>
          <w:rFonts w:hint="default" w:ascii="仿宋_GB2312" w:hAnsi="仿宋_GB2312" w:eastAsia="仿宋_GB2312" w:cs="仿宋_GB2312"/>
          <w:color w:val="auto"/>
          <w:sz w:val="32"/>
          <w:szCs w:val="32"/>
          <w:highlight w:val="none"/>
          <w:lang w:val="en-US" w:eastAsia="zh-CN"/>
        </w:rPr>
        <w:t>指定统计周期内已完成履约闭环的有效服务总次数，核算认定统一以可溯源、可核查的正式消费凭证及业务后台留存原始消费数据记录作为佐证依据。</w:t>
      </w:r>
    </w:p>
    <w:p>
      <w:pPr>
        <w:keepNext w:val="0"/>
        <w:keepLines w:val="0"/>
        <w:pageBreakBefore w:val="0"/>
        <w:widowControl w:val="0"/>
        <w:kinsoku/>
        <w:wordWrap/>
        <w:overflowPunct/>
        <w:topLinePunct w:val="0"/>
        <w:autoSpaceDE/>
        <w:autoSpaceDN/>
        <w:bidi w:val="0"/>
        <w:adjustRightInd/>
        <w:snapToGrid/>
        <w:spacing w:line="460" w:lineRule="exact"/>
        <w:ind w:firstLine="642"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Style w:val="19"/>
          <w:rFonts w:hint="eastAsia" w:cs="仿宋_GB2312"/>
          <w:b/>
          <w:bCs/>
          <w:color w:val="auto"/>
          <w:sz w:val="32"/>
          <w:szCs w:val="32"/>
          <w:highlight w:val="none"/>
          <w:lang w:val="en-US" w:eastAsia="zh-CN"/>
        </w:rPr>
        <w:t>二</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pPr>
        <w:rPr>
          <w:rFonts w:ascii="仿宋_GB2312" w:hAnsi="仿宋_GB2312"/>
          <w:color w:val="auto"/>
          <w:highlight w:val="none"/>
        </w:rPr>
      </w:pPr>
    </w:p>
    <w:sectPr>
      <w:footerReference r:id="rId5" w:type="default"/>
      <w:pgSz w:w="11906" w:h="16838"/>
      <w:pgMar w:top="1814" w:right="1474" w:bottom="1814" w:left="147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FangSong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s0lY7tAAAAAFAQAADwAAAAAAAAABACAA&#10;AAA4AAAAZHJzL2Rvd25yZXYueG1sUEsBAhQAFAAAAAgAh07iQF4aj184AgAAbwQAAA4AAAAAAAAA&#10;AQAgAAAANQEAAGRycy9lMm9Eb2MueG1sUEsFBgAAAAAGAAYAWQEAAN8FAAAAAA==&#10;">
              <v:fill on="f" focussize="0,0"/>
              <v:stroke on="f" weight="0.5pt"/>
              <v:imagedata o:title=""/>
              <o:lock v:ext="edit" aspectratio="f"/>
              <v:textbox inset="0mm,0mm,0mm,0mm" style="mso-fit-shape-to-text:t;">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12A09FA"/>
    <w:rsid w:val="01EC3436"/>
    <w:rsid w:val="02803A46"/>
    <w:rsid w:val="02CB1CF7"/>
    <w:rsid w:val="02DA63DE"/>
    <w:rsid w:val="02E93786"/>
    <w:rsid w:val="032C6A46"/>
    <w:rsid w:val="03B55433"/>
    <w:rsid w:val="04E7791B"/>
    <w:rsid w:val="05036B9E"/>
    <w:rsid w:val="052D305E"/>
    <w:rsid w:val="052E6828"/>
    <w:rsid w:val="05A02047"/>
    <w:rsid w:val="06426774"/>
    <w:rsid w:val="06825C75"/>
    <w:rsid w:val="068A4895"/>
    <w:rsid w:val="070F7027"/>
    <w:rsid w:val="07F177C6"/>
    <w:rsid w:val="08461CA3"/>
    <w:rsid w:val="08B76215"/>
    <w:rsid w:val="0A2D6324"/>
    <w:rsid w:val="0A302337"/>
    <w:rsid w:val="0A58254D"/>
    <w:rsid w:val="0A6C5760"/>
    <w:rsid w:val="0B35692F"/>
    <w:rsid w:val="0B4456D1"/>
    <w:rsid w:val="0BAD1FAB"/>
    <w:rsid w:val="0BE1742C"/>
    <w:rsid w:val="0D0E36C4"/>
    <w:rsid w:val="0D1F0CED"/>
    <w:rsid w:val="0E0D0BC1"/>
    <w:rsid w:val="0E511A57"/>
    <w:rsid w:val="0F95719B"/>
    <w:rsid w:val="0FD33916"/>
    <w:rsid w:val="0FE131A1"/>
    <w:rsid w:val="0FED3255"/>
    <w:rsid w:val="10BF0BFF"/>
    <w:rsid w:val="10D762D3"/>
    <w:rsid w:val="11A73770"/>
    <w:rsid w:val="124226AB"/>
    <w:rsid w:val="126D73E5"/>
    <w:rsid w:val="13A40095"/>
    <w:rsid w:val="14053C83"/>
    <w:rsid w:val="15C958A9"/>
    <w:rsid w:val="160A19AA"/>
    <w:rsid w:val="163D2AB4"/>
    <w:rsid w:val="172A2DF8"/>
    <w:rsid w:val="17B005EC"/>
    <w:rsid w:val="185533C0"/>
    <w:rsid w:val="187E0EC3"/>
    <w:rsid w:val="18AB1F57"/>
    <w:rsid w:val="190653E0"/>
    <w:rsid w:val="197B53D3"/>
    <w:rsid w:val="1A595627"/>
    <w:rsid w:val="1BFE8A92"/>
    <w:rsid w:val="1C210334"/>
    <w:rsid w:val="1C964CCC"/>
    <w:rsid w:val="1CFC17D2"/>
    <w:rsid w:val="1EBE0883"/>
    <w:rsid w:val="1F9B5193"/>
    <w:rsid w:val="205A510F"/>
    <w:rsid w:val="21127D99"/>
    <w:rsid w:val="21A5207B"/>
    <w:rsid w:val="22916662"/>
    <w:rsid w:val="22C22819"/>
    <w:rsid w:val="246A3FA3"/>
    <w:rsid w:val="250D4784"/>
    <w:rsid w:val="26E72CF4"/>
    <w:rsid w:val="272E1910"/>
    <w:rsid w:val="2976170C"/>
    <w:rsid w:val="2A104310"/>
    <w:rsid w:val="2A1A1904"/>
    <w:rsid w:val="2A4B3E74"/>
    <w:rsid w:val="2BA068F1"/>
    <w:rsid w:val="2C2A1457"/>
    <w:rsid w:val="2CAE0A32"/>
    <w:rsid w:val="2D1C5E56"/>
    <w:rsid w:val="2F0A3862"/>
    <w:rsid w:val="2FFC0AFB"/>
    <w:rsid w:val="2FFF1475"/>
    <w:rsid w:val="302C0287"/>
    <w:rsid w:val="31A95387"/>
    <w:rsid w:val="31B31F93"/>
    <w:rsid w:val="321653A8"/>
    <w:rsid w:val="322E20A6"/>
    <w:rsid w:val="329C19A3"/>
    <w:rsid w:val="32F52701"/>
    <w:rsid w:val="341A4C22"/>
    <w:rsid w:val="347B2CCE"/>
    <w:rsid w:val="352B3694"/>
    <w:rsid w:val="363C0287"/>
    <w:rsid w:val="3654545B"/>
    <w:rsid w:val="36565190"/>
    <w:rsid w:val="366C2500"/>
    <w:rsid w:val="36DC0FF8"/>
    <w:rsid w:val="382C7B34"/>
    <w:rsid w:val="387303F9"/>
    <w:rsid w:val="3AE03440"/>
    <w:rsid w:val="3B0E3D0E"/>
    <w:rsid w:val="3BFC17F2"/>
    <w:rsid w:val="3C0C0B0D"/>
    <w:rsid w:val="3C7D3AC5"/>
    <w:rsid w:val="3CA8505F"/>
    <w:rsid w:val="3CFD6976"/>
    <w:rsid w:val="3D5D42F6"/>
    <w:rsid w:val="3DB808BA"/>
    <w:rsid w:val="3ED5F460"/>
    <w:rsid w:val="3FAC643B"/>
    <w:rsid w:val="3FE9D1E7"/>
    <w:rsid w:val="3FFAC13A"/>
    <w:rsid w:val="407A2ECB"/>
    <w:rsid w:val="418D6C3A"/>
    <w:rsid w:val="423806ED"/>
    <w:rsid w:val="428230B1"/>
    <w:rsid w:val="437A5877"/>
    <w:rsid w:val="43BB3CEC"/>
    <w:rsid w:val="4412784D"/>
    <w:rsid w:val="44A91A1A"/>
    <w:rsid w:val="44D052C5"/>
    <w:rsid w:val="455C0989"/>
    <w:rsid w:val="46A70EF9"/>
    <w:rsid w:val="46AE1F3D"/>
    <w:rsid w:val="473C23B2"/>
    <w:rsid w:val="4743523B"/>
    <w:rsid w:val="474450E0"/>
    <w:rsid w:val="47781E40"/>
    <w:rsid w:val="48541414"/>
    <w:rsid w:val="4900762E"/>
    <w:rsid w:val="4A6B0082"/>
    <w:rsid w:val="4AB56AE2"/>
    <w:rsid w:val="4B0038EE"/>
    <w:rsid w:val="4B6E7935"/>
    <w:rsid w:val="4D5F01A6"/>
    <w:rsid w:val="4E7E74BD"/>
    <w:rsid w:val="4E805B64"/>
    <w:rsid w:val="4F214F20"/>
    <w:rsid w:val="4F9660BB"/>
    <w:rsid w:val="4FB87893"/>
    <w:rsid w:val="4FC2745B"/>
    <w:rsid w:val="509A0D5C"/>
    <w:rsid w:val="50CB0BE4"/>
    <w:rsid w:val="51A310A0"/>
    <w:rsid w:val="51A47BE3"/>
    <w:rsid w:val="52252BFC"/>
    <w:rsid w:val="5297236D"/>
    <w:rsid w:val="531D6F4D"/>
    <w:rsid w:val="53F7263B"/>
    <w:rsid w:val="543117F2"/>
    <w:rsid w:val="54D06548"/>
    <w:rsid w:val="54E753F5"/>
    <w:rsid w:val="556D99F1"/>
    <w:rsid w:val="563F7F48"/>
    <w:rsid w:val="56F7427F"/>
    <w:rsid w:val="5779221D"/>
    <w:rsid w:val="584C4C5F"/>
    <w:rsid w:val="589B5008"/>
    <w:rsid w:val="58A326D8"/>
    <w:rsid w:val="59466376"/>
    <w:rsid w:val="5BF51433"/>
    <w:rsid w:val="5D3A2B61"/>
    <w:rsid w:val="5DF84388"/>
    <w:rsid w:val="5F6568F7"/>
    <w:rsid w:val="5FDA2383"/>
    <w:rsid w:val="5FFF8D5C"/>
    <w:rsid w:val="60C802BC"/>
    <w:rsid w:val="61DE0EB4"/>
    <w:rsid w:val="623151CA"/>
    <w:rsid w:val="63A419D8"/>
    <w:rsid w:val="64D37E08"/>
    <w:rsid w:val="64DB7056"/>
    <w:rsid w:val="66982F4F"/>
    <w:rsid w:val="66F0546D"/>
    <w:rsid w:val="6888651F"/>
    <w:rsid w:val="6894168D"/>
    <w:rsid w:val="68EB6152"/>
    <w:rsid w:val="69B52798"/>
    <w:rsid w:val="6A7451AD"/>
    <w:rsid w:val="6AC14C27"/>
    <w:rsid w:val="6BC41409"/>
    <w:rsid w:val="6C030E4B"/>
    <w:rsid w:val="6C5C62E3"/>
    <w:rsid w:val="6C6F5B05"/>
    <w:rsid w:val="6CAB30BC"/>
    <w:rsid w:val="6CED51AD"/>
    <w:rsid w:val="6D042BC1"/>
    <w:rsid w:val="6ED642C6"/>
    <w:rsid w:val="6FCC3E6E"/>
    <w:rsid w:val="6FEFB7EB"/>
    <w:rsid w:val="70C3256C"/>
    <w:rsid w:val="71D6011D"/>
    <w:rsid w:val="72694444"/>
    <w:rsid w:val="72AF14FA"/>
    <w:rsid w:val="73A0155B"/>
    <w:rsid w:val="741C5D1E"/>
    <w:rsid w:val="74F90479"/>
    <w:rsid w:val="750C1C31"/>
    <w:rsid w:val="7625601A"/>
    <w:rsid w:val="767FBCD2"/>
    <w:rsid w:val="77BF249E"/>
    <w:rsid w:val="78D33F7B"/>
    <w:rsid w:val="798E36E0"/>
    <w:rsid w:val="7AA22367"/>
    <w:rsid w:val="7BFC3F56"/>
    <w:rsid w:val="7C1A6A34"/>
    <w:rsid w:val="7C4E4AC7"/>
    <w:rsid w:val="7CBE4AD3"/>
    <w:rsid w:val="7D1C7CE5"/>
    <w:rsid w:val="7D7F1221"/>
    <w:rsid w:val="7DFB68B2"/>
    <w:rsid w:val="7EFD47D3"/>
    <w:rsid w:val="7F363046"/>
    <w:rsid w:val="7FBF5078"/>
    <w:rsid w:val="7FE625E2"/>
    <w:rsid w:val="7FE73578"/>
    <w:rsid w:val="8DEDF766"/>
    <w:rsid w:val="8EFFBC18"/>
    <w:rsid w:val="9DDB6585"/>
    <w:rsid w:val="9FB7544A"/>
    <w:rsid w:val="B7F8930A"/>
    <w:rsid w:val="BBF7AD18"/>
    <w:rsid w:val="BEFCCEAC"/>
    <w:rsid w:val="BF3785A6"/>
    <w:rsid w:val="BFFF92D4"/>
    <w:rsid w:val="C7FF47EC"/>
    <w:rsid w:val="D5DFD50E"/>
    <w:rsid w:val="DBF8DC90"/>
    <w:rsid w:val="E6FBEE6C"/>
    <w:rsid w:val="E9393772"/>
    <w:rsid w:val="F6DF613F"/>
    <w:rsid w:val="F7FFC602"/>
    <w:rsid w:val="FD7783D1"/>
    <w:rsid w:val="FDD4C297"/>
    <w:rsid w:val="FE6ED611"/>
    <w:rsid w:val="FED79544"/>
    <w:rsid w:val="FFBEAEF7"/>
    <w:rsid w:val="FFD777C2"/>
    <w:rsid w:val="FFFF31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footnote reference"/>
    <w:basedOn w:val="19"/>
    <w:unhideWhenUsed/>
    <w:qFormat/>
    <w:uiPriority w:val="99"/>
    <w:rPr>
      <w:vertAlign w:val="superscript"/>
    </w:rPr>
  </w:style>
  <w:style w:type="paragraph" w:customStyle="1" w:styleId="22">
    <w:name w:val="chart heading"/>
    <w:basedOn w:val="1"/>
    <w:qFormat/>
    <w:uiPriority w:val="0"/>
    <w:pPr>
      <w:spacing w:before="120" w:after="120"/>
      <w:jc w:val="center"/>
    </w:pPr>
    <w:rPr>
      <w:b/>
      <w:bCs/>
      <w:sz w:val="24"/>
      <w:szCs w:val="24"/>
    </w:rPr>
  </w:style>
  <w:style w:type="paragraph" w:customStyle="1" w:styleId="23">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4">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5">
    <w:name w:val="font41"/>
    <w:qFormat/>
    <w:uiPriority w:val="0"/>
    <w:rPr>
      <w:rFonts w:hint="eastAsia" w:ascii="仿宋_GB2312" w:eastAsia="仿宋_GB2312" w:cs="仿宋_GB2312"/>
      <w:color w:val="ED7D31"/>
      <w:sz w:val="28"/>
      <w:szCs w:val="28"/>
      <w:u w:val="none"/>
    </w:rPr>
  </w:style>
  <w:style w:type="character" w:customStyle="1" w:styleId="26">
    <w:name w:val="font21"/>
    <w:qFormat/>
    <w:uiPriority w:val="0"/>
    <w:rPr>
      <w:rFonts w:hint="eastAsia" w:ascii="仿宋_GB2312" w:eastAsia="仿宋_GB2312" w:cs="仿宋_GB2312"/>
      <w:color w:val="000000"/>
      <w:sz w:val="28"/>
      <w:szCs w:val="28"/>
      <w:u w:val="none"/>
    </w:rPr>
  </w:style>
  <w:style w:type="character" w:customStyle="1" w:styleId="27">
    <w:name w:val="font51"/>
    <w:qFormat/>
    <w:uiPriority w:val="0"/>
    <w:rPr>
      <w:rFonts w:ascii="方正书宋_GBK" w:hAnsi="方正书宋_GBK" w:eastAsia="方正书宋_GBK" w:cs="方正书宋_GBK"/>
      <w:color w:val="000000"/>
      <w:sz w:val="28"/>
      <w:szCs w:val="28"/>
      <w:u w:val="none"/>
    </w:rPr>
  </w:style>
  <w:style w:type="character" w:customStyle="1" w:styleId="28">
    <w:name w:val="font61"/>
    <w:qFormat/>
    <w:uiPriority w:val="0"/>
    <w:rPr>
      <w:rFonts w:hint="eastAsia" w:ascii="宋体" w:hAnsi="宋体" w:eastAsia="宋体" w:cs="宋体"/>
      <w:color w:val="000000"/>
      <w:sz w:val="28"/>
      <w:szCs w:val="28"/>
      <w:u w:val="none"/>
    </w:rPr>
  </w:style>
  <w:style w:type="paragraph" w:customStyle="1" w:styleId="2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0">
    <w:name w:val="font71"/>
    <w:qFormat/>
    <w:uiPriority w:val="0"/>
    <w:rPr>
      <w:rFonts w:hint="eastAsia" w:ascii="仿宋_GB2312" w:eastAsia="仿宋_GB2312" w:cs="仿宋_GB2312"/>
      <w:color w:val="333333"/>
      <w:sz w:val="28"/>
      <w:szCs w:val="28"/>
      <w:u w:val="none"/>
    </w:rPr>
  </w:style>
  <w:style w:type="character" w:customStyle="1" w:styleId="31">
    <w:name w:val="font81"/>
    <w:qFormat/>
    <w:uiPriority w:val="0"/>
    <w:rPr>
      <w:rFonts w:hint="default" w:ascii="Times New Roman" w:hAnsi="Times New Roman" w:cs="Times New Roman"/>
      <w:color w:val="333333"/>
      <w:sz w:val="28"/>
      <w:szCs w:val="28"/>
      <w:u w:val="none"/>
    </w:rPr>
  </w:style>
  <w:style w:type="character" w:customStyle="1" w:styleId="32">
    <w:name w:val="font91"/>
    <w:qFormat/>
    <w:uiPriority w:val="0"/>
    <w:rPr>
      <w:rFonts w:hint="eastAsia" w:ascii="宋体" w:hAnsi="宋体" w:eastAsia="宋体" w:cs="宋体"/>
      <w:color w:val="333333"/>
      <w:sz w:val="28"/>
      <w:szCs w:val="28"/>
      <w:u w:val="none"/>
    </w:rPr>
  </w:style>
  <w:style w:type="character" w:customStyle="1" w:styleId="33">
    <w:name w:val="font11"/>
    <w:qFormat/>
    <w:uiPriority w:val="0"/>
    <w:rPr>
      <w:rFonts w:hint="eastAsia" w:ascii="仿宋_GB2312" w:eastAsia="仿宋_GB2312" w:cs="仿宋_GB2312"/>
      <w:color w:val="000000"/>
      <w:sz w:val="28"/>
      <w:szCs w:val="28"/>
      <w:u w:val="none"/>
    </w:rPr>
  </w:style>
  <w:style w:type="character" w:customStyle="1" w:styleId="34">
    <w:name w:val="font101"/>
    <w:qFormat/>
    <w:uiPriority w:val="0"/>
    <w:rPr>
      <w:rFonts w:hint="eastAsia" w:ascii="仿宋_GB2312" w:eastAsia="仿宋_GB2312" w:cs="仿宋_GB2312"/>
      <w:color w:val="000000"/>
      <w:sz w:val="28"/>
      <w:szCs w:val="28"/>
      <w:u w:val="none"/>
    </w:rPr>
  </w:style>
  <w:style w:type="paragraph" w:customStyle="1" w:styleId="35">
    <w:name w:val="文件正文"/>
    <w:basedOn w:val="10"/>
    <w:qFormat/>
    <w:uiPriority w:val="2"/>
    <w:pPr>
      <w:spacing w:line="560" w:lineRule="exact"/>
      <w:ind w:firstLine="622" w:firstLineChars="200"/>
    </w:pPr>
    <w:rPr>
      <w:rFonts w:eastAsia="仿宋_GB2312"/>
      <w:sz w:val="32"/>
    </w:rPr>
  </w:style>
  <w:style w:type="paragraph" w:customStyle="1" w:styleId="36">
    <w:name w:val="_Style 1"/>
    <w:basedOn w:val="1"/>
    <w:qFormat/>
    <w:uiPriority w:val="0"/>
    <w:pPr>
      <w:spacing w:before="0" w:beforeAutospacing="0" w:after="0"/>
      <w:ind w:firstLine="200" w:firstLineChars="200"/>
    </w:pPr>
    <w:rPr>
      <w:rFonts w:ascii="宋体" w:hAnsi="宋体" w:eastAsia="FangSong_GB2312" w:cs="Times New Roman"/>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5691</Words>
  <Characters>5950</Characters>
  <Lines>0</Lines>
  <Paragraphs>0</Paragraphs>
  <TotalTime>1</TotalTime>
  <ScaleCrop>false</ScaleCrop>
  <LinksUpToDate>false</LinksUpToDate>
  <CharactersWithSpaces>5963</CharactersWithSpaces>
  <Application>WPS Office_11.8.2.12275_F1E327BC-269C-435d-A152-05C5408002CA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2025-07-11T02:47:00Z</dcterms:created>
  <dc:creator>黄佩琳</dc:creator>
  <cp:lastModifiedBy>古晓珊</cp:lastModifiedBy>
  <cp:lastPrinted>2026-05-28T18:29:00Z</cp:lastPrinted>
  <dcterms:modified xsi:type="dcterms:W3CDTF">2026-06-23T11:51:40Z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2052-11.8.2.12275</vt:lpwstr>
  </property>
  <property fmtid="{D5CDD505-2E9C-101B-9397-08002B2CF9AE}" pid="3" name="ICV">
    <vt:lpwstr>6BC478CCC8FB4C52AA056815DE5E2412_13</vt:lpwstr>
  </property>
  <property fmtid="{D5CDD505-2E9C-101B-9397-08002B2CF9AE}" pid="4" name="KSOTemplateDocerSaveRecord">
    <vt:lpwstr>eyJoZGlkIjoiY2NiNzc0ZWE4MzBjY2JmMGYyMmY4NjkxNmNhZGJlNDUiLCJ1c2VySWQiOiI4NzUyMjIyNTQifQ==</vt:lpwstr>
  </property>
</Properties>
</file>