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000000" w:themeColor="text1"/>
          <w:sz w:val="32"/>
          <w:szCs w:val="32"/>
          <w:highlight w:val="none"/>
          <w:lang w:val="en-US" w:eastAsia="zh-CN"/>
          <w14:textFill>
            <w14:solidFill>
              <w14:schemeClr w14:val="tx1"/>
            </w14:solidFill>
          </w14:textFill>
        </w:rPr>
      </w:pPr>
      <w:bookmarkStart w:id="0" w:name="_Toc125127182"/>
      <w:bookmarkStart w:id="1" w:name="_Toc32562"/>
      <w:bookmarkStart w:id="2" w:name="_Toc5810"/>
      <w:bookmarkStart w:id="3" w:name="_Toc13216"/>
      <w:r>
        <w:rPr>
          <w:rFonts w:hint="eastAsia" w:ascii="黑体" w:hAnsi="黑体" w:eastAsia="黑体" w:cs="黑体"/>
          <w:color w:val="000000" w:themeColor="text1"/>
          <w:sz w:val="32"/>
          <w:szCs w:val="32"/>
          <w:highlight w:val="none"/>
          <w:lang w:val="en-US" w:eastAsia="zh-CN"/>
          <w14:textFill>
            <w14:solidFill>
              <w14:schemeClr w14:val="tx1"/>
            </w14:solidFill>
          </w14:textFill>
        </w:rPr>
        <w:t>附件4</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000000" w:themeColor="text1"/>
          <w:sz w:val="32"/>
          <w:szCs w:val="32"/>
          <w:highlight w:val="none"/>
          <w:lang w:val="en-US" w:eastAsia="zh-CN"/>
          <w14:textFill>
            <w14:solidFill>
              <w14:schemeClr w14:val="tx1"/>
            </w14:solidFill>
          </w14:textFill>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000000" w:themeColor="text1"/>
          <w:kern w:val="0"/>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深圳市2026年中央资金消费新业态新模式新场景试点（支持创新多元化服务消费场景</w:t>
      </w:r>
      <w:r>
        <w:rPr>
          <w:rFonts w:hint="default"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单体融合消费场景资助</w:t>
      </w:r>
      <w:r>
        <w:rPr>
          <w:rFonts w:hint="default"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项目</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pPr>
      <w:bookmarkStart w:id="4" w:name="_Toc20798"/>
      <w:bookmarkStart w:id="5" w:name="_Toc24194"/>
      <w:r>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t>支持领域</w:t>
      </w:r>
      <w:bookmarkEnd w:id="4"/>
      <w:bookmarkEnd w:id="5"/>
    </w:p>
    <w:p>
      <w:pPr>
        <w:bidi w:val="0"/>
        <w:spacing w:before="0" w:after="0" w:line="560" w:lineRule="exact"/>
        <w:ind w:firstLine="640"/>
        <w:rPr>
          <w:rFonts w:hint="eastAsia"/>
          <w:color w:val="auto"/>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支持单体店铺开展多元消费场景升级，拓展文化时尚、健康体育、艺术展览、主题社交、休闲娱乐等服务消费功能</w:t>
      </w:r>
      <w:r>
        <w:rPr>
          <w:rFonts w:hint="eastAsia"/>
          <w:color w:val="auto"/>
          <w:highlight w:val="none"/>
          <w:lang w:val="en-US" w:eastAsia="zh-CN"/>
        </w:rPr>
        <w:t>。</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6" w:name="_Toc15437"/>
      <w:bookmarkStart w:id="7" w:name="_Toc8852"/>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（二）资金管理依据</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《深圳市消费新业态新模式新场景试点城市建设资金管理办法》</w:t>
      </w:r>
    </w:p>
    <w:p>
      <w:pPr>
        <w:bidi w:val="0"/>
        <w:rPr>
          <w:rFonts w:hint="eastAsia"/>
          <w:color w:val="000000" w:themeColor="text1"/>
          <w:highlight w:val="none"/>
          <w:u w:val="singl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8" w:name="_Toc21755"/>
      <w:bookmarkStart w:id="9" w:name="_Toc18411"/>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（一）支持数量</w:t>
      </w:r>
    </w:p>
    <w:p>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有数量限制，受财政下达年度资金预算控制，视申报情况，我局据以对</w:t>
      </w:r>
      <w:r>
        <w:rPr>
          <w:rFonts w:hint="eastAsia"/>
          <w:color w:val="000000" w:themeColor="text1"/>
          <w:highlight w:val="none"/>
          <w:lang w:val="en-US" w:eastAsia="zh-CN"/>
          <w14:textFill>
            <w14:solidFill>
              <w14:schemeClr w14:val="tx1"/>
            </w14:solidFill>
          </w14:textFill>
        </w:rPr>
        <w:t>资助</w:t>
      </w:r>
      <w:r>
        <w:rPr>
          <w:rFonts w:hint="eastAsia" w:ascii="仿宋_GB2312" w:eastAsia="仿宋_GB2312"/>
          <w:color w:val="000000" w:themeColor="text1"/>
          <w:highlight w:val="none"/>
          <w:lang w:val="en-US" w:eastAsia="zh-CN"/>
          <w14:textFill>
            <w14:solidFill>
              <w14:schemeClr w14:val="tx1"/>
            </w14:solidFill>
          </w14:textFill>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（二）支持方式</w:t>
      </w:r>
    </w:p>
    <w:p>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0" w:name="_Toc431"/>
      <w:bookmarkStart w:id="11" w:name="_Toc1530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3.申报单位未被国家、省、市有关部门列入严重失信主体名单实施失信惩戒，未被明确限制申请财政性资金项目且在限制期内；未拖欠应缴还的财政性资金。</w:t>
      </w:r>
    </w:p>
    <w:p>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6.申报单位不存在将本属于同一性质内涵与建设内容的资助项目刻意分拆成两个项目的情形。同一项目不得重复申请多个支持</w:t>
      </w:r>
      <w:r>
        <w:rPr>
          <w:rFonts w:hint="default"/>
          <w:color w:val="000000" w:themeColor="text1"/>
          <w:highlight w:val="none"/>
          <w:lang w:eastAsia="zh-CN"/>
          <w14:textFill>
            <w14:solidFill>
              <w14:schemeClr w14:val="tx1"/>
            </w14:solidFill>
          </w14:textFill>
        </w:rPr>
        <w:t>内容</w:t>
      </w:r>
      <w:r>
        <w:rPr>
          <w:rFonts w:hint="eastAsia"/>
          <w:color w:val="000000" w:themeColor="text1"/>
          <w:highlight w:val="none"/>
          <w:lang w:val="en-US" w:eastAsia="zh-CN"/>
          <w14:textFill>
            <w14:solidFill>
              <w14:schemeClr w14:val="tx1"/>
            </w14:solidFill>
          </w14:textFill>
        </w:rPr>
        <w:t>。</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7.申报单位须配合开展消费新业态新模式新场景试点工作，报送工作进展及相关数据。</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8.项目资助金额不得超过项目实际有效总投入的50%，同一项目中央、省、市、区资助合计不超过项目实际投入。</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（二）专项条件</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申报项目须同时满足以下条件：</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1.申报项目应有固定经营场所且店铺经营面积达100㎡以上。</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2.申报项目须通过业态、功能或内容的实质性创新融合，在同一物理空间内实现常态化运营的文化时尚、健康体育、艺术展览、主题社交、休闲娱乐等2类以上服务消费功能融合。</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3.项目实际有效投入金额不低于100万元。（2025年9月30日后项目开展以来）</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4.月均提供服务次数不低于1000次。（统计周期为2025年9月30日至申报受理前一个月月末；月均值按该期间实际运营数据计算，不足一个月的部分，按日均值折算为月均值。）</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5.不属于仅通过相邻或楼上独立空间简单组合、店内增设简单装饰性陈列、或短期临时性活动实现功能拓展。</w:t>
      </w:r>
    </w:p>
    <w:p>
      <w:pPr>
        <w:pStyle w:val="29"/>
        <w:bidi w:val="0"/>
        <w:spacing w:line="560" w:lineRule="exact"/>
        <w:ind w:firstLine="640" w:firstLineChars="200"/>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pPr>
      <w:r>
        <w:rPr>
          <w:rStyle w:val="19"/>
          <w:rFonts w:hint="eastAsia" w:ascii="仿宋_GB2312" w:hAnsi="仿宋_GB2312" w:eastAsia="仿宋_GB2312" w:cs="仿宋"/>
          <w:color w:val="000000" w:themeColor="text1"/>
          <w:sz w:val="32"/>
          <w:szCs w:val="22"/>
          <w:highlight w:val="none"/>
          <w:lang w:eastAsia="zh-CN"/>
          <w14:textFill>
            <w14:solidFill>
              <w14:schemeClr w14:val="tx1"/>
            </w14:solidFill>
          </w14:textFill>
        </w:rPr>
        <w:t>项目支持时间范围为</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2025年9月30日至2027年6月30日，所支持投入部分应在上述时间内。</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原则上限于支持市场化商业化项目，不支持免费的纯公益项目，</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不支持事业单位信息系统建设维护、养老院和病房建设等与支持方向无关的领域。</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支持内容不包括新建、扩建</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商业综合体，以及</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各类古镇、纪念馆、博物馆等设施，不包括</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办公场所及必须的公共服务基础设施建设</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，不包括</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为了满足最基本经营条件、消防验收等需求，基础水电改造、防水处理、消防改造及设施购置等一般性装修项目</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。不支持党政机关主办、承办或承担部分活动费用的展会、节庆、论坛活动。</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不支持仅通过相邻或楼上独立空间简单组合、在店内增设简单装饰性陈列、或通过短期临时性活动实现功能拓展的项目。</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2" w:name="_Toc31102"/>
      <w:bookmarkStart w:id="13" w:name="_Toc709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支持标准</w:t>
      </w:r>
      <w:bookmarkEnd w:id="12"/>
      <w:bookmarkEnd w:id="13"/>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对符合条件的项目，按</w:t>
      </w:r>
      <w:r>
        <w:rPr>
          <w:rFonts w:hint="eastAsia"/>
          <w:color w:val="000000" w:themeColor="text1"/>
          <w:highlight w:val="none"/>
          <w:lang w:val="en-US" w:eastAsia="zh-CN"/>
          <w14:textFill>
            <w14:solidFill>
              <w14:schemeClr w14:val="tx1"/>
            </w14:solidFill>
          </w14:textFill>
        </w:rPr>
        <w:t>项目</w:t>
      </w:r>
      <w:r>
        <w:rPr>
          <w:rFonts w:hint="eastAsia" w:ascii="仿宋_GB2312" w:eastAsia="仿宋_GB2312"/>
          <w:color w:val="000000" w:themeColor="text1"/>
          <w:highlight w:val="none"/>
          <w:lang w:val="en-US" w:eastAsia="zh-CN"/>
          <w14:textFill>
            <w14:solidFill>
              <w14:schemeClr w14:val="tx1"/>
            </w14:solidFill>
          </w14:textFill>
        </w:rPr>
        <w:t>相关实际</w:t>
      </w:r>
      <w:r>
        <w:rPr>
          <w:rFonts w:hint="eastAsia"/>
          <w:color w:val="000000" w:themeColor="text1"/>
          <w:highlight w:val="none"/>
          <w:lang w:val="en-US" w:eastAsia="zh-CN"/>
          <w14:textFill>
            <w14:solidFill>
              <w14:schemeClr w14:val="tx1"/>
            </w14:solidFill>
          </w14:textFill>
        </w:rPr>
        <w:t>有效</w:t>
      </w:r>
      <w:r>
        <w:rPr>
          <w:rFonts w:hint="eastAsia" w:ascii="仿宋_GB2312" w:eastAsia="仿宋_GB2312"/>
          <w:color w:val="000000" w:themeColor="text1"/>
          <w:highlight w:val="none"/>
          <w:lang w:val="en-US" w:eastAsia="zh-CN"/>
          <w14:textFill>
            <w14:solidFill>
              <w14:schemeClr w14:val="tx1"/>
            </w14:solidFill>
          </w14:textFill>
        </w:rPr>
        <w:t>投入</w:t>
      </w:r>
      <w:r>
        <w:rPr>
          <w:rFonts w:hint="eastAsia"/>
          <w:color w:val="000000" w:themeColor="text1"/>
          <w:highlight w:val="none"/>
          <w:lang w:val="en-US" w:eastAsia="zh-CN"/>
          <w14:textFill>
            <w14:solidFill>
              <w14:schemeClr w14:val="tx1"/>
            </w14:solidFill>
          </w14:textFill>
        </w:rPr>
        <w:t>的</w:t>
      </w:r>
      <w:r>
        <w:rPr>
          <w:rFonts w:hint="eastAsia" w:ascii="仿宋_GB2312" w:eastAsia="仿宋_GB2312"/>
          <w:color w:val="000000" w:themeColor="text1"/>
          <w:highlight w:val="none"/>
          <w:lang w:val="en-US" w:eastAsia="zh-CN"/>
          <w14:textFill>
            <w14:solidFill>
              <w14:schemeClr w14:val="tx1"/>
            </w14:solidFill>
          </w14:textFill>
        </w:rPr>
        <w:t>20%给予资助，试点期间最高不超过100万元。</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w:t>
      </w:r>
      <w:r>
        <w:rPr>
          <w:rFonts w:hint="eastAsia"/>
          <w:color w:val="000000" w:themeColor="text1"/>
          <w:highlight w:val="none"/>
          <w:lang w:val="en-US" w:eastAsia="zh-CN"/>
          <w14:textFill>
            <w14:solidFill>
              <w14:schemeClr w14:val="tx1"/>
            </w14:solidFill>
          </w14:textFill>
        </w:rPr>
        <w:t>打造单体融合场景已完成或阶段性完成部分相关投入，不包含各级财政投资部分，以及第四点第（二）条专项条件中明确不予支持部分。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pStyle w:val="29"/>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4" w:name="_Toc7147"/>
      <w:bookmarkStart w:id="15" w:name="_Toc27028"/>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（一）</w:t>
      </w: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基本材料清单</w:t>
      </w:r>
    </w:p>
    <w:p>
      <w:pPr>
        <w:bidi w:val="0"/>
        <w:rPr>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r>
        <w:rPr>
          <w:rFonts w:hint="eastAsia"/>
          <w:color w:val="auto"/>
          <w:highlight w:val="none"/>
          <w:lang w:val="en-US" w:eastAsia="zh-CN"/>
        </w:rPr>
        <w:t>请各项目申报单位于线上填写并提交《项目申报书》，网址：https://www.gdzwfw.gov.cn/（广东政务服务网），搜索“消费新业态新场景新模式试点”——选择深圳-福田后，按照相关事项提示流程和要求进行线上申报（特别提醒该事项办理需申报主体以法人账号登录提交，不接受个人账号提交），并按办理指南提交相关材料（包括并不限于）如下</w:t>
      </w:r>
      <w:r>
        <w:rPr>
          <w:rFonts w:hint="eastAsia"/>
          <w:color w:val="000000" w:themeColor="text1"/>
          <w:highlight w:val="none"/>
          <w:lang w:val="en-US" w:eastAsia="zh-CN"/>
          <w14:textFill>
            <w14:solidFill>
              <w14:schemeClr w14:val="tx1"/>
            </w14:solidFill>
          </w14:textFill>
        </w:rPr>
        <w:t>：</w:t>
      </w:r>
    </w:p>
    <w:p>
      <w:pPr>
        <w:bidi w:val="0"/>
        <w:rPr>
          <w:rFonts w:hint="eastAsia"/>
          <w:color w:val="auto"/>
          <w:highlight w:val="none"/>
          <w:lang w:val="en-US" w:eastAsia="zh-CN"/>
        </w:rPr>
      </w:pPr>
      <w:r>
        <w:rPr>
          <w:rFonts w:hint="default"/>
          <w:color w:val="000000" w:themeColor="text1"/>
          <w:highlight w:val="none"/>
          <w:lang w:val="en-US" w:eastAsia="zh-CN"/>
          <w14:textFill>
            <w14:solidFill>
              <w14:schemeClr w14:val="tx1"/>
            </w14:solidFill>
          </w14:textFill>
        </w:rPr>
        <w:t>1.</w:t>
      </w:r>
      <w:r>
        <w:rPr>
          <w:rFonts w:hint="default"/>
          <w:highlight w:val="none"/>
        </w:rPr>
        <w:t>资金项目申请书</w:t>
      </w:r>
      <w:r>
        <w:rPr>
          <w:rFonts w:hint="eastAsia"/>
          <w:highlight w:val="none"/>
          <w:lang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一并线下或通过邮寄方式交给区商务部门</w:t>
      </w:r>
      <w:r>
        <w:rPr>
          <w:rFonts w:hint="eastAsia"/>
          <w:color w:val="auto"/>
          <w:highlight w:val="none"/>
          <w:lang w:val="en-US" w:eastAsia="zh-CN"/>
        </w:rPr>
        <w:t>（福田区政务服务中心综合窗口）</w:t>
      </w:r>
      <w:r>
        <w:rPr>
          <w:rFonts w:hint="default"/>
          <w:color w:val="auto"/>
          <w:highlight w:val="none"/>
          <w:lang w:val="en-US" w:eastAsia="zh-CN"/>
        </w:rPr>
        <w:t>，线下</w:t>
      </w:r>
      <w:r>
        <w:rPr>
          <w:rFonts w:hint="eastAsia"/>
          <w:color w:val="auto"/>
          <w:highlight w:val="none"/>
          <w:lang w:val="en-US" w:eastAsia="zh-CN"/>
        </w:rPr>
        <w:t>材料递交或邮寄地址:深圳市福田区国际创新中心F座3楼（深南大道1006号）</w:t>
      </w:r>
      <w:r>
        <w:rPr>
          <w:rFonts w:hint="default"/>
          <w:color w:val="auto"/>
          <w:highlight w:val="none"/>
          <w:lang w:val="en-US" w:eastAsia="zh-CN"/>
        </w:rPr>
        <w:t>。</w:t>
      </w:r>
      <w:r>
        <w:rPr>
          <w:rFonts w:hint="eastAsia"/>
          <w:color w:val="auto"/>
          <w:highlight w:val="none"/>
          <w:lang w:val="en-US" w:eastAsia="zh-CN"/>
        </w:rPr>
        <w:t>办公电话：0755-82978001。服务时间：星期一至星期五:上午9:00-12:00,下午 14:00-17:45(法定节假日除外)</w:t>
      </w:r>
    </w:p>
    <w:p>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2.申报单位营业执照或统一社会信用代码证书复印件</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3.单位信用报告</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“信用中国”查询截图、国家企业信用信息公示系统下载的企业信用报告</w:t>
      </w:r>
      <w:r>
        <w:rPr>
          <w:rFonts w:hint="eastAsia"/>
          <w:color w:val="000000" w:themeColor="text1"/>
          <w:highlight w:val="none"/>
          <w:lang w:val="en-US" w:eastAsia="zh-CN"/>
          <w14:textFill>
            <w14:solidFill>
              <w14:schemeClr w14:val="tx1"/>
            </w14:solidFill>
          </w14:textFill>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（二）专项材料清单</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1.各申报单位应按照下表要求完整提交对应佐证材料：</w:t>
      </w:r>
    </w:p>
    <w:tbl>
      <w:tblPr>
        <w:tblStyle w:val="18"/>
        <w:tblW w:w="91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80"/>
        <w:gridCol w:w="3490"/>
        <w:gridCol w:w="36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center"/>
              <w:textAlignment w:val="center"/>
              <w:rPr>
                <w:rFonts w:ascii="仿宋_GB2312" w:hAnsi="宋体" w:eastAsia="仿宋_GB2312" w:cs="仿宋_GB2312"/>
                <w:b/>
                <w:bCs/>
                <w:i w:val="0"/>
                <w:iCs w:val="0"/>
                <w:color w:val="0F1115"/>
                <w:sz w:val="28"/>
                <w:szCs w:val="28"/>
                <w:highlight w:val="none"/>
                <w:u w:val="none"/>
              </w:rPr>
            </w:pPr>
            <w:r>
              <w:rPr>
                <w:rFonts w:hint="eastAsia" w:ascii="仿宋_GB2312" w:hAnsi="宋体" w:eastAsia="仿宋_GB2312" w:cs="仿宋_GB2312"/>
                <w:b/>
                <w:bCs/>
                <w:i w:val="0"/>
                <w:iCs w:val="0"/>
                <w:color w:val="000000" w:themeColor="text1"/>
                <w:kern w:val="0"/>
                <w:sz w:val="28"/>
                <w:szCs w:val="28"/>
                <w:highlight w:val="none"/>
                <w:u w:val="none"/>
                <w:lang w:val="en-US" w:eastAsia="zh-CN" w:bidi="ar"/>
                <w14:textFill>
                  <w14:solidFill>
                    <w14:schemeClr w14:val="tx1"/>
                  </w14:solidFill>
                </w14:textFill>
              </w:rPr>
              <w:t>类型</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center"/>
              <w:textAlignment w:val="center"/>
              <w:rPr>
                <w:rFonts w:hint="eastAsia" w:ascii="仿宋_GB2312" w:hAnsi="宋体" w:eastAsia="仿宋_GB2312" w:cs="仿宋_GB2312"/>
                <w:b/>
                <w:bCs/>
                <w:i w:val="0"/>
                <w:iCs w:val="0"/>
                <w:color w:val="0F1115"/>
                <w:sz w:val="28"/>
                <w:szCs w:val="28"/>
                <w:highlight w:val="none"/>
                <w:u w:val="none"/>
              </w:rPr>
            </w:pPr>
            <w:r>
              <w:rPr>
                <w:rFonts w:hint="eastAsia" w:ascii="仿宋_GB2312" w:hAnsi="宋体" w:eastAsia="仿宋_GB2312" w:cs="仿宋_GB2312"/>
                <w:b/>
                <w:bCs/>
                <w:i w:val="0"/>
                <w:iCs w:val="0"/>
                <w:color w:val="000000" w:themeColor="text1"/>
                <w:kern w:val="0"/>
                <w:sz w:val="28"/>
                <w:szCs w:val="28"/>
                <w:highlight w:val="none"/>
                <w:u w:val="none"/>
                <w:lang w:val="en-US" w:eastAsia="zh-CN" w:bidi="ar"/>
                <w14:textFill>
                  <w14:solidFill>
                    <w14:schemeClr w14:val="tx1"/>
                  </w14:solidFill>
                </w14:textFill>
              </w:rPr>
              <w:t>具体要求</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center"/>
              <w:textAlignment w:val="center"/>
              <w:rPr>
                <w:rFonts w:hint="default" w:ascii="仿宋_GB2312" w:hAnsi="宋体" w:eastAsia="仿宋_GB2312" w:cs="仿宋_GB2312"/>
                <w:b/>
                <w:bCs/>
                <w:i w:val="0"/>
                <w:iCs w:val="0"/>
                <w:color w:val="0F1115"/>
                <w:sz w:val="28"/>
                <w:szCs w:val="28"/>
                <w:highlight w:val="none"/>
                <w:u w:val="none"/>
                <w:lang w:val="en-US"/>
              </w:rPr>
            </w:pPr>
            <w:r>
              <w:rPr>
                <w:rFonts w:hint="eastAsia" w:ascii="仿宋_GB2312" w:hAnsi="宋体" w:eastAsia="仿宋_GB2312" w:cs="仿宋_GB2312"/>
                <w:b/>
                <w:bCs/>
                <w:i w:val="0"/>
                <w:iCs w:val="0"/>
                <w:color w:val="000000" w:themeColor="text1"/>
                <w:kern w:val="0"/>
                <w:sz w:val="28"/>
                <w:szCs w:val="28"/>
                <w:highlight w:val="none"/>
                <w:u w:val="none"/>
                <w:lang w:val="en-US" w:eastAsia="zh-CN" w:bidi="ar"/>
                <w14:textFill>
                  <w14:solidFill>
                    <w14:schemeClr w14:val="tx1"/>
                  </w14:solidFill>
                </w14:textFill>
              </w:rPr>
              <w:t>佐证材料</w:t>
            </w:r>
            <w:r>
              <w:rPr>
                <w:rFonts w:hint="eastAsia" w:hAnsi="宋体" w:cs="仿宋_GB2312"/>
                <w:b/>
                <w:bCs/>
                <w:i w:val="0"/>
                <w:iCs w:val="0"/>
                <w:color w:val="000000" w:themeColor="text1"/>
                <w:kern w:val="0"/>
                <w:sz w:val="28"/>
                <w:szCs w:val="28"/>
                <w:highlight w:val="none"/>
                <w:u w:val="none"/>
                <w:lang w:val="en-US" w:eastAsia="zh-CN" w:bidi="ar"/>
                <w14:textFill>
                  <w14:solidFill>
                    <w14:schemeClr w14:val="tx1"/>
                  </w14:solidFill>
                </w14:textFill>
              </w:rPr>
              <w:t>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实体经营场所</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拥有固定经营场所</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default" w:ascii="仿宋_GB2312" w:hAnsi="宋体" w:eastAsia="仿宋_GB2312" w:cs="仿宋_GB2312"/>
                <w:i w:val="0"/>
                <w:iCs w:val="0"/>
                <w:color w:val="0F1115"/>
                <w:sz w:val="28"/>
                <w:szCs w:val="28"/>
                <w:highlight w:val="none"/>
                <w:u w:val="none"/>
                <w:lang w:val="en-US"/>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不动产权证书</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场地租赁合同</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经营面积</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经营面积100㎡以上</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default"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营业执照</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载明面积的租赁合同</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不动产权证书</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业态融合</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成果</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通过业态、功能或内容的实质性创新融合，在同一物理空间内实现常态化运营的文化时尚、健康体育、艺术展览、主题社交、休闲娱乐等2类以上服务消费功能融合</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业态融合</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成果</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、各功能区域现场照片/效果图、</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可消费内容等佐证材料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default"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服务次数</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月均提供服务次数不低于1000次</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服务订单记录、核销记录、预约系统数据、会员服务记录等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投入与成效</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default" w:ascii="仿宋_GB2312" w:hAnsi="宋体" w:eastAsia="仿宋_GB2312" w:cs="仿宋_GB2312"/>
                <w:i w:val="0"/>
                <w:iCs w:val="0"/>
                <w:color w:val="0F1115"/>
                <w:sz w:val="28"/>
                <w:szCs w:val="28"/>
                <w:highlight w:val="none"/>
                <w:u w:val="none"/>
                <w:lang w:val="en-US"/>
              </w:rPr>
            </w:pP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投入金额不低于100万元</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相关</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合同、发票、支付凭证、项目投入明细表</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等</w:t>
            </w:r>
          </w:p>
        </w:tc>
      </w:tr>
    </w:tbl>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2.项目成效总结（模板详见项目申报书）。</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r>
        <w:rPr>
          <w:rFonts w:hint="default"/>
          <w:color w:val="000000" w:themeColor="text1"/>
          <w:highlight w:val="none"/>
          <w:lang w:val="en-US" w:eastAsia="zh-CN"/>
          <w14:textFill>
            <w14:solidFill>
              <w14:schemeClr w14:val="tx1"/>
            </w14:solidFill>
          </w14:textFill>
        </w:rPr>
        <w:t>专项资金项目投入明细表</w:t>
      </w:r>
      <w:r>
        <w:rPr>
          <w:rFonts w:hint="eastAsia"/>
          <w:color w:val="000000" w:themeColor="text1"/>
          <w:highlight w:val="none"/>
          <w:lang w:val="en-US" w:eastAsia="zh-CN"/>
          <w14:textFill>
            <w14:solidFill>
              <w14:schemeClr w14:val="tx1"/>
            </w14:solidFill>
          </w14:textFill>
        </w:rPr>
        <w:t>及佐证材料（详见项目申报书）。</w:t>
      </w:r>
    </w:p>
    <w:p>
      <w:pPr>
        <w:bidi w:val="0"/>
        <w:rPr>
          <w:rFonts w:hint="eastAsia"/>
          <w:b/>
          <w:bCs/>
          <w:color w:val="000000" w:themeColor="text1"/>
          <w:highlight w:val="none"/>
          <w:lang w:val="en-US" w:eastAsia="zh-CN"/>
          <w14:textFill>
            <w14:solidFill>
              <w14:schemeClr w14:val="tx1"/>
            </w14:solidFill>
          </w14:textFill>
        </w:rPr>
      </w:pPr>
      <w:r>
        <w:rPr>
          <w:rFonts w:hint="default"/>
          <w:b/>
          <w:bCs/>
          <w:color w:val="000000" w:themeColor="text1"/>
          <w:highlight w:val="none"/>
          <w:lang w:val="en-US" w:eastAsia="zh-CN"/>
          <w14:textFill>
            <w14:solidFill>
              <w14:schemeClr w14:val="tx1"/>
            </w14:solidFill>
          </w14:textFill>
        </w:rPr>
        <w:t>以上申报材料按顺序一式</w:t>
      </w:r>
      <w:r>
        <w:rPr>
          <w:rFonts w:hint="eastAsia"/>
          <w:b/>
          <w:bCs/>
          <w:color w:val="000000" w:themeColor="text1"/>
          <w:highlight w:val="none"/>
          <w:lang w:val="en-US" w:eastAsia="zh-CN"/>
          <w14:textFill>
            <w14:solidFill>
              <w14:schemeClr w14:val="tx1"/>
            </w14:solidFill>
          </w14:textFill>
        </w:rPr>
        <w:t>四</w:t>
      </w:r>
      <w:r>
        <w:rPr>
          <w:rFonts w:hint="default"/>
          <w:b/>
          <w:bCs/>
          <w:color w:val="000000" w:themeColor="text1"/>
          <w:highlight w:val="none"/>
          <w:lang w:val="en-US" w:eastAsia="zh-CN"/>
          <w14:textFill>
            <w14:solidFill>
              <w14:schemeClr w14:val="tx1"/>
            </w14:solidFill>
          </w14:textFill>
        </w:rPr>
        <w:t>份（附可编辑电子版和PDF扫描件）装订成册，在封面加盖单位公章并加盖骑缝章（其中，申报</w:t>
      </w:r>
      <w:r>
        <w:rPr>
          <w:rFonts w:hint="eastAsia" w:ascii="仿宋_GB2312" w:eastAsia="仿宋_GB2312"/>
          <w:b/>
          <w:bCs/>
          <w:color w:val="000000" w:themeColor="text1"/>
          <w:highlight w:val="none"/>
          <w:lang w:val="en-US" w:eastAsia="zh-CN"/>
          <w14:textFill>
            <w14:solidFill>
              <w14:schemeClr w14:val="tx1"/>
            </w14:solidFill>
          </w14:textFill>
        </w:rPr>
        <w:t>指引</w:t>
      </w:r>
      <w:r>
        <w:rPr>
          <w:rFonts w:hint="default"/>
          <w:b/>
          <w:bCs/>
          <w:color w:val="000000" w:themeColor="text1"/>
          <w:highlight w:val="none"/>
          <w:lang w:val="en-US" w:eastAsia="zh-CN"/>
          <w14:textFill>
            <w14:solidFill>
              <w14:schemeClr w14:val="tx1"/>
            </w14:solidFill>
          </w14:textFill>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6" w:name="_Toc5711"/>
      <w:bookmarkStart w:id="17" w:name="_Toc19526"/>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16"/>
      <w:bookmarkEnd w:id="17"/>
    </w:p>
    <w:p>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default" w:hAnsi="Calibri" w:cs="Times New Roman"/>
          <w:color w:val="auto"/>
          <w:sz w:val="32"/>
          <w:szCs w:val="32"/>
          <w:highlight w:val="none"/>
          <w:lang w:eastAsia="zh-CN"/>
        </w:rPr>
      </w:pPr>
      <w:r>
        <w:rPr>
          <w:rFonts w:hint="eastAsia" w:ascii="仿宋_GB2312" w:hAnsi="Calibri" w:eastAsia="仿宋_GB2312" w:cs="Times New Roman"/>
          <w:color w:val="000000"/>
          <w:spacing w:val="0"/>
          <w:sz w:val="32"/>
          <w:szCs w:val="32"/>
          <w:highlight w:val="none"/>
        </w:rPr>
        <w:t>本指南第六条（一）规定</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w:t>
      </w:r>
      <w:r>
        <w:rPr>
          <w:rFonts w:hint="default" w:hAnsi="Calibri" w:cs="Times New Roman"/>
          <w:color w:val="auto"/>
          <w:sz w:val="32"/>
          <w:szCs w:val="32"/>
          <w:highlight w:val="none"/>
          <w:lang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8" w:name="_Toc13760"/>
      <w:bookmarkStart w:id="19" w:name="_Toc20121"/>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u w:val="none"/>
          <w:lang w:eastAsia="zh-CN"/>
          <w14:textFill>
            <w14:solidFill>
              <w14:schemeClr w14:val="tx1"/>
            </w14:solidFill>
          </w14:textFill>
        </w:rPr>
        <w:t>深圳市福田区商务局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keepNext w:val="0"/>
        <w:keepLines w:val="0"/>
        <w:widowControl/>
        <w:bidi w:val="0"/>
        <w:spacing w:before="0" w:after="0" w:line="240" w:lineRule="auto"/>
        <w:ind w:firstLine="640" w:firstLineChars="200"/>
        <w:jc w:val="left"/>
        <w:outlineLvl w:val="9"/>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（二）受理时间</w:t>
      </w:r>
    </w:p>
    <w:p>
      <w:pPr>
        <w:bidi w:val="0"/>
        <w:rPr>
          <w:rFonts w:hint="default"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25</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24</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000000" w:themeColor="text1"/>
          <w:kern w:val="0"/>
          <w:sz w:val="32"/>
          <w:szCs w:val="32"/>
          <w:highlight w:val="none"/>
          <w:lang w:val="en-US" w:eastAsia="zh-CN"/>
          <w14:textFill>
            <w14:solidFill>
              <w14:schemeClr w14:val="tx1"/>
            </w14:solidFill>
          </w14:textFill>
        </w:rPr>
        <w:t>。</w:t>
      </w:r>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2.材料提交时间：2026年</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25</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日-2026年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28</w:t>
      </w:r>
      <w:bookmarkStart w:id="40" w:name="_GoBack"/>
      <w:bookmarkEnd w:id="40"/>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pPr>
        <w:keepNext w:val="0"/>
        <w:keepLines w:val="0"/>
        <w:widowControl/>
        <w:suppressLineNumbers w:val="0"/>
        <w:jc w:val="left"/>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auto"/>
          <w:sz w:val="32"/>
          <w:szCs w:val="32"/>
          <w:highlight w:val="none"/>
          <w:lang w:eastAsia="zh-CN"/>
        </w:rPr>
        <w:t>线下材料递交地址：深圳市福田区国际创新中心F座3楼（深南大道1006号）福田区政务服务中心综合窗口。办公电话：0755-82978001。办公时间：星期一至星期五:上午9:00-12:00,下午 14:00-17:45(法定节假日除外)</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（四）咨询电话</w:t>
      </w:r>
    </w:p>
    <w:p>
      <w:pPr>
        <w:bidi w:val="0"/>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pPr>
      <w:r>
        <w:rPr>
          <w:rFonts w:hint="eastAsia" w:cs="仿宋_GB2312"/>
          <w:color w:val="000000" w:themeColor="text1"/>
          <w:sz w:val="32"/>
          <w:szCs w:val="32"/>
          <w:highlight w:val="none"/>
          <w:u w:val="none"/>
          <w:lang w:val="en-US" w:eastAsia="zh-CN"/>
          <w14:textFill>
            <w14:solidFill>
              <w14:schemeClr w14:val="tx1"/>
            </w14:solidFill>
          </w14:textFill>
        </w:rPr>
        <w:t>0755-82918333-2636/2628/2030。</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0" w:name="_Toc9722"/>
      <w:bookmarkStart w:id="21" w:name="_Toc1376"/>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九、申请决定机关</w:t>
      </w:r>
      <w:bookmarkEnd w:id="20"/>
      <w:bookmarkEnd w:id="21"/>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bookmarkStart w:id="22" w:name="_Toc125127183"/>
      <w:bookmarkStart w:id="23" w:name="_Toc161850809"/>
      <w:bookmarkStart w:id="24" w:name="_Toc10305"/>
      <w:bookmarkStart w:id="25" w:name="_Toc2137"/>
      <w:r>
        <w:rPr>
          <w:rFonts w:hint="eastAsia" w:hAnsi="宋体" w:cs="宋体"/>
          <w:color w:val="000000" w:themeColor="text1"/>
          <w:kern w:val="0"/>
          <w:sz w:val="32"/>
          <w:szCs w:val="32"/>
          <w:highlight w:val="none"/>
          <w:lang w:val="en-US" w:eastAsia="zh-CN"/>
          <w14:textFill>
            <w14:solidFill>
              <w14:schemeClr w14:val="tx1"/>
            </w14:solidFill>
          </w14:textFill>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6" w:name="_Toc11274"/>
      <w:bookmarkStart w:id="27" w:name="_Toc16198"/>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十、办理流程</w:t>
      </w:r>
      <w:bookmarkEnd w:id="26"/>
      <w:bookmarkEnd w:id="27"/>
    </w:p>
    <w:p>
      <w:pPr>
        <w:bidi w:val="0"/>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8" w:name="_Toc3693"/>
      <w:bookmarkStart w:id="29" w:name="_Toc28790"/>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十一、办理时限</w:t>
      </w:r>
      <w:bookmarkEnd w:id="28"/>
      <w:bookmarkEnd w:id="29"/>
    </w:p>
    <w:p>
      <w:pPr>
        <w:bidi w:val="0"/>
        <w:rPr>
          <w:rFonts w:hint="default" w:eastAsia="仿宋_GB2312"/>
          <w:color w:val="auto"/>
          <w:highlight w:val="none"/>
          <w:lang w:val="en-US" w:eastAsia="zh-CN"/>
        </w:rPr>
      </w:pPr>
      <w:r>
        <w:rPr>
          <w:rFonts w:hint="eastAsia"/>
          <w:color w:val="auto"/>
          <w:highlight w:val="none"/>
          <w:lang w:val="en-US" w:eastAsia="zh-CN"/>
        </w:rPr>
        <w:t>180个工作日，不含特别程序。</w:t>
      </w:r>
    </w:p>
    <w:p>
      <w:pPr>
        <w:keepNext w:val="0"/>
        <w:keepLines w:val="0"/>
        <w:widowControl/>
        <w:bidi w:val="0"/>
        <w:spacing w:before="0" w:beforeLines="-2147483648" w:beforeAutospacing="0" w:after="0" w:afterLines="-2147483648" w:afterAutospacing="0" w:line="240" w:lineRule="auto"/>
        <w:ind w:firstLine="640" w:firstLineChars="200"/>
        <w:jc w:val="left"/>
        <w:outlineLvl w:val="9"/>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30" w:name="_Toc32254"/>
      <w:bookmarkStart w:id="31" w:name="_Toc29872"/>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十二、证件及有效期</w:t>
      </w:r>
      <w:bookmarkEnd w:id="30"/>
      <w:bookmarkEnd w:id="31"/>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证件：无</w:t>
      </w:r>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2" w:name="_Toc17239"/>
      <w:bookmarkStart w:id="33" w:name="_Toc19920"/>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十三、证件的法律效力</w:t>
      </w:r>
      <w:bookmarkEnd w:id="32"/>
      <w:bookmarkEnd w:id="33"/>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4" w:name="_Toc6842"/>
      <w:bookmarkStart w:id="35" w:name="_Toc750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十四、收费</w:t>
      </w:r>
      <w:bookmarkEnd w:id="34"/>
      <w:bookmarkEnd w:id="35"/>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6" w:name="_Toc30475"/>
      <w:bookmarkStart w:id="37" w:name="_Toc3014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十五、年审或年检</w:t>
      </w:r>
      <w:bookmarkEnd w:id="36"/>
      <w:bookmarkEnd w:id="37"/>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bookmarkStart w:id="38" w:name="_Toc20677"/>
      <w:bookmarkStart w:id="39" w:name="_Toc28762"/>
    </w:p>
    <w:p>
      <w:pPr>
        <w:bidi w:val="0"/>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十六、监督检查和补充说明</w:t>
      </w:r>
      <w:bookmarkEnd w:id="38"/>
      <w:bookmarkEnd w:id="39"/>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（一）申报单位应当按要求配合市、区两级商务部门和其他相关部门的监督检查，按要求做好项目资金管理、绩效评估等工作。</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（二）申报单位存在以下情形之一的，应当按要求将已获得的部分或全部财政专项资金退回国库,并按照有关规定处理；涉嫌犯罪的，依法移送有关机关处理：</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1.申报单位未履行或未完全履行申报承诺并经查证属实的。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2.申报单位不符合项目申报条件获得资助的。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3.申报单位存在利用不正当手段套取、骗取、盗取专项资金的。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4.审计、巡视、巡察等核查需要申报单位退回专项资金的。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5.其他按照有关规定需要退回资金的。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000000" w:themeColor="text1"/>
          <w:highlight w:val="yellow"/>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五</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受理单位</w:t>
      </w:r>
      <w:r>
        <w:rPr>
          <w:rFonts w:hint="eastAsia"/>
          <w:color w:val="000000" w:themeColor="text1"/>
          <w:highlight w:val="none"/>
          <w14:textFill>
            <w14:solidFill>
              <w14:schemeClr w14:val="tx1"/>
            </w14:solidFill>
          </w14:textFill>
        </w:rPr>
        <w:t>从未委托任何单位和个人为申报单位代理专项资金扶持计划项目申报事宜</w:t>
      </w:r>
      <w:r>
        <w:rPr>
          <w:color w:val="000000" w:themeColor="text1"/>
          <w:highlight w:val="none"/>
          <w14:textFill>
            <w14:solidFill>
              <w14:schemeClr w14:val="tx1"/>
            </w14:solidFill>
          </w14:textFill>
        </w:rPr>
        <w:t>，申报单位应</w:t>
      </w:r>
      <w:r>
        <w:rPr>
          <w:rFonts w:hint="eastAsia"/>
          <w:color w:val="000000" w:themeColor="text1"/>
          <w:highlight w:val="none"/>
          <w14:textFill>
            <w14:solidFill>
              <w14:schemeClr w14:val="tx1"/>
            </w14:solidFill>
          </w14:textFill>
        </w:rPr>
        <w:t>自主申报。我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严格按照有关</w:t>
      </w:r>
      <w:r>
        <w:rPr>
          <w:color w:val="000000" w:themeColor="text1"/>
          <w:highlight w:val="none"/>
          <w14:textFill>
            <w14:solidFill>
              <w14:schemeClr w14:val="tx1"/>
            </w14:solidFill>
          </w14:textFill>
        </w:rPr>
        <w:t>规定</w:t>
      </w:r>
      <w:r>
        <w:rPr>
          <w:rFonts w:hint="eastAsia"/>
          <w:color w:val="000000" w:themeColor="text1"/>
          <w:highlight w:val="none"/>
          <w14:textFill>
            <w14:solidFill>
              <w14:schemeClr w14:val="tx1"/>
            </w14:solidFill>
          </w14:textFill>
        </w:rPr>
        <w:t>和程序受理申请，不收取任何费用。如有任何中介机构和个人假借我</w:t>
      </w:r>
      <w:r>
        <w:rPr>
          <w:rFonts w:hint="eastAsia"/>
          <w:color w:val="000000" w:themeColor="text1"/>
          <w:highlight w:val="none"/>
          <w:lang w:eastAsia="zh-CN"/>
          <w14:textFill>
            <w14:solidFill>
              <w14:schemeClr w14:val="tx1"/>
            </w14:solidFill>
          </w14:textFill>
        </w:rPr>
        <w:t>单位</w:t>
      </w:r>
      <w:r>
        <w:rPr>
          <w:color w:val="000000" w:themeColor="text1"/>
          <w:highlight w:val="none"/>
          <w14:textFill>
            <w14:solidFill>
              <w14:schemeClr w14:val="tx1"/>
            </w14:solidFill>
          </w14:textFill>
        </w:rPr>
        <w:t>或</w:t>
      </w:r>
      <w:r>
        <w:rPr>
          <w:rFonts w:hint="eastAsia"/>
          <w:color w:val="000000" w:themeColor="text1"/>
          <w:highlight w:val="none"/>
          <w14:textFill>
            <w14:solidFill>
              <w14:schemeClr w14:val="tx1"/>
            </w14:solidFill>
          </w14:textFill>
        </w:rPr>
        <w:t>工作人员名义向申报单位收取费用的，请向我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举报</w:t>
      </w:r>
      <w:r>
        <w:rPr>
          <w:rFonts w:hint="eastAsia"/>
          <w:color w:val="000000" w:themeColor="text1"/>
          <w:highlight w:val="none"/>
          <w:lang w:eastAsia="zh-CN"/>
          <w14:textFill>
            <w14:solidFill>
              <w14:schemeClr w14:val="tx1"/>
            </w14:solidFill>
          </w14:textFill>
        </w:rPr>
        <w:t>（举报电话：</w:t>
      </w:r>
      <w:r>
        <w:rPr>
          <w:rFonts w:hint="eastAsia"/>
          <w:color w:val="000000" w:themeColor="text1"/>
          <w:highlight w:val="none"/>
          <w:lang w:val="en-US" w:eastAsia="zh-CN"/>
          <w14:textFill>
            <w14:solidFill>
              <w14:schemeClr w14:val="tx1"/>
            </w14:solidFill>
          </w14:textFill>
        </w:rPr>
        <w:t>0755-82918333-2030</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w:t>
      </w:r>
    </w:p>
    <w:p>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申报单位在项目申报期间发生企业名称、联系信息变更的，应及时联系并提供变更材料，如因未及时变更产生的后果由企业自行承担。</w:t>
      </w:r>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七</w:t>
      </w:r>
      <w:r>
        <w:rPr>
          <w:rFonts w:hint="eastAsia"/>
          <w:color w:val="000000" w:themeColor="text1"/>
          <w:highlight w:val="none"/>
          <w14:textFill>
            <w14:solidFill>
              <w14:schemeClr w14:val="tx1"/>
            </w14:solidFill>
          </w14:textFill>
        </w:rPr>
        <w:t>）资助拨款按照申请书银行账户信息办理。因</w:t>
      </w:r>
      <w:r>
        <w:rPr>
          <w:color w:val="000000" w:themeColor="text1"/>
          <w:highlight w:val="none"/>
          <w14:textFill>
            <w14:solidFill>
              <w14:schemeClr w14:val="tx1"/>
            </w14:solidFill>
          </w14:textFill>
        </w:rPr>
        <w:t>账户信息变更或企业填写错误等原因导致</w:t>
      </w:r>
      <w:r>
        <w:rPr>
          <w:rFonts w:hint="eastAsia"/>
          <w:color w:val="000000" w:themeColor="text1"/>
          <w:highlight w:val="none"/>
          <w:lang w:eastAsia="zh-CN"/>
          <w14:textFill>
            <w14:solidFill>
              <w14:schemeClr w14:val="tx1"/>
            </w14:solidFill>
          </w14:textFill>
        </w:rPr>
        <w:t>拨付</w:t>
      </w:r>
      <w:r>
        <w:rPr>
          <w:color w:val="000000" w:themeColor="text1"/>
          <w:highlight w:val="none"/>
          <w14:textFill>
            <w14:solidFill>
              <w14:schemeClr w14:val="tx1"/>
            </w14:solidFill>
          </w14:textFill>
        </w:rPr>
        <w:t>不成功的，</w:t>
      </w:r>
      <w:r>
        <w:rPr>
          <w:rFonts w:hint="eastAsia"/>
          <w:color w:val="000000" w:themeColor="text1"/>
          <w:highlight w:val="none"/>
          <w14:textFill>
            <w14:solidFill>
              <w14:schemeClr w14:val="tx1"/>
            </w14:solidFill>
          </w14:textFill>
        </w:rPr>
        <w:t>原则上予以办理一次拨款信息更改并再次拨付。</w:t>
      </w:r>
      <w:r>
        <w:rPr>
          <w:color w:val="000000" w:themeColor="text1"/>
          <w:highlight w:val="none"/>
          <w14:textFill>
            <w14:solidFill>
              <w14:schemeClr w14:val="tx1"/>
            </w14:solidFill>
          </w14:textFill>
        </w:rPr>
        <w:t>申报单位</w:t>
      </w:r>
      <w:r>
        <w:rPr>
          <w:rFonts w:hint="eastAsia"/>
          <w:color w:val="000000" w:themeColor="text1"/>
          <w:highlight w:val="none"/>
          <w14:textFill>
            <w14:solidFill>
              <w14:schemeClr w14:val="tx1"/>
            </w14:solidFill>
          </w14:textFill>
        </w:rPr>
        <w:t>应当按照要求办理资金拨款手续。</w:t>
      </w:r>
    </w:p>
    <w:p>
      <w:pPr>
        <w:bidi w:val="0"/>
        <w:rPr>
          <w:rFonts w:hint="eastAsia"/>
          <w:color w:val="000000" w:themeColor="text1"/>
          <w:highlight w:val="none"/>
          <w14:textFill>
            <w14:solidFill>
              <w14:schemeClr w14:val="tx1"/>
            </w14:solidFill>
          </w14:textFill>
        </w:rPr>
      </w:pP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附录：名词解释</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br w:type="page"/>
      </w:r>
    </w:p>
    <w:p>
      <w:pPr>
        <w:bidi w:val="0"/>
        <w:ind w:firstLine="0" w:firstLineChars="0"/>
        <w:rPr>
          <w:rFonts w:hint="eastAsia" w:ascii="黑体" w:hAnsi="黑体" w:eastAsia="黑体" w:cs="黑体"/>
          <w:color w:val="000000" w:themeColor="text1"/>
          <w:highlight w:val="none"/>
          <w:lang w:eastAsia="zh-CN"/>
          <w14:textFill>
            <w14:solidFill>
              <w14:schemeClr w14:val="tx1"/>
            </w14:solidFill>
          </w14:textFill>
        </w:rPr>
      </w:pPr>
      <w:r>
        <w:rPr>
          <w:rFonts w:hint="eastAsia" w:ascii="黑体" w:hAnsi="黑体" w:eastAsia="黑体" w:cs="黑体"/>
          <w:color w:val="000000" w:themeColor="text1"/>
          <w:highlight w:val="none"/>
          <w:lang w:eastAsia="zh-CN"/>
          <w14:textFill>
            <w14:solidFill>
              <w14:schemeClr w14:val="tx1"/>
            </w14:solidFill>
          </w14:textFill>
        </w:rPr>
        <w:t>附</w:t>
      </w:r>
      <w:r>
        <w:rPr>
          <w:rFonts w:hint="eastAsia" w:ascii="黑体" w:hAnsi="黑体" w:eastAsia="黑体" w:cs="黑体"/>
          <w:color w:val="000000" w:themeColor="text1"/>
          <w:highlight w:val="none"/>
          <w:lang w:val="en-US" w:eastAsia="zh-CN"/>
          <w14:textFill>
            <w14:solidFill>
              <w14:schemeClr w14:val="tx1"/>
            </w14:solidFill>
          </w14:textFill>
        </w:rPr>
        <w:t xml:space="preserve">  </w:t>
      </w:r>
      <w:r>
        <w:rPr>
          <w:rFonts w:hint="eastAsia" w:ascii="黑体" w:hAnsi="黑体" w:eastAsia="黑体" w:cs="黑体"/>
          <w:color w:val="000000" w:themeColor="text1"/>
          <w:highlight w:val="none"/>
          <w:lang w:eastAsia="zh-CN"/>
          <w14:textFill>
            <w14:solidFill>
              <w14:schemeClr w14:val="tx1"/>
            </w14:solidFill>
          </w14:textFill>
        </w:rPr>
        <w:t>录</w:t>
      </w:r>
    </w:p>
    <w:p>
      <w:pPr>
        <w:bidi w:val="0"/>
        <w:rPr>
          <w:rFonts w:hint="eastAsia"/>
          <w:color w:val="000000" w:themeColor="text1"/>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bCs/>
          <w:color w:val="auto"/>
          <w:sz w:val="32"/>
          <w:szCs w:val="32"/>
          <w:highlight w:val="none"/>
          <w:lang w:val="en-US" w:eastAsia="zh-CN"/>
        </w:rPr>
        <w:t>单体店铺：</w:t>
      </w:r>
      <w:r>
        <w:rPr>
          <w:rFonts w:hint="eastAsia" w:ascii="仿宋_GB2312" w:hAnsi="仿宋_GB2312" w:eastAsia="仿宋_GB2312" w:cs="仿宋_GB2312"/>
          <w:color w:val="auto"/>
          <w:sz w:val="32"/>
          <w:szCs w:val="32"/>
          <w:highlight w:val="none"/>
          <w:lang w:val="en-US" w:eastAsia="zh-CN"/>
        </w:rPr>
        <w:t>指具有独立经营空间、明确物理边界、可单独核算与运营的单个店铺，不包含商业综合体、商铺集群及多店合并形成的经营区域。</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三</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bidi w:val="0"/>
        <w:rPr>
          <w:rFonts w:hint="eastAsia"/>
          <w:color w:val="000000" w:themeColor="text1"/>
          <w:highlight w:val="none"/>
          <w14:textFill>
            <w14:solidFill>
              <w14:schemeClr w14:val="tx1"/>
            </w14:solidFill>
          </w14:textFill>
        </w:rPr>
      </w:pPr>
    </w:p>
    <w:bookmarkEnd w:id="22"/>
    <w:bookmarkEnd w:id="23"/>
    <w:bookmarkEnd w:id="24"/>
    <w:bookmarkEnd w:id="25"/>
    <w:p>
      <w:pPr>
        <w:pStyle w:val="17"/>
        <w:rPr>
          <w:rFonts w:ascii="仿宋_GB2312" w:hAnsi="仿宋_GB2312"/>
          <w:color w:val="000000" w:themeColor="text1"/>
          <w:highlight w:val="none"/>
          <w14:textFill>
            <w14:solidFill>
              <w14:schemeClr w14:val="tx1"/>
            </w14:solidFill>
          </w14:textFill>
        </w:rPr>
      </w:pPr>
    </w:p>
    <w:sectPr>
      <w:footerReference r:id="rId5" w:type="default"/>
      <w:pgSz w:w="11906" w:h="16838"/>
      <w:pgMar w:top="1814" w:right="1474" w:bottom="1814" w:left="1474"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596F0D"/>
    <w:rsid w:val="02803A46"/>
    <w:rsid w:val="02CB1CF7"/>
    <w:rsid w:val="02DA63DE"/>
    <w:rsid w:val="02E93786"/>
    <w:rsid w:val="032558AB"/>
    <w:rsid w:val="032C6A46"/>
    <w:rsid w:val="04FC43AD"/>
    <w:rsid w:val="06173D21"/>
    <w:rsid w:val="070F7027"/>
    <w:rsid w:val="08461CA3"/>
    <w:rsid w:val="096C3E20"/>
    <w:rsid w:val="09F4308E"/>
    <w:rsid w:val="0A2D6324"/>
    <w:rsid w:val="0A6C5760"/>
    <w:rsid w:val="0B35692F"/>
    <w:rsid w:val="0B3D033F"/>
    <w:rsid w:val="0B4456D1"/>
    <w:rsid w:val="0BAD1FAB"/>
    <w:rsid w:val="0BE1742C"/>
    <w:rsid w:val="0C6D7BF8"/>
    <w:rsid w:val="0D1F0CED"/>
    <w:rsid w:val="0DD759F4"/>
    <w:rsid w:val="0F95719B"/>
    <w:rsid w:val="0FE131A1"/>
    <w:rsid w:val="0FF9FF57"/>
    <w:rsid w:val="10BF0BFF"/>
    <w:rsid w:val="11A73770"/>
    <w:rsid w:val="11BF2EFC"/>
    <w:rsid w:val="11F1104F"/>
    <w:rsid w:val="124226AB"/>
    <w:rsid w:val="126D73E5"/>
    <w:rsid w:val="13A40095"/>
    <w:rsid w:val="14053C83"/>
    <w:rsid w:val="15C958A9"/>
    <w:rsid w:val="163D2AB4"/>
    <w:rsid w:val="172A2DF8"/>
    <w:rsid w:val="17B005EC"/>
    <w:rsid w:val="184F8E39"/>
    <w:rsid w:val="185533C0"/>
    <w:rsid w:val="187E0EC3"/>
    <w:rsid w:val="18AB1F57"/>
    <w:rsid w:val="190653E0"/>
    <w:rsid w:val="197B53D3"/>
    <w:rsid w:val="1C210334"/>
    <w:rsid w:val="1C964CCC"/>
    <w:rsid w:val="1CFC17D2"/>
    <w:rsid w:val="1F1F51E6"/>
    <w:rsid w:val="1FF83836"/>
    <w:rsid w:val="205A510F"/>
    <w:rsid w:val="21127D99"/>
    <w:rsid w:val="22C22819"/>
    <w:rsid w:val="241E0552"/>
    <w:rsid w:val="246A3FA3"/>
    <w:rsid w:val="26E72CF4"/>
    <w:rsid w:val="294B23CF"/>
    <w:rsid w:val="2976170C"/>
    <w:rsid w:val="2A104310"/>
    <w:rsid w:val="2A4B3E74"/>
    <w:rsid w:val="2BA068F1"/>
    <w:rsid w:val="2C2A1457"/>
    <w:rsid w:val="2CAE0A32"/>
    <w:rsid w:val="2FEF4348"/>
    <w:rsid w:val="2FFC0AFB"/>
    <w:rsid w:val="302C0287"/>
    <w:rsid w:val="31A95387"/>
    <w:rsid w:val="31B31F93"/>
    <w:rsid w:val="321653A8"/>
    <w:rsid w:val="321759BB"/>
    <w:rsid w:val="329C19A3"/>
    <w:rsid w:val="32F52701"/>
    <w:rsid w:val="341A4C22"/>
    <w:rsid w:val="347B2CCE"/>
    <w:rsid w:val="352B3694"/>
    <w:rsid w:val="363C0287"/>
    <w:rsid w:val="3654545B"/>
    <w:rsid w:val="36565190"/>
    <w:rsid w:val="366C2500"/>
    <w:rsid w:val="369A281B"/>
    <w:rsid w:val="382C7B34"/>
    <w:rsid w:val="387303F9"/>
    <w:rsid w:val="39BDE09B"/>
    <w:rsid w:val="3B0E3D0E"/>
    <w:rsid w:val="3B8C72EB"/>
    <w:rsid w:val="3BFC17F2"/>
    <w:rsid w:val="3CA43A73"/>
    <w:rsid w:val="3CFD6976"/>
    <w:rsid w:val="3D388B6E"/>
    <w:rsid w:val="3D5D42F6"/>
    <w:rsid w:val="3DB808BA"/>
    <w:rsid w:val="3E465CA3"/>
    <w:rsid w:val="407A2ECB"/>
    <w:rsid w:val="418D6C3A"/>
    <w:rsid w:val="41E50163"/>
    <w:rsid w:val="423806ED"/>
    <w:rsid w:val="428230B1"/>
    <w:rsid w:val="42B10DBA"/>
    <w:rsid w:val="4311773F"/>
    <w:rsid w:val="431A16C9"/>
    <w:rsid w:val="437A5877"/>
    <w:rsid w:val="43BB3CEC"/>
    <w:rsid w:val="44A91A1A"/>
    <w:rsid w:val="44D052C5"/>
    <w:rsid w:val="46AE1F3D"/>
    <w:rsid w:val="473C23B2"/>
    <w:rsid w:val="47781E40"/>
    <w:rsid w:val="48541414"/>
    <w:rsid w:val="4900762E"/>
    <w:rsid w:val="49692B40"/>
    <w:rsid w:val="4A6B0082"/>
    <w:rsid w:val="4AB56AE2"/>
    <w:rsid w:val="4B6E7935"/>
    <w:rsid w:val="4BCF62A6"/>
    <w:rsid w:val="4CB91CF2"/>
    <w:rsid w:val="4DD7B2F9"/>
    <w:rsid w:val="4E423A35"/>
    <w:rsid w:val="4E7E74BD"/>
    <w:rsid w:val="4F98BDA8"/>
    <w:rsid w:val="4FC2745B"/>
    <w:rsid w:val="509A0D5C"/>
    <w:rsid w:val="52252BFC"/>
    <w:rsid w:val="53645795"/>
    <w:rsid w:val="53ED1DDF"/>
    <w:rsid w:val="54E753F5"/>
    <w:rsid w:val="563F7F48"/>
    <w:rsid w:val="5779221D"/>
    <w:rsid w:val="589B5008"/>
    <w:rsid w:val="58A326D8"/>
    <w:rsid w:val="59466376"/>
    <w:rsid w:val="5A9E6E08"/>
    <w:rsid w:val="5BF51433"/>
    <w:rsid w:val="5C46774B"/>
    <w:rsid w:val="5E2F7920"/>
    <w:rsid w:val="5FFF8D5C"/>
    <w:rsid w:val="623151CA"/>
    <w:rsid w:val="64A22FFB"/>
    <w:rsid w:val="64DB7056"/>
    <w:rsid w:val="64FEF02B"/>
    <w:rsid w:val="66982F4F"/>
    <w:rsid w:val="677DB442"/>
    <w:rsid w:val="6888651F"/>
    <w:rsid w:val="6894168D"/>
    <w:rsid w:val="69B52798"/>
    <w:rsid w:val="6A7451AD"/>
    <w:rsid w:val="6AC14C27"/>
    <w:rsid w:val="6BC41409"/>
    <w:rsid w:val="6C030E4B"/>
    <w:rsid w:val="6C5C62E3"/>
    <w:rsid w:val="6CAB30BC"/>
    <w:rsid w:val="6CED0F48"/>
    <w:rsid w:val="6CED51AD"/>
    <w:rsid w:val="6F0002D1"/>
    <w:rsid w:val="6FBE5F4A"/>
    <w:rsid w:val="6FCC3E6E"/>
    <w:rsid w:val="6FE7F8A4"/>
    <w:rsid w:val="6FEFB7EB"/>
    <w:rsid w:val="71D6011D"/>
    <w:rsid w:val="72694444"/>
    <w:rsid w:val="73470D86"/>
    <w:rsid w:val="73A0155B"/>
    <w:rsid w:val="73AF7735"/>
    <w:rsid w:val="73BBB3EE"/>
    <w:rsid w:val="74F90479"/>
    <w:rsid w:val="75405A96"/>
    <w:rsid w:val="756D75BF"/>
    <w:rsid w:val="7625601A"/>
    <w:rsid w:val="7757103A"/>
    <w:rsid w:val="77BF249E"/>
    <w:rsid w:val="78CB5794"/>
    <w:rsid w:val="78D33F7B"/>
    <w:rsid w:val="7973208E"/>
    <w:rsid w:val="7A613437"/>
    <w:rsid w:val="7C1A6A34"/>
    <w:rsid w:val="7CBE4AD3"/>
    <w:rsid w:val="7D1C7CE5"/>
    <w:rsid w:val="7DEA80E7"/>
    <w:rsid w:val="7DFF8E41"/>
    <w:rsid w:val="7EAF82F1"/>
    <w:rsid w:val="7F363046"/>
    <w:rsid w:val="7F7D640C"/>
    <w:rsid w:val="7FF503D8"/>
    <w:rsid w:val="8EFFBC18"/>
    <w:rsid w:val="9FBE2D98"/>
    <w:rsid w:val="BBEEE557"/>
    <w:rsid w:val="BBF67452"/>
    <w:rsid w:val="BFB1E59F"/>
    <w:rsid w:val="BFFB0999"/>
    <w:rsid w:val="CAFD38F4"/>
    <w:rsid w:val="DB2E415F"/>
    <w:rsid w:val="DB2F7D73"/>
    <w:rsid w:val="DE4F4ECD"/>
    <w:rsid w:val="DFBFA96B"/>
    <w:rsid w:val="DFDF681D"/>
    <w:rsid w:val="E5F68D8D"/>
    <w:rsid w:val="EDBF5009"/>
    <w:rsid w:val="EEF3C802"/>
    <w:rsid w:val="EFFFF1FE"/>
    <w:rsid w:val="F6DCE9CB"/>
    <w:rsid w:val="F7EE7B60"/>
    <w:rsid w:val="F98F69B3"/>
    <w:rsid w:val="F9F30085"/>
    <w:rsid w:val="FBFE63F7"/>
    <w:rsid w:val="FDA7462F"/>
    <w:rsid w:val="FDFD5E31"/>
    <w:rsid w:val="FDFF2523"/>
    <w:rsid w:val="FEBFC558"/>
    <w:rsid w:val="FF7FB831"/>
    <w:rsid w:val="FF9D7F84"/>
    <w:rsid w:val="FFCF9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paragraph" w:customStyle="1" w:styleId="35">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5209</Words>
  <Characters>5370</Characters>
  <Lines>0</Lines>
  <Paragraphs>0</Paragraphs>
  <TotalTime>0</TotalTime>
  <ScaleCrop>false</ScaleCrop>
  <LinksUpToDate>false</LinksUpToDate>
  <CharactersWithSpaces>5381</CharactersWithSpaces>
  <Application>WPS Office_11.8.2.12275_F1E327BC-269C-435d-A152-05C5408002CA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2025-07-10T18:47:00Z</dcterms:created>
  <dc:creator>黄佩琳</dc:creator>
  <cp:lastModifiedBy>古晓珊</cp:lastModifiedBy>
  <cp:lastPrinted>2026-05-28T18:27:00Z</cp:lastPrinted>
  <dcterms:modified xsi:type="dcterms:W3CDTF">2026-06-23T11:11:00Z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2052-11.8.2.12275</vt:lpwstr>
  </property>
  <property fmtid="{D5CDD505-2E9C-101B-9397-08002B2CF9AE}" pid="3" name="ICV">
    <vt:lpwstr>1EB21C241E674BDB8B6E20A5ECAD8256_13</vt:lpwstr>
  </property>
  <property fmtid="{D5CDD505-2E9C-101B-9397-08002B2CF9AE}" pid="4" name="KSOTemplateDocerSaveRecord">
    <vt:lpwstr>eyJoZGlkIjoiY2NiNzc0ZWE4MzBjY2JmMGYyMmY4NjkxNmNhZGJlNDUiLCJ1c2VySWQiOiI4NzUyMjIyNTQifQ==</vt:lpwstr>
  </property>
</Properties>
</file>