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125127182"/>
      <w:bookmarkStart w:id="1" w:name="_Toc13216"/>
      <w:bookmarkStart w:id="2" w:name="_Toc5810"/>
      <w:bookmarkStart w:id="3" w:name="_Toc32562"/>
      <w:r>
        <w:rPr>
          <w:rFonts w:hint="eastAsia" w:ascii="黑体" w:hAnsi="黑体" w:eastAsia="黑体" w:cs="黑体"/>
          <w:color w:val="auto"/>
          <w:sz w:val="32"/>
          <w:szCs w:val="32"/>
          <w:highlight w:val="none"/>
          <w:lang w:val="en-US" w:eastAsia="zh-CN"/>
        </w:rPr>
        <w:t>附件6</w:t>
      </w:r>
    </w:p>
    <w:p>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eastAsia" w:ascii="黑体" w:hAnsi="黑体" w:eastAsia="黑体" w:cs="黑体"/>
          <w:color w:val="auto"/>
          <w:sz w:val="32"/>
          <w:szCs w:val="32"/>
          <w:highlight w:val="none"/>
          <w:lang w:val="en-US" w:eastAsia="zh-CN"/>
        </w:rPr>
      </w:pPr>
    </w:p>
    <w:bookmarkEnd w:id="0"/>
    <w:bookmarkEnd w:id="1"/>
    <w:bookmarkEnd w:id="2"/>
    <w:bookmarkEnd w:id="3"/>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深圳市2026年中央资金消费新业态新模式新场景试点（支持创新多元化服务消费场景—发展冰雪经济资助项目）申报指南</w:t>
      </w: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4194"/>
      <w:bookmarkStart w:id="5" w:name="_Toc20798"/>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pPr>
        <w:bidi w:val="0"/>
        <w:spacing w:before="0" w:after="0" w:line="560" w:lineRule="exact"/>
        <w:ind w:firstLine="640"/>
        <w:rPr>
          <w:rFonts w:hint="eastAsia"/>
          <w:color w:val="auto"/>
          <w:highlight w:val="none"/>
          <w:lang w:val="en-US" w:eastAsia="zh-CN"/>
        </w:rPr>
      </w:pPr>
      <w:r>
        <w:rPr>
          <w:rFonts w:hint="eastAsia" w:ascii="仿宋_GB2312" w:eastAsia="仿宋_GB2312"/>
          <w:color w:val="auto"/>
          <w:highlight w:val="none"/>
          <w:lang w:val="en-US" w:eastAsia="zh-CN"/>
        </w:rPr>
        <w:t>支持培育冰雪经济等服务消费新增长点。</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15437"/>
      <w:bookmarkStart w:id="7" w:name="_Toc8852"/>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补贴</w:t>
      </w:r>
      <w:r>
        <w:rPr>
          <w:rFonts w:hint="eastAsia" w:ascii="仿宋_GB2312" w:eastAsia="仿宋_GB2312"/>
          <w:color w:val="auto"/>
          <w:highlight w:val="none"/>
          <w:lang w:val="en-US" w:eastAsia="zh-CN"/>
        </w:rPr>
        <w:t>金额和拨付进度等进行统一调整，申报单位应无条件同意调整结果。</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15307"/>
      <w:bookmarkStart w:id="11" w:name="_Toc431"/>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申报项目须同时满足以下条件：</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color w:val="auto"/>
          <w:highlight w:val="none"/>
          <w:lang w:val="en-US" w:eastAsia="zh-CN"/>
        </w:rPr>
      </w:pPr>
      <w:r>
        <w:rPr>
          <w:rFonts w:hint="eastAsia"/>
          <w:color w:val="auto"/>
          <w:highlight w:val="none"/>
          <w:lang w:val="en-US" w:eastAsia="zh-CN"/>
        </w:rPr>
        <w:t>1.申报项目属于具备“冰雪+”多元融合业态规划及延伸产业链能力的</w:t>
      </w:r>
      <w:r>
        <w:rPr>
          <w:rStyle w:val="19"/>
          <w:rFonts w:hint="eastAsia" w:ascii="仿宋_GB2312" w:hAnsi="仿宋_GB2312" w:cs="仿宋_GB2312"/>
          <w:color w:val="auto"/>
          <w:sz w:val="32"/>
          <w:szCs w:val="32"/>
          <w:highlight w:val="none"/>
          <w:lang w:val="en-US" w:eastAsia="zh-CN"/>
        </w:rPr>
        <w:t>室内冰雪场馆或冰雪主题文旅综合体项目</w:t>
      </w:r>
      <w:r>
        <w:rPr>
          <w:rFonts w:hint="eastAsia"/>
          <w:color w:val="auto"/>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Fonts w:hint="eastAsia"/>
          <w:color w:val="auto"/>
          <w:highlight w:val="none"/>
          <w:lang w:val="en-US" w:eastAsia="zh-CN"/>
        </w:rPr>
        <w:t>2.申报项目冰雪功能区建筑面积≥1万㎡</w:t>
      </w:r>
      <w:r>
        <w:rPr>
          <w:rFonts w:hint="eastAsia" w:ascii="Times New Roman" w:hAnsi="Times New Roman" w:cs="Arial"/>
          <w:strike w:val="0"/>
          <w:dstrike w:val="0"/>
          <w:color w:val="auto"/>
          <w:szCs w:val="24"/>
          <w:highlight w:val="none"/>
          <w:lang w:val="en-US" w:eastAsia="zh-CN"/>
        </w:rPr>
        <w:t>。</w:t>
      </w:r>
    </w:p>
    <w:p>
      <w:pPr>
        <w:pStyle w:val="29"/>
        <w:spacing w:line="560" w:lineRule="exact"/>
        <w:ind w:firstLine="640"/>
        <w:rPr>
          <w:rStyle w:val="19"/>
          <w:rFonts w:hint="eastAsia" w:ascii="仿宋_GB2312" w:hAnsi="仿宋_GB2312" w:eastAsia="仿宋_GB2312" w:cs="仿宋_GB2312"/>
          <w:bCs/>
          <w:color w:val="auto"/>
          <w:kern w:val="36"/>
          <w:sz w:val="32"/>
          <w:szCs w:val="32"/>
          <w:highlight w:val="none"/>
          <w:lang w:eastAsia="zh-CN"/>
        </w:rPr>
      </w:pPr>
      <w:r>
        <w:rPr>
          <w:rStyle w:val="19"/>
          <w:rFonts w:hint="eastAsia" w:ascii="仿宋_GB2312" w:hAnsi="仿宋_GB2312" w:eastAsia="仿宋_GB2312" w:cs="仿宋_GB2312"/>
          <w:color w:val="auto"/>
          <w:sz w:val="32"/>
          <w:szCs w:val="32"/>
          <w:highlight w:val="none"/>
          <w:lang w:eastAsia="zh-CN"/>
        </w:rPr>
        <w:t>项目支持时间范围为</w:t>
      </w:r>
      <w:r>
        <w:rPr>
          <w:rStyle w:val="19"/>
          <w:rFonts w:hint="eastAsia" w:ascii="仿宋_GB2312" w:hAnsi="仿宋_GB2312" w:eastAsia="仿宋_GB2312" w:cs="仿宋_GB2312"/>
          <w:color w:val="auto"/>
          <w:sz w:val="32"/>
          <w:szCs w:val="32"/>
          <w:highlight w:val="none"/>
          <w:lang w:val="en-US" w:eastAsia="zh-CN"/>
        </w:rPr>
        <w:t>2025年9月30日至2027年6月30日，所支持投入部分应在上述时间内。</w:t>
      </w:r>
      <w:r>
        <w:rPr>
          <w:rStyle w:val="19"/>
          <w:rFonts w:hint="eastAsia" w:ascii="仿宋_GB2312" w:hAnsi="仿宋_GB2312" w:eastAsia="仿宋_GB2312" w:cs="仿宋_GB2312"/>
          <w:bCs/>
          <w:color w:val="auto"/>
          <w:kern w:val="36"/>
          <w:sz w:val="32"/>
          <w:szCs w:val="32"/>
          <w:highlight w:val="none"/>
          <w:lang w:eastAsia="zh-CN"/>
        </w:rPr>
        <w:t>原则上限于支持市场化商业化项目，不支持免费的纯公益项目，</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_GB2312" w:eastAsia="仿宋_GB2312" w:cs="仿宋_GB2312"/>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商业综合体，以及</w:t>
      </w:r>
      <w:r>
        <w:rPr>
          <w:rStyle w:val="19"/>
          <w:rFonts w:hint="eastAsia" w:ascii="仿宋_GB2312" w:hAnsi="仿宋_GB2312" w:eastAsia="仿宋_GB2312" w:cs="仿宋_GB2312"/>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办公场所及必须的公共服务基础设施建设</w:t>
      </w:r>
      <w:r>
        <w:rPr>
          <w:rStyle w:val="19"/>
          <w:rFonts w:hint="eastAsia" w:ascii="仿宋_GB2312" w:hAnsi="仿宋_GB2312" w:eastAsia="仿宋_GB2312" w:cs="仿宋_GB2312"/>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为了满足最基本经营条件、消防验收等需求，基础水电改造、防水处理、消防改造及设施购置等一般性装修项目</w:t>
      </w:r>
      <w:r>
        <w:rPr>
          <w:rStyle w:val="19"/>
          <w:rFonts w:hint="eastAsia" w:ascii="仿宋_GB2312" w:hAnsi="仿宋_GB2312" w:eastAsia="仿宋_GB2312" w:cs="仿宋_GB2312"/>
          <w:bCs/>
          <w:color w:val="auto"/>
          <w:kern w:val="36"/>
          <w:sz w:val="32"/>
          <w:szCs w:val="32"/>
          <w:highlight w:val="none"/>
          <w:lang w:eastAsia="zh-CN"/>
        </w:rPr>
        <w:t>。不支持党政机关主办、承办或承担部分活动费用的展会、节庆、论坛活动。</w:t>
      </w:r>
    </w:p>
    <w:p>
      <w:pPr>
        <w:keepNext w:val="0"/>
        <w:keepLines w:val="0"/>
        <w:pageBreakBefore w:val="0"/>
        <w:widowControl w:val="0"/>
        <w:kinsoku/>
        <w:wordWrap/>
        <w:overflowPunct/>
        <w:topLinePunct w:val="0"/>
        <w:autoSpaceDE/>
        <w:autoSpaceDN/>
        <w:bidi w:val="0"/>
        <w:adjustRightInd/>
        <w:snapToGrid/>
        <w:spacing w:before="0" w:after="0"/>
        <w:textAlignment w:val="auto"/>
        <w:rPr>
          <w:rFonts w:hint="eastAsia" w:ascii="Times New Roman" w:hAnsi="Times New Roman" w:cs="Arial"/>
          <w:strike w:val="0"/>
          <w:dstrike w:val="0"/>
          <w:color w:val="auto"/>
          <w:szCs w:val="24"/>
          <w:highlight w:val="none"/>
          <w:lang w:val="en-US" w:eastAsia="zh-CN"/>
        </w:rPr>
      </w:pPr>
      <w:r>
        <w:rPr>
          <w:rStyle w:val="19"/>
          <w:rFonts w:hint="default" w:ascii="仿宋_GB2312" w:hAnsi="仿宋_GB2312" w:eastAsia="仿宋_GB2312" w:cs="仿宋_GB2312"/>
          <w:color w:val="auto"/>
          <w:sz w:val="32"/>
          <w:szCs w:val="32"/>
          <w:highlight w:val="none"/>
          <w:lang w:val="en-US" w:eastAsia="zh-CN"/>
        </w:rPr>
        <w:t>不支持发放消费券、优惠补贴、宣传推广等</w:t>
      </w:r>
      <w:r>
        <w:rPr>
          <w:rStyle w:val="19"/>
          <w:rFonts w:hint="eastAsia" w:ascii="仿宋_GB2312" w:hAnsi="仿宋_GB2312" w:eastAsia="仿宋_GB2312" w:cs="仿宋_GB2312"/>
          <w:color w:val="auto"/>
          <w:sz w:val="32"/>
          <w:szCs w:val="32"/>
          <w:highlight w:val="none"/>
          <w:lang w:val="en-US" w:eastAsia="zh-CN"/>
        </w:rPr>
        <w:t>投入</w:t>
      </w:r>
      <w:r>
        <w:rPr>
          <w:rStyle w:val="19"/>
          <w:rFonts w:hint="default" w:ascii="仿宋_GB2312" w:hAnsi="仿宋_GB2312" w:eastAsia="仿宋_GB2312" w:cs="仿宋_GB2312"/>
          <w:color w:val="auto"/>
          <w:sz w:val="32"/>
          <w:szCs w:val="32"/>
          <w:highlight w:val="none"/>
          <w:lang w:val="en-US" w:eastAsia="zh-CN"/>
        </w:rPr>
        <w:t>；不支持政府举办的促消费活动，不支持企业举办的促销推广活动；不支持短期开展的活动或临时搭建的消费场景，不支持存续时间少于一个月的消费场景；不支持单纯的商品消费、单一传统业态的消费场景、以及无消费内容的项目。</w:t>
      </w:r>
    </w:p>
    <w:p>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pPr>
        <w:bidi w:val="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支持发展冰雪经济，按</w:t>
      </w:r>
      <w:r>
        <w:rPr>
          <w:rFonts w:hint="eastAsia"/>
          <w:color w:val="auto"/>
          <w:highlight w:val="none"/>
          <w:lang w:val="en-US" w:eastAsia="zh-CN"/>
        </w:rPr>
        <w:t>项目</w:t>
      </w:r>
      <w:r>
        <w:rPr>
          <w:rFonts w:hint="eastAsia" w:ascii="仿宋_GB2312" w:eastAsia="仿宋_GB2312"/>
          <w:color w:val="auto"/>
          <w:highlight w:val="none"/>
          <w:lang w:val="en-US" w:eastAsia="zh-CN"/>
        </w:rPr>
        <w:t>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20%给予资助，试点期间最高不超过300万元。</w:t>
      </w:r>
    </w:p>
    <w:p>
      <w:pPr>
        <w:spacing w:line="560" w:lineRule="exact"/>
        <w:ind w:firstLine="640"/>
        <w:rPr>
          <w:rStyle w:val="19"/>
          <w:rFonts w:hint="default" w:ascii="仿宋_GB2312" w:hAnsi="仿宋_GB2312" w:eastAsia="仿宋_GB2312" w:cs="仿宋_GB2312"/>
          <w:color w:val="auto"/>
          <w:sz w:val="32"/>
          <w:szCs w:val="32"/>
          <w:highlight w:val="none"/>
          <w:lang w:val="en-US" w:eastAsia="zh-CN"/>
        </w:rPr>
      </w:pPr>
      <w:r>
        <w:rPr>
          <w:rStyle w:val="19"/>
          <w:rFonts w:hint="eastAsia"/>
          <w:color w:val="auto"/>
          <w:sz w:val="32"/>
          <w:szCs w:val="32"/>
          <w:highlight w:val="none"/>
          <w:lang w:eastAsia="zh-CN"/>
        </w:rPr>
        <w:t>实际有效投入是指2025年9月30日以来至申报日，申报主体在打造“冰雪</w:t>
      </w:r>
      <w:r>
        <w:rPr>
          <w:rStyle w:val="19"/>
          <w:rFonts w:hint="eastAsia"/>
          <w:color w:val="auto"/>
          <w:sz w:val="32"/>
          <w:szCs w:val="32"/>
          <w:highlight w:val="none"/>
          <w:lang w:val="en-US" w:eastAsia="zh-CN"/>
        </w:rPr>
        <w:t>+</w:t>
      </w:r>
      <w:r>
        <w:rPr>
          <w:rStyle w:val="19"/>
          <w:rFonts w:hint="eastAsia"/>
          <w:color w:val="auto"/>
          <w:sz w:val="32"/>
          <w:szCs w:val="32"/>
          <w:highlight w:val="none"/>
          <w:lang w:eastAsia="zh-CN"/>
        </w:rPr>
        <w:t>”融合项目时，已完成或阶段性完成部分有关投入，不包含</w:t>
      </w:r>
      <w:r>
        <w:rPr>
          <w:rFonts w:hint="eastAsia"/>
          <w:color w:val="000000" w:themeColor="text1"/>
          <w:highlight w:val="none"/>
          <w:lang w:val="en-US" w:eastAsia="zh-CN"/>
          <w14:textFill>
            <w14:solidFill>
              <w14:schemeClr w14:val="tx1"/>
            </w14:solidFill>
          </w14:textFill>
        </w:rPr>
        <w:t>各级财政投资部分，以及</w:t>
      </w:r>
      <w:r>
        <w:rPr>
          <w:rStyle w:val="19"/>
          <w:rFonts w:hint="eastAsia"/>
          <w:color w:val="auto"/>
          <w:sz w:val="32"/>
          <w:szCs w:val="32"/>
          <w:highlight w:val="none"/>
          <w:lang w:eastAsia="zh-CN"/>
        </w:rPr>
        <w:t>第四</w:t>
      </w:r>
      <w:r>
        <w:rPr>
          <w:rFonts w:hint="eastAsia"/>
          <w:color w:val="000000" w:themeColor="text1"/>
          <w:highlight w:val="none"/>
          <w:lang w:val="en-US" w:eastAsia="zh-CN"/>
          <w14:textFill>
            <w14:solidFill>
              <w14:schemeClr w14:val="tx1"/>
            </w14:solidFill>
          </w14:textFill>
        </w:rPr>
        <w:t>点第（二）条</w:t>
      </w:r>
      <w:r>
        <w:rPr>
          <w:rStyle w:val="19"/>
          <w:rFonts w:hint="eastAsia"/>
          <w:color w:val="auto"/>
          <w:sz w:val="32"/>
          <w:szCs w:val="32"/>
          <w:highlight w:val="none"/>
          <w:lang w:eastAsia="zh-CN"/>
        </w:rPr>
        <w:t>专项条件中不予支持部分。符合条件的项目，可将已落地或有阶段性成果相关投入部分申请资助，后续另有符合条件投入可再次以该项目申报，同一项目不受项目数限制。</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pPr>
        <w:bidi w:val="0"/>
        <w:rPr>
          <w:rFonts w:hint="default" w:ascii="楷体" w:hAnsi="楷体" w:eastAsia="楷体_GB2312" w:cstheme="majorBidi"/>
          <w:bCs/>
          <w:color w:val="000000" w:themeColor="text1"/>
          <w:kern w:val="2"/>
          <w:szCs w:val="32"/>
          <w:highlight w:val="none"/>
          <w:lang w:val="en-US" w:eastAsia="zh-CN" w:bidi="ar-SA"/>
          <w14:textFill>
            <w14:solidFill>
              <w14:schemeClr w14:val="tx1"/>
            </w14:solidFill>
          </w14:textFill>
        </w:rPr>
      </w:pPr>
      <w:r>
        <w:rPr>
          <w:rFonts w:hint="eastAsia"/>
          <w:color w:val="auto"/>
          <w:highlight w:val="none"/>
          <w:lang w:val="en-US" w:eastAsia="zh-CN"/>
        </w:rPr>
        <w:t>请各项目申报单位于线上填写并提交《项目申报书》，网址：https://www.gdzwfw.gov.cn/（广东政务服务网），搜索“消费新业态新场景新模式试点”——选择深圳-福田后，按照相关事项提示流程和要求进行线上申报（特别提醒该事项办理需申报主体以法人账号登录提交，不接受个人账号提交），并按办理指南提交相关材料（包括并不限于）如下</w:t>
      </w:r>
      <w:r>
        <w:rPr>
          <w:rFonts w:hint="eastAsia"/>
          <w:color w:val="000000" w:themeColor="text1"/>
          <w:highlight w:val="none"/>
          <w:lang w:val="en-US" w:eastAsia="zh-CN"/>
          <w14:textFill>
            <w14:solidFill>
              <w14:schemeClr w14:val="tx1"/>
            </w14:solidFill>
          </w14:textFill>
        </w:rPr>
        <w:t>：</w:t>
      </w:r>
    </w:p>
    <w:p>
      <w:pPr>
        <w:bidi w:val="0"/>
        <w:rPr>
          <w:rFonts w:hint="default"/>
          <w:color w:val="000000" w:themeColor="text1"/>
          <w:highlight w:val="yellow"/>
          <w:lang w:eastAsia="zh-CN"/>
          <w14:textFill>
            <w14:solidFill>
              <w14:schemeClr w14:val="tx1"/>
            </w14:solidFill>
          </w14:textFill>
        </w:rPr>
      </w:pPr>
      <w:r>
        <w:rPr>
          <w:rFonts w:hint="default"/>
          <w:color w:val="000000" w:themeColor="text1"/>
          <w:highlight w:val="none"/>
          <w:lang w:val="en-US" w:eastAsia="zh-CN"/>
          <w14:textFill>
            <w14:solidFill>
              <w14:schemeClr w14:val="tx1"/>
            </w14:solidFill>
          </w14:textFill>
        </w:rPr>
        <w:t>1.</w:t>
      </w:r>
      <w:r>
        <w:rPr>
          <w:rFonts w:hint="default"/>
          <w:highlight w:val="none"/>
        </w:rPr>
        <w:t>资金项目申请书</w:t>
      </w:r>
      <w:r>
        <w:rPr>
          <w:rFonts w:hint="eastAsia"/>
          <w:highlight w:val="none"/>
          <w:lang w:eastAsia="zh-CN"/>
        </w:rPr>
        <w:t>：</w:t>
      </w:r>
      <w:r>
        <w:rPr>
          <w:rFonts w:hint="default"/>
          <w:color w:val="auto"/>
          <w:highlight w:val="none"/>
          <w:lang w:val="en-US" w:eastAsia="zh-CN"/>
        </w:rPr>
        <w:t>申报单位按照申报材料要求编写项目申请书并提供相关证明材料</w:t>
      </w:r>
      <w:r>
        <w:rPr>
          <w:rFonts w:hint="eastAsia"/>
          <w:color w:val="auto"/>
          <w:highlight w:val="none"/>
          <w:lang w:val="en-US" w:eastAsia="zh-CN"/>
        </w:rPr>
        <w:t>（温馨提示：材料要求齐备，缺漏无法受理，请务必认真研读相关指南，切实准备资料，确认符合申请条件和材料齐备后再行提交，避免资料补缺导致办理时间过长或条件不符合退回）</w:t>
      </w:r>
      <w:r>
        <w:rPr>
          <w:rFonts w:hint="default"/>
          <w:color w:val="auto"/>
          <w:highlight w:val="none"/>
          <w:lang w:val="en-US" w:eastAsia="zh-CN"/>
        </w:rPr>
        <w:t>，初审通过后提供申请书纸质文件原件并将本指南第六条要求的项目申报材料</w:t>
      </w:r>
      <w:r>
        <w:rPr>
          <w:rFonts w:hint="eastAsia"/>
          <w:color w:val="auto"/>
          <w:highlight w:val="none"/>
          <w:lang w:val="en-US" w:eastAsia="zh-CN"/>
        </w:rPr>
        <w:t>（一式四份）</w:t>
      </w:r>
      <w:r>
        <w:rPr>
          <w:rFonts w:hint="default"/>
          <w:color w:val="auto"/>
          <w:highlight w:val="none"/>
          <w:lang w:val="en-US" w:eastAsia="zh-CN"/>
        </w:rPr>
        <w:t>一并线下或通过邮寄方式交给区商务部门</w:t>
      </w:r>
      <w:r>
        <w:rPr>
          <w:rFonts w:hint="eastAsia"/>
          <w:color w:val="auto"/>
          <w:highlight w:val="none"/>
          <w:lang w:val="en-US" w:eastAsia="zh-CN"/>
        </w:rPr>
        <w:t>（福田区政务服务中心综合窗口）</w:t>
      </w:r>
      <w:r>
        <w:rPr>
          <w:rFonts w:hint="default"/>
          <w:color w:val="auto"/>
          <w:highlight w:val="none"/>
          <w:lang w:val="en-US" w:eastAsia="zh-CN"/>
        </w:rPr>
        <w:t>，线下</w:t>
      </w:r>
      <w:r>
        <w:rPr>
          <w:rFonts w:hint="eastAsia"/>
          <w:color w:val="auto"/>
          <w:highlight w:val="none"/>
          <w:lang w:val="en-US" w:eastAsia="zh-CN"/>
        </w:rPr>
        <w:t>材料递交或邮寄地址:深圳市福田区国际创新中心F座3楼（深南大道1006号）</w:t>
      </w:r>
      <w:r>
        <w:rPr>
          <w:rFonts w:hint="default"/>
          <w:color w:val="auto"/>
          <w:highlight w:val="none"/>
          <w:lang w:val="en-US" w:eastAsia="zh-CN"/>
        </w:rPr>
        <w:t>。</w:t>
      </w:r>
      <w:r>
        <w:rPr>
          <w:rFonts w:hint="eastAsia"/>
          <w:color w:val="auto"/>
          <w:highlight w:val="none"/>
          <w:lang w:val="en-US" w:eastAsia="zh-CN"/>
        </w:rPr>
        <w:t>办公电话：0755-82978001。服务时间：星期一至星期五:上午9:00-12:00,下午 14:00-17:45(法定节假日除外)</w:t>
      </w:r>
      <w:r>
        <w:rPr>
          <w:rFonts w:hint="eastAsia" w:ascii="仿宋_GB2312" w:hAnsi="仿宋_GB2312" w:eastAsia="仿宋_GB2312" w:cs="Times New Roman"/>
          <w:color w:val="auto"/>
          <w:sz w:val="32"/>
          <w:szCs w:val="32"/>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业态融合</w:t>
      </w:r>
      <w:r>
        <w:rPr>
          <w:rFonts w:hint="eastAsia"/>
          <w:color w:val="auto"/>
          <w:highlight w:val="none"/>
          <w:lang w:val="en-US" w:eastAsia="zh-CN"/>
        </w:rPr>
        <w:t>、产业链延伸</w:t>
      </w:r>
      <w:r>
        <w:rPr>
          <w:rFonts w:hint="default"/>
          <w:color w:val="auto"/>
          <w:highlight w:val="none"/>
          <w:lang w:val="en-US" w:eastAsia="zh-CN"/>
        </w:rPr>
        <w:t>能力材料：“冰雪+”多元融合业态</w:t>
      </w:r>
      <w:r>
        <w:rPr>
          <w:rFonts w:hint="eastAsia"/>
          <w:color w:val="auto"/>
          <w:highlight w:val="none"/>
          <w:lang w:val="en-US" w:eastAsia="zh-CN"/>
        </w:rPr>
        <w:t>运营</w:t>
      </w:r>
      <w:r>
        <w:rPr>
          <w:rFonts w:hint="default"/>
          <w:color w:val="auto"/>
          <w:highlight w:val="none"/>
          <w:lang w:val="en-US" w:eastAsia="zh-CN"/>
        </w:rPr>
        <w:t>方案（含业态布局、融合模式、产业链延伸等内容）。</w:t>
      </w:r>
    </w:p>
    <w:p>
      <w:pPr>
        <w:bidi w:val="0"/>
        <w:rPr>
          <w:rFonts w:hint="default"/>
          <w:color w:val="auto"/>
          <w:highlight w:val="none"/>
          <w:lang w:val="en-US" w:eastAsia="zh-CN"/>
        </w:rPr>
      </w:pPr>
      <w:r>
        <w:rPr>
          <w:rFonts w:hint="eastAsia"/>
          <w:color w:val="auto"/>
          <w:highlight w:val="none"/>
          <w:lang w:val="en-US" w:eastAsia="zh-CN"/>
        </w:rPr>
        <w:t>2.冰雪功能区建筑面积</w:t>
      </w:r>
      <w:r>
        <w:rPr>
          <w:rFonts w:hint="default"/>
          <w:color w:val="auto"/>
          <w:highlight w:val="none"/>
          <w:lang w:val="en-US" w:eastAsia="zh-CN"/>
        </w:rPr>
        <w:t>佐证材料：不动产权证书、</w:t>
      </w:r>
      <w:r>
        <w:rPr>
          <w:rFonts w:hint="eastAsia"/>
          <w:color w:val="auto"/>
          <w:highlight w:val="none"/>
          <w:lang w:val="en-US" w:eastAsia="zh-CN"/>
        </w:rPr>
        <w:t>或</w:t>
      </w:r>
      <w:r>
        <w:rPr>
          <w:rFonts w:hint="default"/>
          <w:color w:val="auto"/>
          <w:highlight w:val="none"/>
          <w:lang w:val="en-US" w:eastAsia="zh-CN"/>
        </w:rPr>
        <w:t>租赁合同</w:t>
      </w:r>
      <w:r>
        <w:rPr>
          <w:rFonts w:hint="eastAsia"/>
          <w:color w:val="auto"/>
          <w:highlight w:val="none"/>
          <w:lang w:val="en-US" w:eastAsia="zh-CN"/>
        </w:rPr>
        <w:t>、</w:t>
      </w:r>
      <w:r>
        <w:rPr>
          <w:rFonts w:hint="default"/>
          <w:color w:val="auto"/>
          <w:highlight w:val="none"/>
          <w:lang w:val="en-US" w:eastAsia="zh-CN"/>
        </w:rPr>
        <w:t>场地使用文件（须载明</w:t>
      </w:r>
      <w:r>
        <w:rPr>
          <w:rFonts w:hint="eastAsia"/>
          <w:color w:val="auto"/>
          <w:highlight w:val="none"/>
          <w:lang w:val="en-US" w:eastAsia="zh-CN"/>
        </w:rPr>
        <w:t>功能区建筑</w:t>
      </w:r>
      <w:r>
        <w:rPr>
          <w:rFonts w:hint="default"/>
          <w:color w:val="auto"/>
          <w:highlight w:val="none"/>
          <w:lang w:val="en-US" w:eastAsia="zh-CN"/>
        </w:rPr>
        <w:t>面积）。</w:t>
      </w:r>
    </w:p>
    <w:p>
      <w:pPr>
        <w:bidi w:val="0"/>
        <w:rPr>
          <w:rFonts w:hint="eastAsia"/>
          <w:color w:val="auto"/>
          <w:highlight w:val="none"/>
          <w:lang w:val="en-US" w:eastAsia="zh-CN"/>
        </w:rPr>
      </w:pPr>
      <w:r>
        <w:rPr>
          <w:rFonts w:hint="eastAsia"/>
          <w:color w:val="auto"/>
          <w:highlight w:val="none"/>
          <w:lang w:val="en-US" w:eastAsia="zh-CN"/>
        </w:rPr>
        <w:t>3.项目成效总结（模板详见项目申报书）。</w:t>
      </w:r>
    </w:p>
    <w:p>
      <w:pPr>
        <w:bidi w:val="0"/>
        <w:rPr>
          <w:rFonts w:hint="eastAsia"/>
          <w:color w:val="auto"/>
          <w:highlight w:val="none"/>
          <w:lang w:val="en-US" w:eastAsia="zh-CN"/>
        </w:rPr>
      </w:pPr>
      <w:r>
        <w:rPr>
          <w:rFonts w:hint="eastAsia"/>
          <w:color w:val="auto"/>
          <w:highlight w:val="none"/>
          <w:lang w:val="en-US" w:eastAsia="zh-CN"/>
        </w:rPr>
        <w:t>4.</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pPr>
        <w:bidi w:val="0"/>
        <w:rPr>
          <w:rFonts w:hint="eastAsia"/>
          <w:b/>
          <w:bCs/>
          <w:color w:val="auto"/>
          <w:highlight w:val="none"/>
          <w:lang w:val="en-US" w:eastAsia="zh-CN"/>
        </w:rPr>
      </w:pPr>
      <w:r>
        <w:rPr>
          <w:rFonts w:hint="default"/>
          <w:b/>
          <w:bCs/>
          <w:color w:val="auto"/>
          <w:highlight w:val="none"/>
          <w:lang w:val="en-US" w:eastAsia="zh-CN"/>
        </w:rPr>
        <w:t>以上申报材料按顺序一式</w:t>
      </w:r>
      <w:r>
        <w:rPr>
          <w:rFonts w:hint="eastAsia"/>
          <w:b/>
          <w:bCs/>
          <w:color w:val="auto"/>
          <w:highlight w:val="none"/>
          <w:lang w:val="en-US" w:eastAsia="zh-CN"/>
        </w:rPr>
        <w:t>四</w:t>
      </w:r>
      <w:r>
        <w:rPr>
          <w:rFonts w:hint="default"/>
          <w:b/>
          <w:bCs/>
          <w:color w:val="auto"/>
          <w:highlight w:val="none"/>
          <w:lang w:val="en-US" w:eastAsia="zh-CN"/>
        </w:rPr>
        <w:t>份（附可编辑电子版和PDF扫描件）装订成册，在封面加盖单位公章并加盖骑缝章（其中，申报</w:t>
      </w:r>
      <w:r>
        <w:rPr>
          <w:rFonts w:hint="eastAsia" w:ascii="仿宋_GB2312" w:eastAsia="仿宋_GB2312"/>
          <w:b/>
          <w:bCs/>
          <w:color w:val="auto"/>
          <w:highlight w:val="none"/>
          <w:lang w:val="en-US" w:eastAsia="zh-CN"/>
        </w:rPr>
        <w:t>指引</w:t>
      </w:r>
      <w:r>
        <w:rPr>
          <w:rFonts w:hint="default"/>
          <w:b/>
          <w:bCs/>
          <w:color w:val="auto"/>
          <w:highlight w:val="none"/>
          <w:lang w:val="en-US" w:eastAsia="zh-CN"/>
        </w:rPr>
        <w:t>及附件有明确要求加盖公章的资料需按要求执行）。</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5711"/>
      <w:bookmarkStart w:id="17" w:name="_Toc19526"/>
      <w:r>
        <w:rPr>
          <w:rFonts w:hint="eastAsia" w:ascii="黑体" w:hAnsi="黑体" w:eastAsia="黑体" w:cs="仿宋"/>
          <w:color w:val="auto"/>
          <w:kern w:val="2"/>
          <w:sz w:val="32"/>
          <w:szCs w:val="22"/>
          <w:highlight w:val="none"/>
          <w:lang w:val="en-US" w:eastAsia="zh-CN" w:bidi="ar-SA"/>
        </w:rPr>
        <w:t>七、申请表格</w:t>
      </w:r>
      <w:bookmarkEnd w:id="16"/>
      <w:bookmarkEnd w:id="17"/>
    </w:p>
    <w:p>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default" w:hAnsi="Calibri" w:cs="Times New Roman"/>
          <w:color w:val="auto"/>
          <w:sz w:val="32"/>
          <w:szCs w:val="32"/>
          <w:highlight w:val="none"/>
          <w:lang w:eastAsia="zh-CN"/>
        </w:rPr>
      </w:pPr>
      <w:r>
        <w:rPr>
          <w:rFonts w:hint="eastAsia" w:ascii="仿宋_GB2312" w:hAnsi="Calibri" w:eastAsia="仿宋_GB2312" w:cs="Times New Roman"/>
          <w:color w:val="000000"/>
          <w:spacing w:val="0"/>
          <w:sz w:val="32"/>
          <w:szCs w:val="32"/>
          <w:highlight w:val="none"/>
        </w:rPr>
        <w:t>本指南第六条（一）规定</w:t>
      </w:r>
      <w:r>
        <w:rPr>
          <w:rFonts w:hint="eastAsia" w:ascii="仿宋_GB2312" w:hAnsi="仿宋_GB2312" w:eastAsia="仿宋_GB2312" w:cs="Times New Roman"/>
          <w:color w:val="auto"/>
          <w:sz w:val="32"/>
          <w:szCs w:val="32"/>
          <w:highlight w:val="none"/>
          <w:lang w:val="en-US" w:eastAsia="zh-CN"/>
        </w:rPr>
        <w:t>登录广东政务服务网在线下载填报申请书（网址：http://www.gdzwfw.gov.cn/）</w:t>
      </w:r>
      <w:r>
        <w:rPr>
          <w:rFonts w:hint="default" w:hAnsi="Calibri" w:cs="Times New Roman"/>
          <w:color w:val="auto"/>
          <w:sz w:val="32"/>
          <w:szCs w:val="32"/>
          <w:highlight w:val="none"/>
          <w:lang w:eastAsia="zh-CN"/>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18" w:name="_Toc20121"/>
      <w:bookmarkStart w:id="19" w:name="_Toc13760"/>
      <w:r>
        <w:rPr>
          <w:rFonts w:hint="eastAsia" w:ascii="黑体" w:hAnsi="黑体" w:eastAsia="黑体" w:cs="仿宋"/>
          <w:color w:val="auto"/>
          <w:kern w:val="2"/>
          <w:sz w:val="32"/>
          <w:szCs w:val="22"/>
          <w:highlight w:val="none"/>
          <w:lang w:val="en-US" w:eastAsia="zh-CN" w:bidi="ar-SA"/>
        </w:rPr>
        <w:t>八、受理机关</w:t>
      </w:r>
      <w:bookmarkEnd w:id="18"/>
      <w:bookmarkEnd w:id="19"/>
    </w:p>
    <w:p>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（一）受理机关</w:t>
      </w:r>
    </w:p>
    <w:p>
      <w:pPr>
        <w:bidi w:val="0"/>
        <w:spacing w:before="0" w:after="0" w:line="560" w:lineRule="exact"/>
        <w:ind w:firstLine="640" w:firstLineChars="200"/>
        <w:rPr>
          <w:rFonts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eastAsia="zh-CN"/>
        </w:rPr>
        <w:t>深圳市福田区商务局</w:t>
      </w:r>
      <w:r>
        <w:rPr>
          <w:rFonts w:hint="eastAsia" w:ascii="仿宋_GB2312" w:hAnsi="仿宋_GB2312" w:eastAsia="仿宋_GB2312" w:cs="仿宋_GB2312"/>
          <w:color w:val="auto"/>
          <w:sz w:val="32"/>
          <w:szCs w:val="32"/>
          <w:highlight w:val="none"/>
          <w:u w:val="none"/>
        </w:rPr>
        <w:t>。</w:t>
      </w:r>
    </w:p>
    <w:p>
      <w:pPr>
        <w:keepNext w:val="0"/>
        <w:keepLines w:val="0"/>
        <w:widowControl/>
        <w:bidi w:val="0"/>
        <w:spacing w:before="0" w:after="0" w:line="240" w:lineRule="auto"/>
        <w:ind w:firstLine="640" w:firstLineChars="200"/>
        <w:jc w:val="left"/>
        <w:outlineLvl w:val="9"/>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（二）受理时间</w:t>
      </w:r>
    </w:p>
    <w:p>
      <w:pPr>
        <w:bidi w:val="0"/>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1.网络填报时间：202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24</w:t>
      </w:r>
      <w:r>
        <w:rPr>
          <w:rFonts w:hint="eastAsia" w:ascii="仿宋_GB2312" w:hAnsi="宋体" w:eastAsia="仿宋_GB2312" w:cs="宋体"/>
          <w:color w:val="auto"/>
          <w:kern w:val="0"/>
          <w:sz w:val="32"/>
          <w:szCs w:val="32"/>
          <w:highlight w:val="none"/>
          <w:lang w:val="en-US" w:eastAsia="zh-CN"/>
        </w:rPr>
        <w:t>日</w:t>
      </w:r>
      <w:r>
        <w:rPr>
          <w:rFonts w:hint="eastAsia" w:hAnsi="宋体" w:cs="宋体"/>
          <w:color w:val="auto"/>
          <w:kern w:val="0"/>
          <w:sz w:val="32"/>
          <w:szCs w:val="32"/>
          <w:highlight w:val="none"/>
          <w:lang w:val="en-US" w:eastAsia="zh-CN"/>
        </w:rPr>
        <w:t>。</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2.材料提交时间：2026年</w:t>
      </w:r>
      <w:r>
        <w:rPr>
          <w:rFonts w:hint="eastAsia" w:hAnsi="宋体" w:cs="宋体"/>
          <w:color w:val="auto"/>
          <w:kern w:val="0"/>
          <w:sz w:val="32"/>
          <w:szCs w:val="32"/>
          <w:highlight w:val="none"/>
          <w:lang w:val="en-US" w:eastAsia="zh-CN"/>
        </w:rPr>
        <w:t>6</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25</w:t>
      </w:r>
      <w:r>
        <w:rPr>
          <w:rFonts w:hint="eastAsia" w:ascii="仿宋_GB2312" w:hAnsi="宋体" w:eastAsia="仿宋_GB2312" w:cs="宋体"/>
          <w:color w:val="auto"/>
          <w:kern w:val="0"/>
          <w:sz w:val="32"/>
          <w:szCs w:val="32"/>
          <w:highlight w:val="none"/>
          <w:lang w:val="en-US" w:eastAsia="zh-CN"/>
        </w:rPr>
        <w:t>日-2026年</w:t>
      </w:r>
      <w:r>
        <w:rPr>
          <w:rFonts w:hint="eastAsia" w:hAnsi="宋体" w:cs="宋体"/>
          <w:color w:val="auto"/>
          <w:kern w:val="0"/>
          <w:sz w:val="32"/>
          <w:szCs w:val="32"/>
          <w:highlight w:val="none"/>
          <w:lang w:val="en-US" w:eastAsia="zh-CN"/>
        </w:rPr>
        <w:t>7</w:t>
      </w:r>
      <w:r>
        <w:rPr>
          <w:rFonts w:hint="eastAsia" w:ascii="仿宋_GB2312" w:hAnsi="宋体" w:eastAsia="仿宋_GB2312" w:cs="宋体"/>
          <w:color w:val="auto"/>
          <w:kern w:val="0"/>
          <w:sz w:val="32"/>
          <w:szCs w:val="32"/>
          <w:highlight w:val="none"/>
          <w:lang w:val="en-US" w:eastAsia="zh-CN"/>
        </w:rPr>
        <w:t>月</w:t>
      </w:r>
      <w:r>
        <w:rPr>
          <w:rFonts w:hint="eastAsia" w:hAnsi="宋体" w:cs="宋体"/>
          <w:color w:val="auto"/>
          <w:kern w:val="0"/>
          <w:sz w:val="32"/>
          <w:szCs w:val="32"/>
          <w:highlight w:val="none"/>
          <w:lang w:val="en-US" w:eastAsia="zh-CN"/>
        </w:rPr>
        <w:t>28</w:t>
      </w:r>
      <w:bookmarkStart w:id="40" w:name="_GoBack"/>
      <w:bookmarkEnd w:id="40"/>
      <w:r>
        <w:rPr>
          <w:rFonts w:hint="eastAsia" w:ascii="仿宋_GB2312" w:hAnsi="宋体" w:eastAsia="仿宋_GB2312" w:cs="宋体"/>
          <w:color w:val="auto"/>
          <w:kern w:val="0"/>
          <w:sz w:val="32"/>
          <w:szCs w:val="32"/>
          <w:highlight w:val="none"/>
          <w:lang w:val="en-US" w:eastAsia="zh-CN"/>
        </w:rPr>
        <w:t>日。</w:t>
      </w:r>
    </w:p>
    <w:p>
      <w:pPr>
        <w:bidi w:val="0"/>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lang w:val="en-US" w:eastAsia="zh-CN"/>
        </w:rPr>
        <w:t>申报单位在上述规定时间内填报、提交材料，逾期不予受理。</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（三）受理地点</w:t>
      </w:r>
    </w:p>
    <w:p>
      <w:pPr>
        <w:keepNext w:val="0"/>
        <w:keepLines w:val="0"/>
        <w:widowControl/>
        <w:suppressLineNumbers w:val="0"/>
        <w:jc w:val="left"/>
        <w:rPr>
          <w:rFonts w:hint="eastAsia" w:ascii="仿宋_GB2312" w:hAnsi="仿宋_GB2312" w:eastAsia="仿宋_GB2312" w:cs="仿宋_GB2312"/>
          <w:color w:val="auto"/>
          <w:sz w:val="32"/>
          <w:szCs w:val="32"/>
          <w:highlight w:val="none"/>
        </w:rPr>
      </w:pPr>
      <w:r>
        <w:rPr>
          <w:rFonts w:hint="eastAsia" w:cs="仿宋_GB2312"/>
          <w:color w:val="auto"/>
          <w:sz w:val="32"/>
          <w:szCs w:val="32"/>
          <w:highlight w:val="none"/>
          <w:lang w:eastAsia="zh-CN"/>
        </w:rPr>
        <w:t>线上受理：</w:t>
      </w:r>
      <w:r>
        <w:rPr>
          <w:rFonts w:hint="eastAsia"/>
          <w:color w:val="auto"/>
          <w:highlight w:val="none"/>
          <w:lang w:val="en-US" w:eastAsia="zh-CN"/>
        </w:rPr>
        <w:t>https://www.gdzwfw.gov.cn/（广东政务服务网）。</w:t>
      </w:r>
    </w:p>
    <w:p>
      <w:pPr>
        <w:bidi w:val="0"/>
        <w:spacing w:before="0" w:after="0" w:line="560" w:lineRule="exact"/>
        <w:ind w:left="645" w:firstLine="0" w:firstLineChars="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cs="仿宋_GB2312"/>
          <w:color w:val="auto"/>
          <w:sz w:val="32"/>
          <w:szCs w:val="32"/>
          <w:highlight w:val="none"/>
          <w:lang w:eastAsia="zh-CN"/>
        </w:rPr>
        <w:t>线下材料递交地址：深圳市福田区国际创新中心F座3楼（深南大道1006号）福田区政务服务中心综合窗口。办公电话：0755-82978001。办公时间：星期一至星期五:上午9:00-12:00,下午 14:00-17:45(法定节假日除外)</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spacing w:before="0" w:after="0" w:line="560" w:lineRule="exact"/>
        <w:ind w:left="645" w:firstLine="0" w:firstLineChars="0"/>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（四）咨询电话</w:t>
      </w:r>
    </w:p>
    <w:p>
      <w:pPr>
        <w:bidi w:val="0"/>
        <w:rPr>
          <w:rFonts w:hint="eastAsia" w:ascii="仿宋_GB2312" w:hAnsi="仿宋_GB2312" w:eastAsia="仿宋_GB2312" w:cs="仿宋_GB2312"/>
          <w:color w:val="auto"/>
          <w:sz w:val="32"/>
          <w:szCs w:val="32"/>
          <w:highlight w:val="none"/>
          <w:u w:val="none"/>
        </w:rPr>
      </w:pPr>
      <w:r>
        <w:rPr>
          <w:rFonts w:hint="eastAsia" w:cs="仿宋_GB2312"/>
          <w:color w:val="auto"/>
          <w:sz w:val="32"/>
          <w:szCs w:val="32"/>
          <w:highlight w:val="none"/>
          <w:u w:val="none"/>
          <w:lang w:val="en-US" w:eastAsia="zh-CN"/>
        </w:rPr>
        <w:t>0755-82918333-2030</w:t>
      </w:r>
      <w:r>
        <w:rPr>
          <w:rFonts w:hint="eastAsia" w:ascii="仿宋_GB2312" w:hAnsi="仿宋_GB2312" w:eastAsia="仿宋_GB2312" w:cs="仿宋_GB2312"/>
          <w:color w:val="auto"/>
          <w:sz w:val="32"/>
          <w:szCs w:val="32"/>
          <w:highlight w:val="none"/>
          <w:u w:val="none"/>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0" w:name="_Toc9722"/>
      <w:bookmarkStart w:id="21" w:name="_Toc1376"/>
      <w:r>
        <w:rPr>
          <w:rFonts w:hint="eastAsia" w:ascii="黑体" w:hAnsi="黑体" w:eastAsia="黑体" w:cs="仿宋"/>
          <w:color w:val="auto"/>
          <w:kern w:val="2"/>
          <w:sz w:val="32"/>
          <w:szCs w:val="22"/>
          <w:highlight w:val="none"/>
          <w:lang w:val="en-US" w:eastAsia="zh-CN" w:bidi="ar-SA"/>
        </w:rPr>
        <w:t>九、申请决定机关</w:t>
      </w:r>
      <w:bookmarkEnd w:id="20"/>
      <w:bookmarkEnd w:id="21"/>
    </w:p>
    <w:p>
      <w:pPr>
        <w:bidi w:val="0"/>
        <w:rPr>
          <w:rFonts w:hint="eastAsia" w:ascii="仿宋_GB2312" w:hAnsi="宋体" w:eastAsia="仿宋_GB2312" w:cs="宋体"/>
          <w:color w:val="auto"/>
          <w:kern w:val="0"/>
          <w:sz w:val="32"/>
          <w:szCs w:val="32"/>
          <w:highlight w:val="none"/>
          <w:lang w:val="en-US" w:eastAsia="zh-CN"/>
        </w:rPr>
      </w:pPr>
      <w:bookmarkStart w:id="22" w:name="_Toc2137"/>
      <w:bookmarkStart w:id="23" w:name="_Toc161850809"/>
      <w:bookmarkStart w:id="24" w:name="_Toc10305"/>
      <w:bookmarkStart w:id="25" w:name="_Toc125127183"/>
      <w:r>
        <w:rPr>
          <w:rFonts w:hint="eastAsia" w:hAnsi="宋体" w:cs="宋体"/>
          <w:color w:val="auto"/>
          <w:kern w:val="0"/>
          <w:sz w:val="32"/>
          <w:szCs w:val="32"/>
          <w:highlight w:val="none"/>
          <w:lang w:val="en-US" w:eastAsia="zh-CN"/>
        </w:rPr>
        <w:t>各区级商务主管部门</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6" w:name="_Toc16198"/>
      <w:bookmarkStart w:id="27" w:name="_Toc11274"/>
      <w:r>
        <w:rPr>
          <w:rFonts w:hint="eastAsia" w:ascii="黑体" w:hAnsi="黑体" w:eastAsia="黑体" w:cs="仿宋"/>
          <w:color w:val="auto"/>
          <w:kern w:val="2"/>
          <w:sz w:val="32"/>
          <w:szCs w:val="22"/>
          <w:highlight w:val="none"/>
          <w:lang w:val="en-US" w:eastAsia="zh-CN" w:bidi="ar-SA"/>
        </w:rPr>
        <w:t>十、办理流程</w:t>
      </w:r>
      <w:bookmarkEnd w:id="26"/>
      <w:bookmarkEnd w:id="27"/>
    </w:p>
    <w:p>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w:t>
      </w:r>
      <w:r>
        <w:rPr>
          <w:rFonts w:hint="eastAsia" w:ascii="仿宋_GB2312" w:hAnsi="仿宋_GB2312" w:eastAsia="仿宋_GB2312" w:cs="Times New Roman"/>
          <w:color w:val="000000" w:themeColor="text1"/>
          <w:sz w:val="32"/>
          <w:szCs w:val="32"/>
          <w:highlight w:val="none"/>
          <w:lang w:val="en-US" w:eastAsia="zh-CN" w:bidi="ar"/>
          <w14:textFill>
            <w14:solidFill>
              <w14:schemeClr w14:val="tx1"/>
            </w14:solidFill>
          </w14:textFill>
        </w:rPr>
        <w:t>申报单位向辖区政务服务中心收文窗口提交申请材料</w:t>
      </w:r>
      <w:r>
        <w:rPr>
          <w:rFonts w:hint="eastAsia" w:ascii="仿宋_GB2312" w:hAnsi="仿宋_GB2312" w:eastAsia="仿宋_GB2312" w:cs="Times New Roman"/>
          <w:color w:val="auto"/>
          <w:sz w:val="32"/>
          <w:szCs w:val="32"/>
          <w:highlight w:val="none"/>
          <w:lang w:val="en-US" w:eastAsia="zh-CN" w:bidi="ar"/>
        </w:rPr>
        <w:t>——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pPr>
        <w:bidi w:val="0"/>
        <w:rPr>
          <w:rFonts w:hint="eastAsia"/>
          <w:color w:val="auto"/>
          <w:highlight w:val="none"/>
          <w:u w:val="none"/>
        </w:rPr>
      </w:pPr>
      <w:r>
        <w:rPr>
          <w:rFonts w:hint="eastAsia" w:cs="仿宋_GB2312"/>
          <w:color w:val="000000" w:themeColor="text1"/>
          <w:sz w:val="32"/>
          <w:szCs w:val="32"/>
          <w:highlight w:val="none"/>
          <w:u w:val="none"/>
          <w:lang w:eastAsia="zh-CN"/>
          <w14:textFill>
            <w14:solidFill>
              <w14:schemeClr w14:val="tx1"/>
            </w14:solidFill>
          </w14:textFill>
        </w:rPr>
        <w:t>180个工作日，不含特别程序。</w:t>
      </w:r>
    </w:p>
    <w:p>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32254"/>
      <w:bookmarkStart w:id="31" w:name="_Toc29872"/>
      <w:r>
        <w:rPr>
          <w:rFonts w:hint="eastAsia" w:ascii="黑体" w:hAnsi="黑体" w:eastAsia="黑体" w:cs="仿宋"/>
          <w:color w:val="auto"/>
          <w:kern w:val="2"/>
          <w:sz w:val="32"/>
          <w:szCs w:val="22"/>
          <w:highlight w:val="none"/>
          <w:lang w:val="en-US" w:eastAsia="zh-CN" w:bidi="ar-SA"/>
        </w:rPr>
        <w:t>十二、证件及有效期</w:t>
      </w:r>
      <w:bookmarkEnd w:id="30"/>
      <w:bookmarkEnd w:id="31"/>
    </w:p>
    <w:p>
      <w:pPr>
        <w:bidi w:val="0"/>
        <w:rPr>
          <w:rFonts w:hint="eastAsia"/>
          <w:color w:val="auto"/>
          <w:highlight w:val="none"/>
        </w:rPr>
      </w:pPr>
      <w:r>
        <w:rPr>
          <w:rFonts w:hint="eastAsia"/>
          <w:color w:val="auto"/>
          <w:highlight w:val="none"/>
        </w:rPr>
        <w:t>证件：无</w:t>
      </w:r>
    </w:p>
    <w:p>
      <w:pPr>
        <w:bidi w:val="0"/>
        <w:rPr>
          <w:rFonts w:hint="eastAsia"/>
          <w:color w:val="auto"/>
          <w:highlight w:val="none"/>
        </w:rPr>
      </w:pPr>
      <w:r>
        <w:rPr>
          <w:rFonts w:hint="eastAsia"/>
          <w:color w:val="auto"/>
          <w:highlight w:val="none"/>
        </w:rPr>
        <w:t>有效期限：无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7239"/>
      <w:bookmarkStart w:id="33" w:name="_Toc19920"/>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pPr>
        <w:bidi w:val="0"/>
        <w:rPr>
          <w:rFonts w:hint="eastAsia"/>
          <w:color w:val="auto"/>
          <w:highlight w:val="none"/>
        </w:rPr>
      </w:pPr>
      <w:r>
        <w:rPr>
          <w:rFonts w:hint="eastAsia"/>
          <w:color w:val="auto"/>
          <w:highlight w:val="none"/>
        </w:rPr>
        <w:t>无</w:t>
      </w:r>
    </w:p>
    <w:p>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pPr>
        <w:bidi w:val="0"/>
        <w:rPr>
          <w:rFonts w:hint="eastAsia"/>
          <w:color w:val="auto"/>
          <w:highlight w:val="none"/>
        </w:rPr>
      </w:pPr>
      <w:r>
        <w:rPr>
          <w:rFonts w:hint="eastAsia"/>
          <w:color w:val="auto"/>
          <w:highlight w:val="none"/>
        </w:rPr>
        <w:t>无</w:t>
      </w:r>
      <w:bookmarkStart w:id="38" w:name="_Toc28762"/>
      <w:bookmarkStart w:id="39" w:name="_Toc20677"/>
    </w:p>
    <w:p>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auto"/>
          <w:highlight w:val="none"/>
          <w:lang w:eastAsia="zh-CN"/>
        </w:rPr>
        <w:t>（举报电话：</w:t>
      </w:r>
      <w:r>
        <w:rPr>
          <w:rFonts w:hint="eastAsia"/>
          <w:color w:val="auto"/>
          <w:highlight w:val="none"/>
          <w:lang w:val="en-US" w:eastAsia="zh-CN"/>
        </w:rPr>
        <w:t>0755-82918333-2030</w:t>
      </w:r>
      <w:r>
        <w:rPr>
          <w:rFonts w:hint="eastAsia"/>
          <w:color w:val="auto"/>
          <w:highlight w:val="none"/>
          <w:lang w:eastAsia="zh-CN"/>
        </w:rPr>
        <w:t>）</w:t>
      </w:r>
      <w:r>
        <w:rPr>
          <w:rFonts w:hint="eastAsia"/>
          <w:color w:val="auto"/>
          <w:highlight w:val="none"/>
          <w:lang w:val="en-US" w:eastAsia="zh-CN"/>
        </w:rPr>
        <w:t>。</w:t>
      </w:r>
    </w:p>
    <w:p>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pPr>
        <w:rPr>
          <w:rFonts w:ascii="仿宋_GB2312" w:hAnsi="仿宋_GB2312"/>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bookmarkEnd w:id="22"/>
      <w:bookmarkEnd w:id="23"/>
      <w:bookmarkEnd w:id="24"/>
      <w:bookmarkEnd w:id="25"/>
    </w:p>
    <w:sectPr>
      <w:footerReference r:id="rId5" w:type="default"/>
      <w:pgSz w:w="11906" w:h="16838"/>
      <w:pgMar w:top="1814" w:right="1474" w:bottom="1814" w:left="1474"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FangSong_GB2312">
    <w:panose1 w:val="02010609030101010101"/>
    <w:charset w:val="86"/>
    <w:family w:val="modern"/>
    <w:pitch w:val="default"/>
    <w:sig w:usb0="00000001" w:usb1="080E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FgAAAGRycy9QSwECFAAUAAAACACHTuJAs0lY7tAAAAAFAQAADwAAAAAAAAABACAA&#10;AAA4AAAAZHJzL2Rvd25yZXYueG1sUEsBAhQAFAAAAAgAh07iQF4aj184AgAAbwQAAA4AAAAAAAAA&#10;AQAgAAAANQEAAGRycy9lMm9Eb2MueG1sUEsFBgAAAAAGAAYAWQEAAN8FAAAAAA==&#10;">
              <v:fill on="f" focussize="0,0"/>
              <v:stroke on="f" weight="0.5pt"/>
              <v:imagedata o:title=""/>
              <o:lock v:ext="edit" aspectratio="f"/>
              <v:textbox inset="0mm,0mm,0mm,0mm" style="mso-fit-shape-to-text:t;">
                <w:txbxContent>
                  <w:p>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2803A46"/>
    <w:rsid w:val="02CB1CF7"/>
    <w:rsid w:val="02DA63DE"/>
    <w:rsid w:val="02E93786"/>
    <w:rsid w:val="032C6A46"/>
    <w:rsid w:val="03B55433"/>
    <w:rsid w:val="04706EA3"/>
    <w:rsid w:val="06E238A5"/>
    <w:rsid w:val="070F7027"/>
    <w:rsid w:val="08461CA3"/>
    <w:rsid w:val="0A2D6324"/>
    <w:rsid w:val="0A6C5760"/>
    <w:rsid w:val="0B35692F"/>
    <w:rsid w:val="0B4456D1"/>
    <w:rsid w:val="0B7A735E"/>
    <w:rsid w:val="0BAD1FAB"/>
    <w:rsid w:val="0BE1742C"/>
    <w:rsid w:val="0D1F0CED"/>
    <w:rsid w:val="0F95719B"/>
    <w:rsid w:val="0FE131A1"/>
    <w:rsid w:val="10BF0BFF"/>
    <w:rsid w:val="11A73770"/>
    <w:rsid w:val="124226AB"/>
    <w:rsid w:val="126D73E5"/>
    <w:rsid w:val="129C1988"/>
    <w:rsid w:val="13A40095"/>
    <w:rsid w:val="14053C83"/>
    <w:rsid w:val="15C958A9"/>
    <w:rsid w:val="160E6113"/>
    <w:rsid w:val="163D2AB4"/>
    <w:rsid w:val="172A2DF8"/>
    <w:rsid w:val="17B005EC"/>
    <w:rsid w:val="185533C0"/>
    <w:rsid w:val="187E0EC3"/>
    <w:rsid w:val="18AB1F57"/>
    <w:rsid w:val="190653E0"/>
    <w:rsid w:val="197B53D3"/>
    <w:rsid w:val="1C210334"/>
    <w:rsid w:val="1C964CCC"/>
    <w:rsid w:val="1CFC17D2"/>
    <w:rsid w:val="1DB92B7C"/>
    <w:rsid w:val="1F9F5103"/>
    <w:rsid w:val="205A510F"/>
    <w:rsid w:val="21127D99"/>
    <w:rsid w:val="22C22819"/>
    <w:rsid w:val="246A3FA3"/>
    <w:rsid w:val="26E72CF4"/>
    <w:rsid w:val="27BA67BE"/>
    <w:rsid w:val="2976170C"/>
    <w:rsid w:val="2A104310"/>
    <w:rsid w:val="2A1A1904"/>
    <w:rsid w:val="2A4B3E74"/>
    <w:rsid w:val="2BA068F1"/>
    <w:rsid w:val="2C2A1457"/>
    <w:rsid w:val="2C892F3F"/>
    <w:rsid w:val="2CAE0A32"/>
    <w:rsid w:val="2D800A24"/>
    <w:rsid w:val="2FFC0AFB"/>
    <w:rsid w:val="302C0287"/>
    <w:rsid w:val="31A95387"/>
    <w:rsid w:val="31B31F93"/>
    <w:rsid w:val="31D9567C"/>
    <w:rsid w:val="321653A8"/>
    <w:rsid w:val="329C19A3"/>
    <w:rsid w:val="32F52701"/>
    <w:rsid w:val="341A4C22"/>
    <w:rsid w:val="347B2CCE"/>
    <w:rsid w:val="352B3694"/>
    <w:rsid w:val="35D92A0D"/>
    <w:rsid w:val="363C0287"/>
    <w:rsid w:val="3654545B"/>
    <w:rsid w:val="36565190"/>
    <w:rsid w:val="366C2500"/>
    <w:rsid w:val="382C7B34"/>
    <w:rsid w:val="387303F9"/>
    <w:rsid w:val="3B0E3D0E"/>
    <w:rsid w:val="3BFC17F2"/>
    <w:rsid w:val="3CFD6976"/>
    <w:rsid w:val="3D5D42F6"/>
    <w:rsid w:val="3DB808BA"/>
    <w:rsid w:val="3DFD15A3"/>
    <w:rsid w:val="3F9E1169"/>
    <w:rsid w:val="407A2ECB"/>
    <w:rsid w:val="418D6C3A"/>
    <w:rsid w:val="423806ED"/>
    <w:rsid w:val="428230B1"/>
    <w:rsid w:val="437A5877"/>
    <w:rsid w:val="43BB3CEC"/>
    <w:rsid w:val="44A91A1A"/>
    <w:rsid w:val="44D052C5"/>
    <w:rsid w:val="46AE1F3D"/>
    <w:rsid w:val="473C23B2"/>
    <w:rsid w:val="47781E40"/>
    <w:rsid w:val="48541414"/>
    <w:rsid w:val="4900762E"/>
    <w:rsid w:val="49703160"/>
    <w:rsid w:val="4A6B0082"/>
    <w:rsid w:val="4AB56AE2"/>
    <w:rsid w:val="4B6E7935"/>
    <w:rsid w:val="4E7E74BD"/>
    <w:rsid w:val="4E805B64"/>
    <w:rsid w:val="4F2D6443"/>
    <w:rsid w:val="4FC2745B"/>
    <w:rsid w:val="509A0D5C"/>
    <w:rsid w:val="52252BFC"/>
    <w:rsid w:val="54D06548"/>
    <w:rsid w:val="54E753F5"/>
    <w:rsid w:val="55BFD96E"/>
    <w:rsid w:val="563F7F48"/>
    <w:rsid w:val="5779221D"/>
    <w:rsid w:val="57A7E030"/>
    <w:rsid w:val="57FC0E35"/>
    <w:rsid w:val="589B5008"/>
    <w:rsid w:val="58A326D8"/>
    <w:rsid w:val="59466376"/>
    <w:rsid w:val="5BB9B74C"/>
    <w:rsid w:val="5BF51433"/>
    <w:rsid w:val="5D90703C"/>
    <w:rsid w:val="5DFFC1B9"/>
    <w:rsid w:val="5FFF8D5C"/>
    <w:rsid w:val="623151CA"/>
    <w:rsid w:val="64DB7056"/>
    <w:rsid w:val="66982F4F"/>
    <w:rsid w:val="6888651F"/>
    <w:rsid w:val="6894168D"/>
    <w:rsid w:val="69B52798"/>
    <w:rsid w:val="6A7451AD"/>
    <w:rsid w:val="6AC14C27"/>
    <w:rsid w:val="6BC41409"/>
    <w:rsid w:val="6C030E4B"/>
    <w:rsid w:val="6C5C62E3"/>
    <w:rsid w:val="6CAB30BC"/>
    <w:rsid w:val="6CED51AD"/>
    <w:rsid w:val="6FCC3E6E"/>
    <w:rsid w:val="6FEFB7EB"/>
    <w:rsid w:val="70471D6E"/>
    <w:rsid w:val="71A60C9D"/>
    <w:rsid w:val="71D6011D"/>
    <w:rsid w:val="72694444"/>
    <w:rsid w:val="73A0155B"/>
    <w:rsid w:val="73B5540C"/>
    <w:rsid w:val="74F90479"/>
    <w:rsid w:val="756B6F94"/>
    <w:rsid w:val="76030A1B"/>
    <w:rsid w:val="7625601A"/>
    <w:rsid w:val="77BF249E"/>
    <w:rsid w:val="78D33F7B"/>
    <w:rsid w:val="78DF4D2C"/>
    <w:rsid w:val="798E36E0"/>
    <w:rsid w:val="7C1A6A34"/>
    <w:rsid w:val="7CBE4AD3"/>
    <w:rsid w:val="7CFD4A23"/>
    <w:rsid w:val="7D1C7CE5"/>
    <w:rsid w:val="7EEFE74E"/>
    <w:rsid w:val="7F363046"/>
    <w:rsid w:val="7F7D2039"/>
    <w:rsid w:val="7F9C6958"/>
    <w:rsid w:val="8EFFBC18"/>
    <w:rsid w:val="9EFB2AD8"/>
    <w:rsid w:val="AE7BEAE2"/>
    <w:rsid w:val="CBB6D5C4"/>
    <w:rsid w:val="D7EFA507"/>
    <w:rsid w:val="DC6D473A"/>
    <w:rsid w:val="DE5ABB2E"/>
    <w:rsid w:val="DF7F3B48"/>
    <w:rsid w:val="DFC7C62E"/>
    <w:rsid w:val="EEFE281E"/>
    <w:rsid w:val="F2D6B3FD"/>
    <w:rsid w:val="F5FD10E8"/>
    <w:rsid w:val="F6BF7DDC"/>
    <w:rsid w:val="F7F57DE0"/>
    <w:rsid w:val="F87FE5FB"/>
    <w:rsid w:val="FBEB1F76"/>
    <w:rsid w:val="FDBDFE0B"/>
    <w:rsid w:val="FDF4B3B5"/>
    <w:rsid w:val="FE977ABD"/>
    <w:rsid w:val="FEE8A722"/>
    <w:rsid w:val="FFB5DA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paragraph" w:customStyle="1" w:styleId="35">
    <w:name w:val="文件正文"/>
    <w:basedOn w:val="10"/>
    <w:qFormat/>
    <w:uiPriority w:val="2"/>
    <w:pPr>
      <w:spacing w:line="560" w:lineRule="exact"/>
      <w:ind w:firstLine="622" w:firstLineChars="200"/>
    </w:pPr>
    <w:rPr>
      <w:rFonts w:eastAsia="仿宋_GB2312"/>
      <w:sz w:val="32"/>
    </w:rPr>
  </w:style>
  <w:style w:type="paragraph" w:customStyle="1" w:styleId="36">
    <w:name w:val="_Style 1"/>
    <w:basedOn w:val="1"/>
    <w:qFormat/>
    <w:uiPriority w:val="0"/>
    <w:pPr>
      <w:spacing w:before="0" w:beforeAutospacing="0" w:after="0"/>
      <w:ind w:firstLine="200" w:firstLineChars="200"/>
    </w:pPr>
    <w:rPr>
      <w:rFonts w:ascii="宋体" w:hAnsi="宋体" w:eastAsia="FangSong_GB2312" w:cs="Times New Roman"/>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3791</Words>
  <Characters>3914</Characters>
  <Lines>0</Lines>
  <Paragraphs>0</Paragraphs>
  <TotalTime>0</TotalTime>
  <ScaleCrop>false</ScaleCrop>
  <LinksUpToDate>false</LinksUpToDate>
  <CharactersWithSpaces>3919</CharactersWithSpaces>
  <Application>WPS Office_11.8.2.12275_F1E327BC-269C-435d-A152-05C5408002CA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2025-07-09T18:47:00Z</dcterms:created>
  <dc:creator>黄佩琳</dc:creator>
  <cp:lastModifiedBy>古晓珊</cp:lastModifiedBy>
  <cp:lastPrinted>2026-05-28T10:28:00Z</cp:lastPrinted>
  <dcterms:modified xsi:type="dcterms:W3CDTF">2026-06-23T11:12:16Z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2052-11.8.2.12275</vt:lpwstr>
  </property>
  <property fmtid="{D5CDD505-2E9C-101B-9397-08002B2CF9AE}" pid="3" name="ICV">
    <vt:lpwstr>7BCAF73138F2450150BFB36937DC28AE</vt:lpwstr>
  </property>
  <property fmtid="{D5CDD505-2E9C-101B-9397-08002B2CF9AE}" pid="4" name="KSOTemplateDocerSaveRecord">
    <vt:lpwstr>eyJoZGlkIjoiY2NiNzc0ZWE4MzBjY2JmMGYyMmY4NjkxNmNhZGJlNDUiLCJ1c2VySWQiOiI4NzUyMjIyNTQifQ==</vt:lpwstr>
  </property>
</Properties>
</file>