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125127182"/>
      <w:bookmarkStart w:id="2" w:name="_Toc32562"/>
      <w:bookmarkStart w:id="3" w:name="_Toc13216"/>
      <w:r>
        <w:rPr>
          <w:rFonts w:hint="eastAsia" w:ascii="黑体" w:hAnsi="黑体" w:eastAsia="黑体" w:cs="黑体"/>
          <w:color w:val="auto"/>
          <w:sz w:val="32"/>
          <w:szCs w:val="32"/>
          <w:highlight w:val="none"/>
          <w:lang w:val="en-US" w:eastAsia="zh-CN"/>
        </w:rPr>
        <w:t>附件7</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深圳市2026年中央资金消费新业态新模式新场景试点（支持创新多元化服务消费场景—打造中医药入境消费新增长点资助项目）申报指南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支持培育中医药入境消费等服务消费新增长点，</w:t>
      </w:r>
      <w:r>
        <w:rPr>
          <w:rStyle w:val="19"/>
          <w:rFonts w:hint="eastAsia" w:ascii="仿宋_GB2312" w:hAnsi="仿宋_GB2312" w:cs="仿宋_GB2312"/>
          <w:color w:val="auto"/>
          <w:sz w:val="32"/>
          <w:szCs w:val="32"/>
          <w:highlight w:val="none"/>
          <w:lang w:val="en-US" w:eastAsia="zh-CN"/>
        </w:rPr>
        <w:t>支持发展中医药旅游线路开发、中医药康养服务、中医药食养药膳服务等消费场景</w:t>
      </w:r>
      <w:r>
        <w:rPr>
          <w:rFonts w:hint="eastAsia"/>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1.申报单位具备相关合法经营资质，拥有固定经营场所（面积≥2000㎡），且具备国际化服务能力；</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2.申报项目为中医药旅游线路开发、中医药康养服务、中医药食养药膳服务等重点消费场景。</w:t>
      </w:r>
    </w:p>
    <w:p>
      <w:pPr>
        <w:bidi w:val="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不包括医疗就诊部分固定支出，不包括人员工资、药品采购、基础建设、日常运营费用及不符合规定的其他支出。</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bidi w:val="0"/>
        <w:rPr>
          <w:rStyle w:val="19"/>
          <w:rFonts w:hint="eastAsia" w:ascii="仿宋_GB2312" w:hAnsi="仿宋" w:eastAsia="仿宋_GB2312" w:cs="宋体"/>
          <w:bCs/>
          <w:color w:val="auto"/>
          <w:kern w:val="36"/>
          <w:sz w:val="32"/>
          <w:szCs w:val="3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val="0"/>
        <w:numPr>
          <w:ilvl w:val="-1"/>
          <w:numId w:val="0"/>
        </w:numPr>
        <w:bidi w:val="0"/>
        <w:spacing w:before="0" w:beforeLines="-2147483648" w:beforeAutospacing="0" w:after="0" w:afterLines="-2147483648" w:afterAutospacing="0" w:line="560" w:lineRule="exact"/>
        <w:ind w:left="0" w:leftChars="0" w:firstLine="640" w:firstLineChars="200"/>
        <w:jc w:val="left"/>
        <w:outlineLvl w:val="9"/>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eastAsia="黑体" w:cs="Times New Roman"/>
          <w:b w:val="0"/>
          <w:bCs/>
          <w:color w:val="auto"/>
          <w:kern w:val="36"/>
          <w:sz w:val="32"/>
          <w:szCs w:val="48"/>
          <w:highlight w:val="none"/>
          <w:lang w:val="en-US" w:eastAsia="zh-CN" w:bidi="ar-SA"/>
        </w:rPr>
        <w:t>五、</w:t>
      </w:r>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支持打造中医药入境消费等服务消费新增长点，按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打造中医药入境消费新增长点项目，已完成或阶段性完成部分相关投入，不包含各级财政投资部分</w:t>
      </w:r>
      <w:r>
        <w:rPr>
          <w:rFonts w:hint="eastAsia"/>
          <w:color w:val="auto"/>
          <w:highlight w:val="none"/>
          <w:lang w:val="en-US" w:eastAsia="zh-CN"/>
        </w:rPr>
        <w:t>及日常诊疗服务相关投入</w:t>
      </w:r>
      <w:r>
        <w:rPr>
          <w:rFonts w:hint="eastAsia"/>
          <w:color w:val="000000" w:themeColor="text1"/>
          <w:highlight w:val="none"/>
          <w:lang w:val="en-US" w:eastAsia="zh-CN"/>
          <w14:textFill>
            <w14:solidFill>
              <w14:schemeClr w14:val="tx1"/>
            </w14:solidFill>
          </w14:textFill>
        </w:rPr>
        <w:t>，以及第四点第（二）条专项条件中明确不予支持部分。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专项条件</w:t>
      </w:r>
      <w:r>
        <w:rPr>
          <w:rFonts w:hint="default"/>
          <w:color w:val="auto"/>
          <w:highlight w:val="none"/>
          <w:lang w:val="en-US" w:eastAsia="zh-CN"/>
        </w:rPr>
        <w:t>佐证材料</w:t>
      </w:r>
      <w:r>
        <w:rPr>
          <w:rFonts w:hint="eastAsia"/>
          <w:color w:val="auto"/>
          <w:highlight w:val="none"/>
          <w:lang w:val="en-US" w:eastAsia="zh-CN"/>
        </w:rPr>
        <w:t>：</w:t>
      </w:r>
    </w:p>
    <w:tbl>
      <w:tblPr>
        <w:tblStyle w:val="18"/>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9"/>
        <w:gridCol w:w="4398"/>
        <w:gridCol w:w="3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维度</w:t>
            </w:r>
          </w:p>
        </w:tc>
        <w:tc>
          <w:tcPr>
            <w:tcW w:w="2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default"/>
                <w:color w:val="auto"/>
                <w:sz w:val="28"/>
                <w:szCs w:val="28"/>
                <w:highlight w:val="none"/>
                <w:lang w:val="en-US" w:eastAsia="zh-CN"/>
              </w:rPr>
              <w:t>1.实体消费空间</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具有合法的中医药服务或相关经营资质，有固定的线下经营场所</w:t>
            </w:r>
            <w:r>
              <w:rPr>
                <w:rFonts w:hint="eastAsia"/>
                <w:color w:val="auto"/>
                <w:sz w:val="28"/>
                <w:szCs w:val="28"/>
                <w:highlight w:val="none"/>
                <w:lang w:val="en-US" w:eastAsia="zh-CN"/>
              </w:rPr>
              <w:t>，</w:t>
            </w:r>
            <w:r>
              <w:rPr>
                <w:rFonts w:hint="default"/>
                <w:color w:val="auto"/>
                <w:sz w:val="28"/>
                <w:szCs w:val="28"/>
                <w:highlight w:val="none"/>
                <w:lang w:val="en-US" w:eastAsia="zh-CN"/>
              </w:rPr>
              <w:t>项目总面积</w:t>
            </w:r>
            <w:r>
              <w:rPr>
                <w:rFonts w:hint="eastAsia"/>
                <w:color w:val="auto"/>
                <w:sz w:val="28"/>
                <w:szCs w:val="28"/>
                <w:highlight w:val="none"/>
                <w:lang w:val="en-US" w:eastAsia="zh-CN"/>
              </w:rPr>
              <w:t>≥2000㎡</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医疗机构执业许可证（如涉及诊疗）等资质文件，场地租赁合同/产权证明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2</w:t>
            </w:r>
            <w:r>
              <w:rPr>
                <w:rFonts w:hint="default"/>
                <w:color w:val="auto"/>
                <w:sz w:val="28"/>
                <w:szCs w:val="28"/>
                <w:highlight w:val="none"/>
                <w:lang w:val="en-US" w:eastAsia="zh-CN"/>
              </w:rPr>
              <w:t>.</w:t>
            </w:r>
            <w:r>
              <w:rPr>
                <w:rFonts w:hint="eastAsia"/>
                <w:color w:val="auto"/>
                <w:sz w:val="28"/>
                <w:szCs w:val="28"/>
                <w:highlight w:val="none"/>
                <w:lang w:val="en-US" w:eastAsia="zh-CN"/>
              </w:rPr>
              <w:t>服务能力</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具备国际化服务能力</w:t>
            </w:r>
            <w:r>
              <w:rPr>
                <w:rFonts w:hint="eastAsia"/>
                <w:color w:val="auto"/>
                <w:sz w:val="28"/>
                <w:szCs w:val="28"/>
                <w:highlight w:val="none"/>
                <w:lang w:val="en-US" w:eastAsia="zh-CN"/>
              </w:rPr>
              <w:t>（如拥有双语服务人员、双语服务手册、双语标识等）</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eastAsia"/>
                <w:color w:val="auto"/>
                <w:sz w:val="28"/>
                <w:szCs w:val="28"/>
                <w:highlight w:val="none"/>
                <w:lang w:val="en-US" w:eastAsia="zh-CN"/>
              </w:rPr>
              <w:t>劳务合同、手册文件、照片等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3</w:t>
            </w:r>
            <w:r>
              <w:rPr>
                <w:rFonts w:hint="default"/>
                <w:color w:val="auto"/>
                <w:sz w:val="28"/>
                <w:szCs w:val="28"/>
                <w:highlight w:val="none"/>
                <w:lang w:val="en-US" w:eastAsia="zh-CN"/>
              </w:rPr>
              <w:t>.业态融合内容</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中医药旅游线路开发、中医药康养服务、中医药食养药膳服务等重点消费场景</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产品手册/服务套餐清单、活动方案、合作协议</w:t>
            </w:r>
            <w:r>
              <w:rPr>
                <w:rFonts w:hint="eastAsia"/>
                <w:color w:val="auto"/>
                <w:sz w:val="28"/>
                <w:szCs w:val="28"/>
                <w:highlight w:val="none"/>
                <w:lang w:val="en-US" w:eastAsia="zh-CN"/>
              </w:rPr>
              <w:t>等</w:t>
            </w:r>
          </w:p>
        </w:tc>
      </w:tr>
    </w:tbl>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rPr>
          <w:rFonts w:hint="eastAsia" w:ascii="仿宋_GB2312" w:hAnsi="宋体" w:eastAsia="仿宋_GB2312" w:cs="宋体"/>
          <w:color w:val="auto"/>
          <w:kern w:val="0"/>
          <w:sz w:val="32"/>
          <w:szCs w:val="32"/>
          <w:highlight w:val="none"/>
          <w:u w:val="none"/>
          <w:lang w:val="en-US" w:eastAsia="zh-CN"/>
        </w:rPr>
      </w:pPr>
      <w:r>
        <w:rPr>
          <w:rFonts w:hint="eastAsia" w:cs="仿宋_GB2312"/>
          <w:color w:val="auto"/>
          <w:sz w:val="32"/>
          <w:szCs w:val="32"/>
          <w:highlight w:val="none"/>
          <w:u w:val="none"/>
          <w:lang w:eastAsia="zh-CN"/>
        </w:rPr>
        <w:t>深圳市福田区商务局</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0755-82918333-2030</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0305"/>
      <w:bookmarkStart w:id="24" w:name="_Toc125127183"/>
      <w:bookmarkStart w:id="25" w:name="_Toc161850809"/>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0755-82918333-2030</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若项目服务资质被吊销或出现重大医疗纠纷，需立即退回资助资金并终止支持。</w:t>
      </w:r>
    </w:p>
    <w:p>
      <w:pPr>
        <w:bidi w:val="0"/>
        <w:rPr>
          <w:rFonts w:hint="eastAsia" w:eastAsia="仿宋_GB2312"/>
          <w:color w:val="auto"/>
          <w:highlight w:val="none"/>
          <w:lang w:eastAsia="zh-CN"/>
        </w:rPr>
      </w:pPr>
    </w:p>
    <w:p>
      <w:pPr>
        <w:bidi w:val="0"/>
        <w:rPr>
          <w:rFonts w:hint="eastAsia"/>
          <w:color w:val="auto"/>
          <w:highlight w:val="none"/>
        </w:rPr>
      </w:pPr>
    </w:p>
    <w:bookmarkEnd w:id="22"/>
    <w:bookmarkEnd w:id="23"/>
    <w:bookmarkEnd w:id="24"/>
    <w:bookmarkEnd w:id="25"/>
    <w:p>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627A1C"/>
    <w:rsid w:val="02803A46"/>
    <w:rsid w:val="02CB1CF7"/>
    <w:rsid w:val="02DA63DE"/>
    <w:rsid w:val="02E93786"/>
    <w:rsid w:val="032C6A46"/>
    <w:rsid w:val="03B55433"/>
    <w:rsid w:val="06426774"/>
    <w:rsid w:val="070F7027"/>
    <w:rsid w:val="082C1BA1"/>
    <w:rsid w:val="08461CA3"/>
    <w:rsid w:val="099B1C43"/>
    <w:rsid w:val="0A2D6324"/>
    <w:rsid w:val="0A6C5760"/>
    <w:rsid w:val="0B35692F"/>
    <w:rsid w:val="0B4456D1"/>
    <w:rsid w:val="0BAD1FAB"/>
    <w:rsid w:val="0BE1742C"/>
    <w:rsid w:val="0D1F0CED"/>
    <w:rsid w:val="0F605C7A"/>
    <w:rsid w:val="0F95719B"/>
    <w:rsid w:val="0FE131A1"/>
    <w:rsid w:val="10BF0BFF"/>
    <w:rsid w:val="11A73770"/>
    <w:rsid w:val="11F75FF4"/>
    <w:rsid w:val="124226AB"/>
    <w:rsid w:val="126D73E5"/>
    <w:rsid w:val="12B144B1"/>
    <w:rsid w:val="13404115"/>
    <w:rsid w:val="13A40095"/>
    <w:rsid w:val="14053C83"/>
    <w:rsid w:val="15C958A9"/>
    <w:rsid w:val="163D2AB4"/>
    <w:rsid w:val="172A2DF8"/>
    <w:rsid w:val="17391889"/>
    <w:rsid w:val="17645F1C"/>
    <w:rsid w:val="176D401C"/>
    <w:rsid w:val="17B005EC"/>
    <w:rsid w:val="183C74C7"/>
    <w:rsid w:val="185533C0"/>
    <w:rsid w:val="187E0EC3"/>
    <w:rsid w:val="18AB1F57"/>
    <w:rsid w:val="190653E0"/>
    <w:rsid w:val="197B53D3"/>
    <w:rsid w:val="19B65CFF"/>
    <w:rsid w:val="1B137764"/>
    <w:rsid w:val="1C210334"/>
    <w:rsid w:val="1C964CCC"/>
    <w:rsid w:val="1CFC17D2"/>
    <w:rsid w:val="1EBE0883"/>
    <w:rsid w:val="205A510F"/>
    <w:rsid w:val="21127D99"/>
    <w:rsid w:val="21A5207B"/>
    <w:rsid w:val="22C22819"/>
    <w:rsid w:val="22E8050C"/>
    <w:rsid w:val="24004A92"/>
    <w:rsid w:val="246A3FA3"/>
    <w:rsid w:val="25BF43FD"/>
    <w:rsid w:val="26E72CF4"/>
    <w:rsid w:val="2976170C"/>
    <w:rsid w:val="2A104310"/>
    <w:rsid w:val="2A1A1904"/>
    <w:rsid w:val="2A4B3E74"/>
    <w:rsid w:val="2AE65214"/>
    <w:rsid w:val="2B3E8AD3"/>
    <w:rsid w:val="2BA068F1"/>
    <w:rsid w:val="2C2A1457"/>
    <w:rsid w:val="2CAE0A32"/>
    <w:rsid w:val="2D65712B"/>
    <w:rsid w:val="2EEE88B7"/>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82C7B34"/>
    <w:rsid w:val="387303F9"/>
    <w:rsid w:val="3B0E3D0E"/>
    <w:rsid w:val="3B2F70A2"/>
    <w:rsid w:val="3BFC17F2"/>
    <w:rsid w:val="3C3FDDBF"/>
    <w:rsid w:val="3CFD6976"/>
    <w:rsid w:val="3D5D42F6"/>
    <w:rsid w:val="3D68552C"/>
    <w:rsid w:val="3DB808BA"/>
    <w:rsid w:val="407A2ECB"/>
    <w:rsid w:val="418D6C3A"/>
    <w:rsid w:val="423806ED"/>
    <w:rsid w:val="428230B1"/>
    <w:rsid w:val="437A5877"/>
    <w:rsid w:val="43BB3CEC"/>
    <w:rsid w:val="44A91A1A"/>
    <w:rsid w:val="44D052C5"/>
    <w:rsid w:val="46AE1F3D"/>
    <w:rsid w:val="473C23B2"/>
    <w:rsid w:val="474450E0"/>
    <w:rsid w:val="475B3A97"/>
    <w:rsid w:val="47781E40"/>
    <w:rsid w:val="48541414"/>
    <w:rsid w:val="486936D2"/>
    <w:rsid w:val="48E05859"/>
    <w:rsid w:val="4900762E"/>
    <w:rsid w:val="4A6B0082"/>
    <w:rsid w:val="4AB56AE2"/>
    <w:rsid w:val="4B0038EE"/>
    <w:rsid w:val="4B6E7935"/>
    <w:rsid w:val="4BE372DC"/>
    <w:rsid w:val="4C7B0D4E"/>
    <w:rsid w:val="4C7DD7DC"/>
    <w:rsid w:val="4DDB2728"/>
    <w:rsid w:val="4DF787A7"/>
    <w:rsid w:val="4E7E74BD"/>
    <w:rsid w:val="4E805B64"/>
    <w:rsid w:val="4FC2745B"/>
    <w:rsid w:val="509A0D5C"/>
    <w:rsid w:val="52252BFC"/>
    <w:rsid w:val="54D06548"/>
    <w:rsid w:val="54E753F5"/>
    <w:rsid w:val="563F7F48"/>
    <w:rsid w:val="56F7427F"/>
    <w:rsid w:val="5779221D"/>
    <w:rsid w:val="589B5008"/>
    <w:rsid w:val="58A326D8"/>
    <w:rsid w:val="59413C36"/>
    <w:rsid w:val="59466376"/>
    <w:rsid w:val="59F033A8"/>
    <w:rsid w:val="5BF51433"/>
    <w:rsid w:val="5BFEFAA9"/>
    <w:rsid w:val="5E992A9C"/>
    <w:rsid w:val="5EEFFC80"/>
    <w:rsid w:val="5F28482B"/>
    <w:rsid w:val="5FFF8D5C"/>
    <w:rsid w:val="60C802BC"/>
    <w:rsid w:val="623151CA"/>
    <w:rsid w:val="64312FEF"/>
    <w:rsid w:val="64DB7056"/>
    <w:rsid w:val="66982F4F"/>
    <w:rsid w:val="66F04EFF"/>
    <w:rsid w:val="6780529D"/>
    <w:rsid w:val="6888651F"/>
    <w:rsid w:val="6894168D"/>
    <w:rsid w:val="69B52798"/>
    <w:rsid w:val="6A7451AD"/>
    <w:rsid w:val="6AC14C27"/>
    <w:rsid w:val="6B180981"/>
    <w:rsid w:val="6BC41409"/>
    <w:rsid w:val="6C030E4B"/>
    <w:rsid w:val="6C5C62E3"/>
    <w:rsid w:val="6CAB30BC"/>
    <w:rsid w:val="6CED51AD"/>
    <w:rsid w:val="6DE96D78"/>
    <w:rsid w:val="6DEC85AE"/>
    <w:rsid w:val="6FCC3E6E"/>
    <w:rsid w:val="6FEF791D"/>
    <w:rsid w:val="6FEFB7EB"/>
    <w:rsid w:val="701C78E1"/>
    <w:rsid w:val="71D6011D"/>
    <w:rsid w:val="71E7B62A"/>
    <w:rsid w:val="72694444"/>
    <w:rsid w:val="72AF14FA"/>
    <w:rsid w:val="73A0155B"/>
    <w:rsid w:val="74F90479"/>
    <w:rsid w:val="75FD716A"/>
    <w:rsid w:val="7625601A"/>
    <w:rsid w:val="77BF249E"/>
    <w:rsid w:val="77DE7E15"/>
    <w:rsid w:val="78D33F7B"/>
    <w:rsid w:val="798E36E0"/>
    <w:rsid w:val="7995233F"/>
    <w:rsid w:val="79B756FB"/>
    <w:rsid w:val="79F8EE65"/>
    <w:rsid w:val="7BA7127F"/>
    <w:rsid w:val="7BFFEAC2"/>
    <w:rsid w:val="7C1A6A34"/>
    <w:rsid w:val="7CBE4AD3"/>
    <w:rsid w:val="7D1C7CE5"/>
    <w:rsid w:val="7D9DAF96"/>
    <w:rsid w:val="7DFEDB60"/>
    <w:rsid w:val="7EFF7B60"/>
    <w:rsid w:val="7F363046"/>
    <w:rsid w:val="7F5907AD"/>
    <w:rsid w:val="7FDF8B75"/>
    <w:rsid w:val="7FEF9ED4"/>
    <w:rsid w:val="7FFF9374"/>
    <w:rsid w:val="8EFFBC18"/>
    <w:rsid w:val="96E3AEFB"/>
    <w:rsid w:val="9F7FB3C1"/>
    <w:rsid w:val="A6F7FB93"/>
    <w:rsid w:val="B5D7A918"/>
    <w:rsid w:val="B7FD6DEF"/>
    <w:rsid w:val="BD737366"/>
    <w:rsid w:val="BFEA2FCE"/>
    <w:rsid w:val="CAD9C8C3"/>
    <w:rsid w:val="CFCFBB90"/>
    <w:rsid w:val="D5BAC5CF"/>
    <w:rsid w:val="D6EF5D56"/>
    <w:rsid w:val="D9D2F7FD"/>
    <w:rsid w:val="DFCF6A92"/>
    <w:rsid w:val="DFFF2255"/>
    <w:rsid w:val="DFFF61E3"/>
    <w:rsid w:val="EF7F522E"/>
    <w:rsid w:val="EFABB1B3"/>
    <w:rsid w:val="EFF77BA1"/>
    <w:rsid w:val="F46D532E"/>
    <w:rsid w:val="FDE87A96"/>
    <w:rsid w:val="FF1A0A57"/>
    <w:rsid w:val="FF6BA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4836</Words>
  <Characters>4990</Characters>
  <Lines>0</Lines>
  <Paragraphs>0</Paragraphs>
  <TotalTime>1</TotalTime>
  <ScaleCrop>false</ScaleCrop>
  <LinksUpToDate>false</LinksUpToDate>
  <CharactersWithSpaces>4996</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2025-07-09T18:47:00Z</dcterms:created>
  <dc:creator>黄佩琳</dc:creator>
  <cp:lastModifiedBy>古晓珊</cp:lastModifiedBy>
  <cp:lastPrinted>2026-05-28T10:28:00Z</cp:lastPrinted>
  <dcterms:modified xsi:type="dcterms:W3CDTF">2026-06-23T11:12:42Z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B6770887BB9B4A20983323186E0BC1E7_13</vt:lpwstr>
  </property>
  <property fmtid="{D5CDD505-2E9C-101B-9397-08002B2CF9AE}" pid="4" name="KSOTemplateDocerSaveRecord">
    <vt:lpwstr>eyJoZGlkIjoiY2NiNzc0ZWE4MzBjY2JmMGYyMmY4NjkxNmNhZGJlNDUiLCJ1c2VySWQiOiI4NzUyMjIyNTQifQ==</vt:lpwstr>
  </property>
</Properties>
</file>