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DDA178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61AC2055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6E06B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1861F18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00E6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Style w:val="36"/>
                <w:rFonts w:hint="eastAsia"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复杂交通场景三维微波雷达计量测试技术</w:t>
            </w:r>
          </w:p>
          <w:p w14:paraId="7F2E2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Style w:val="36"/>
                <w:rFonts w:hint="eastAsia"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及标准装置研制</w:t>
            </w:r>
          </w:p>
        </w:tc>
      </w:tr>
      <w:tr w14:paraId="1D71E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3F8FE150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32C7B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Style w:val="36"/>
                <w:rFonts w:hint="eastAsia" w:eastAsia="仿宋_GB2312"/>
                <w:b w:val="0"/>
                <w:color w:val="auto"/>
                <w:sz w:val="28"/>
                <w:lang w:val="en-US" w:eastAsia="zh-CN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  <w:lang w:val="en-US" w:eastAsia="zh-CN"/>
              </w:rPr>
              <w:t>二等奖</w:t>
            </w:r>
          </w:p>
        </w:tc>
      </w:tr>
      <w:tr w14:paraId="7C785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8D1F68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798629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4F9A42C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主要知识产权和标准规范目录、代表性论文专著目录：</w:t>
            </w:r>
          </w:p>
          <w:p w14:paraId="5554FF00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 国际标准，</w:t>
            </w:r>
            <w:r>
              <w:rPr>
                <w:rFonts w:eastAsia="仿宋_GB2312"/>
                <w:bCs/>
                <w:sz w:val="24"/>
                <w:szCs w:val="24"/>
              </w:rPr>
              <w:t>IEEE Std 2450-2019 - IEEE Standard for the Performance of Down-the-Road Radar Used in Traffic Speed Measurements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；</w:t>
            </w:r>
          </w:p>
          <w:p w14:paraId="2226F6ED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2. 发明专利，电子栅栏及压电触发辅助的测速雷达车辆判别装置及方法（CN110930730B）；</w:t>
            </w:r>
          </w:p>
          <w:p w14:paraId="525469C6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 xml:space="preserve">3. </w:t>
            </w:r>
            <w:r>
              <w:rPr>
                <w:rFonts w:hint="eastAsia" w:eastAsia="仿宋_GB2312"/>
                <w:bCs/>
                <w:sz w:val="24"/>
                <w:szCs w:val="24"/>
              </w:rPr>
              <w:t>发明专利，一种现场测速标准装置（CN109946483B）；</w:t>
            </w:r>
          </w:p>
          <w:p w14:paraId="2386925C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4. 发明专利，一种车路协同场景测试评价方法及系统（CN120339678B）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；</w:t>
            </w:r>
          </w:p>
          <w:p w14:paraId="56421428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5. 发明专利，一种雷达数据的目标轨迹确定方法及装置（CN111896941B）；</w:t>
            </w:r>
          </w:p>
          <w:p w14:paraId="6AC30A2B"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6. 发明专利，一种基于二元多项式拟合的公路匝道测速误差补偿方法（CN116466340B）；</w:t>
            </w:r>
          </w:p>
          <w:p w14:paraId="220F1602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 xml:space="preserve">7. </w:t>
            </w:r>
            <w:r>
              <w:rPr>
                <w:rFonts w:hint="eastAsia" w:eastAsia="仿宋_GB2312"/>
                <w:bCs/>
                <w:sz w:val="24"/>
                <w:szCs w:val="24"/>
              </w:rPr>
              <w:t>标准规范，JJG 527-2015《固定式机动车雷达测速仪》；</w:t>
            </w:r>
          </w:p>
          <w:p w14:paraId="2F7CF82D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8.论文，Development of Verification Device for Multitarget Radar Velocimeter Based on Echo Signal Simulation Technology[J].Journal of Sensors, 2022.</w:t>
            </w:r>
          </w:p>
          <w:p w14:paraId="6D93D018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9.论文，A Verification Method for Traffic Radar-Based Speed Meter With Target Position Determination in Road Vehicle Speeding Enforcement[J].IEEE Transactions on Vehicular Technology, 2021(70-12).</w:t>
            </w:r>
          </w:p>
          <w:p w14:paraId="1D43A932"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10.论文，Multi-Target Radar Speed Meter Failure Mechanism Research[J]. 2026.</w:t>
            </w:r>
          </w:p>
        </w:tc>
      </w:tr>
      <w:tr w14:paraId="4763F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CC8F07">
            <w:pPr>
              <w:spacing w:line="440" w:lineRule="exact"/>
              <w:jc w:val="center"/>
              <w:rPr>
                <w:rFonts w:eastAsia="仿宋_GB2312"/>
                <w:bCs/>
                <w:color w:val="auto"/>
                <w:sz w:val="28"/>
                <w:szCs w:val="24"/>
              </w:rPr>
            </w:pPr>
            <w:r>
              <w:rPr>
                <w:rFonts w:eastAsia="仿宋_GB2312"/>
                <w:bCs/>
                <w:color w:val="auto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4331F8A4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邵建文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浙江省质量科学研究院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28CFBBFE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杜  磊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中国计量科学研究院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7F94BFCE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戴金洲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北京市计量检测科学研究院</w:t>
            </w:r>
          </w:p>
          <w:p w14:paraId="58C52321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赵存彬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浙江省质量科学研究院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24956C74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刘洪模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杭州海康威视数字技术股份有限公司</w:t>
            </w:r>
          </w:p>
          <w:p w14:paraId="624DCE47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骆  蕾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浙江省质量科学研究院</w:t>
            </w:r>
          </w:p>
          <w:p w14:paraId="080E4563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汪巧斌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7，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浙江大华技术股份有限公司</w:t>
            </w:r>
          </w:p>
          <w:p w14:paraId="222CEF83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张远辉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副教授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中国计量大学</w:t>
            </w:r>
          </w:p>
          <w:p w14:paraId="7C7AF2D6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王  凯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浙江省质量科学研究院</w:t>
            </w:r>
          </w:p>
        </w:tc>
      </w:tr>
      <w:tr w14:paraId="53BAEF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40595F26">
            <w:pPr>
              <w:spacing w:line="440" w:lineRule="exact"/>
              <w:jc w:val="center"/>
              <w:rPr>
                <w:rFonts w:eastAsia="仿宋"/>
                <w:bCs/>
                <w:color w:val="auto"/>
                <w:sz w:val="24"/>
                <w:szCs w:val="24"/>
              </w:rPr>
            </w:pPr>
            <w:r>
              <w:rPr>
                <w:rFonts w:eastAsia="仿宋"/>
                <w:bCs/>
                <w:color w:val="auto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61B596C9">
            <w:pPr>
              <w:spacing w:line="440" w:lineRule="exact"/>
              <w:jc w:val="lef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eastAsia="仿宋_GB2312"/>
                <w:bCs/>
                <w:color w:val="auto"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浙江省质量科学研究院</w:t>
            </w:r>
          </w:p>
          <w:p w14:paraId="452F91A1">
            <w:pPr>
              <w:spacing w:line="440" w:lineRule="exact"/>
              <w:jc w:val="lef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eastAsia="仿宋_GB2312"/>
                <w:bCs/>
                <w:color w:val="auto"/>
                <w:sz w:val="24"/>
                <w:szCs w:val="24"/>
              </w:rPr>
              <w:t>2.单位名称：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中国计量科学研究院</w:t>
            </w:r>
          </w:p>
          <w:p w14:paraId="7FC002D0">
            <w:pPr>
              <w:spacing w:line="440" w:lineRule="exact"/>
              <w:jc w:val="lef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杭州海康威视数字技术股份有限公司</w:t>
            </w:r>
          </w:p>
          <w:p w14:paraId="625BF92A">
            <w:pPr>
              <w:spacing w:line="440" w:lineRule="exact"/>
              <w:jc w:val="lef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浙江大华技术股份有限公司</w:t>
            </w:r>
          </w:p>
          <w:p w14:paraId="1A963C53">
            <w:pPr>
              <w:spacing w:line="440" w:lineRule="exact"/>
              <w:jc w:val="lef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北京市计量检测科学研究院</w:t>
            </w:r>
          </w:p>
          <w:p w14:paraId="34DF2E87">
            <w:pPr>
              <w:spacing w:line="440" w:lineRule="exact"/>
              <w:jc w:val="left"/>
              <w:rPr>
                <w:rFonts w:eastAsia="仿宋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中国计量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大学</w:t>
            </w:r>
            <w:bookmarkStart w:id="0" w:name="_GoBack"/>
            <w:bookmarkEnd w:id="0"/>
          </w:p>
        </w:tc>
      </w:tr>
      <w:tr w14:paraId="1E306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42622892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65ACC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Style w:val="36"/>
                <w:b w:val="0"/>
                <w:color w:val="auto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浙江省市场监督管理局</w:t>
            </w:r>
          </w:p>
        </w:tc>
      </w:tr>
      <w:tr w14:paraId="3341C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104147ED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6FCF5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textAlignment w:val="auto"/>
              <w:rPr>
                <w:rFonts w:hint="default" w:eastAsia="仿宋_GB2312"/>
                <w:bCs/>
                <w:sz w:val="24"/>
                <w:szCs w:val="24"/>
                <w:lang w:val="en-US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路侧感知网络的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准确</w:t>
            </w:r>
            <w:r>
              <w:rPr>
                <w:rFonts w:hint="eastAsia" w:eastAsia="仿宋_GB2312"/>
                <w:bCs/>
                <w:sz w:val="24"/>
                <w:szCs w:val="24"/>
              </w:rPr>
              <w:t>可靠是车路协同与交通安全治理的基石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三维微波雷达作为核心感知设备，其测量数据的准确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可靠</w:t>
            </w:r>
            <w:r>
              <w:rPr>
                <w:rFonts w:hint="eastAsia" w:eastAsia="仿宋_GB2312"/>
                <w:bCs/>
                <w:sz w:val="24"/>
                <w:szCs w:val="24"/>
              </w:rPr>
              <w:t>直接关乎决策效能与执法公正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。在复杂交通场景下，三维微波雷达全生命周期的质量保障面临三大核心难题：一是测量数据缺乏源头可信与全程可溯的能力，导致其输出结果无法有效溯源；二是设备部署后难以进行不拆卸、不停机原位校准，后续量值准确性无法验证；三是在役期间缺少对误差实时修正与可靠性衰退预警能力，直接影响智慧交通系统的长期可靠性与执法公正性。</w:t>
            </w:r>
          </w:p>
          <w:p w14:paraId="3C477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textAlignment w:val="auto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项目组围绕上述难题，突破复杂交通场景下“计量方法—标准装置—在役评估”的全链条计量技术瓶颈，构建了从实验室到交通现场，从周期检定到使用中检查评估的全生命周期计量保障体系，创立了基于可变频移、数控时延与高精度角度补偿的回波信号数字化发生方法，发明了多目标多参数数字计量标准装置，实现了复杂交通流的高保真模拟与精准溯源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；</w:t>
            </w:r>
            <w:r>
              <w:rPr>
                <w:rFonts w:hint="eastAsia" w:eastAsia="仿宋_GB2312"/>
                <w:bCs/>
                <w:sz w:val="24"/>
                <w:szCs w:val="24"/>
              </w:rPr>
              <w:t>创立了基于非合作目标跟踪的原位计量方法，研制了便携式与固定式在线测速定位标准装置，攻克了真实交通流下原位计量国际难题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；</w:t>
            </w:r>
            <w:r>
              <w:rPr>
                <w:rFonts w:hint="eastAsia" w:eastAsia="仿宋_GB2312"/>
                <w:bCs/>
                <w:sz w:val="24"/>
                <w:szCs w:val="24"/>
              </w:rPr>
              <w:t>提出了基于自适应误差场重构的可靠性保障方法，建立了“误差智能补偿—性能持续验证—衰退提前预警”的闭环健康管理体系，实现了数据质量从单点准确到长期可靠的跨越。</w:t>
            </w:r>
          </w:p>
          <w:p w14:paraId="6DE64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textAlignment w:val="auto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项目社会、经济效益显著，成果在全国34个省(市)道路交管部门及计量机构推广应用，全面保障了交通强国战略感知层数据底座的准确、可靠，推动了智慧交通产业的高质量发展。</w:t>
            </w:r>
          </w:p>
          <w:p w14:paraId="291CA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textAlignment w:val="auto"/>
              <w:rPr>
                <w:rStyle w:val="36"/>
                <w:b w:val="0"/>
                <w:color w:val="auto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提名该成果为省科学技术进步奖二等奖。</w:t>
            </w:r>
          </w:p>
        </w:tc>
      </w:tr>
    </w:tbl>
    <w:p w14:paraId="79395ACE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9C1783-1F29-4AC3-946A-0089FC7647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5C43D6-703F-4AC6-8DEE-27D6A2DBD2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0774E3D-57E4-4E8A-85D7-72691B1F1B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C1C1A7-9067-432E-92A1-4B03DAF767D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1DD73B0-1CF8-4C29-9AC8-D5241B72853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917E206A-272F-4D08-B8E0-5DB6C72D6F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59D80A7-9434-48EB-BC8F-50875075DCDC}"/>
  </w:font>
  <w:font w:name="方正仿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B537927-E9ED-43E1-A6A1-1DF9F073560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BF93E4E-EB82-4643-BE87-24CBA17FB5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7819F663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1C1B6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3804B57"/>
    <w:rsid w:val="04A9605B"/>
    <w:rsid w:val="05F75BF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7B135B"/>
    <w:rsid w:val="15F93F79"/>
    <w:rsid w:val="162B62D2"/>
    <w:rsid w:val="16693DC2"/>
    <w:rsid w:val="16AD7FB9"/>
    <w:rsid w:val="17EDC74B"/>
    <w:rsid w:val="183F1493"/>
    <w:rsid w:val="18E10F46"/>
    <w:rsid w:val="18FC4FBA"/>
    <w:rsid w:val="190768CF"/>
    <w:rsid w:val="19AF3334"/>
    <w:rsid w:val="19F5075E"/>
    <w:rsid w:val="1A2124A4"/>
    <w:rsid w:val="1AAB4A91"/>
    <w:rsid w:val="1B0E4ACA"/>
    <w:rsid w:val="1B8B48E8"/>
    <w:rsid w:val="1C3E3265"/>
    <w:rsid w:val="1C8659B7"/>
    <w:rsid w:val="1C9808FD"/>
    <w:rsid w:val="1D2422E4"/>
    <w:rsid w:val="1D78616C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6D27249"/>
    <w:rsid w:val="27143262"/>
    <w:rsid w:val="288F7729"/>
    <w:rsid w:val="293C106B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EC16B8C"/>
    <w:rsid w:val="2F276578"/>
    <w:rsid w:val="2FF62EC1"/>
    <w:rsid w:val="2FFC7DCE"/>
    <w:rsid w:val="32C1444F"/>
    <w:rsid w:val="33072028"/>
    <w:rsid w:val="34671B17"/>
    <w:rsid w:val="348C0B69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183CEF"/>
    <w:rsid w:val="436239D7"/>
    <w:rsid w:val="436C4015"/>
    <w:rsid w:val="43772DF4"/>
    <w:rsid w:val="43C35D22"/>
    <w:rsid w:val="43D025F5"/>
    <w:rsid w:val="43FB163B"/>
    <w:rsid w:val="441A20EA"/>
    <w:rsid w:val="443469F5"/>
    <w:rsid w:val="44421112"/>
    <w:rsid w:val="44FD328B"/>
    <w:rsid w:val="45E87A97"/>
    <w:rsid w:val="462F56C6"/>
    <w:rsid w:val="46D30747"/>
    <w:rsid w:val="472E36B4"/>
    <w:rsid w:val="47F15329"/>
    <w:rsid w:val="48B06F92"/>
    <w:rsid w:val="48B76D8F"/>
    <w:rsid w:val="49DD2383"/>
    <w:rsid w:val="4C1F3EFD"/>
    <w:rsid w:val="4C8C5620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3E24620"/>
    <w:rsid w:val="641941AB"/>
    <w:rsid w:val="649E0E16"/>
    <w:rsid w:val="64C701D0"/>
    <w:rsid w:val="65501489"/>
    <w:rsid w:val="65683634"/>
    <w:rsid w:val="657E0B48"/>
    <w:rsid w:val="66264D37"/>
    <w:rsid w:val="662B15AE"/>
    <w:rsid w:val="675042A6"/>
    <w:rsid w:val="67FA3CBD"/>
    <w:rsid w:val="67FF5FF1"/>
    <w:rsid w:val="68324656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1E0D39"/>
    <w:rsid w:val="6C2E1DF8"/>
    <w:rsid w:val="6CD87065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303A1C"/>
    <w:rsid w:val="76413F68"/>
    <w:rsid w:val="765C6DB5"/>
    <w:rsid w:val="76B529FB"/>
    <w:rsid w:val="77210E87"/>
    <w:rsid w:val="77B1FF77"/>
    <w:rsid w:val="77FD9F4D"/>
    <w:rsid w:val="785A2E96"/>
    <w:rsid w:val="788F1341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1304</Words>
  <Characters>1769</Characters>
  <Lines>366</Lines>
  <Paragraphs>103</Paragraphs>
  <TotalTime>50</TotalTime>
  <ScaleCrop>false</ScaleCrop>
  <LinksUpToDate>false</LinksUpToDate>
  <CharactersWithSpaces>1845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2022-01-27T08:15:00Z</dcterms:created>
  <dc:creator>胡胜链</dc:creator>
  <cp:lastModifiedBy>邵建文</cp:lastModifiedBy>
  <cp:lastPrinted>2026-05-06T11:13:00Z</cp:lastPrinted>
  <dcterms:modified xsi:type="dcterms:W3CDTF">2026-06-09T03:18:41Z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eyJoZGlkIjoiY2NiOGE0NTcwODYzNTE4ODkxOGNmMGNmZWQ1ZTlmZmEiLCJ1c2VySWQiOiI2MDUxODYyOTEifQ==</vt:lpwstr>
  </property>
</Properties>
</file>