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71ED6">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附件2</w:t>
      </w:r>
    </w:p>
    <w:p w14:paraId="7A9BA1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p>
    <w:p w14:paraId="3410FA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深圳市光明区2026年中央资金消费新业态新模式新场景试点（支持创新多元化服务消费场景—打造旅居露营服务消费新增长点资助项目）</w:t>
      </w:r>
    </w:p>
    <w:p w14:paraId="0E0344B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申报指南</w:t>
      </w:r>
    </w:p>
    <w:p w14:paraId="4A362D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p>
    <w:p w14:paraId="2F30F853">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0" w:name="_Toc24194"/>
      <w:bookmarkStart w:id="1" w:name="_Toc20798"/>
      <w:r>
        <w:rPr>
          <w:rFonts w:hint="eastAsia" w:ascii="仿宋_GB2312" w:hAnsi="仿宋_GB2312" w:eastAsia="黑体" w:cs="Times New Roman"/>
          <w:b w:val="0"/>
          <w:bCs/>
          <w:color w:val="auto"/>
          <w:kern w:val="36"/>
          <w:sz w:val="32"/>
          <w:szCs w:val="48"/>
          <w:highlight w:val="none"/>
          <w:lang w:val="en-GB" w:eastAsia="zh-CN" w:bidi="ar-SA"/>
        </w:rPr>
        <w:t>支持领域</w:t>
      </w:r>
      <w:bookmarkEnd w:id="0"/>
      <w:bookmarkEnd w:id="1"/>
    </w:p>
    <w:p w14:paraId="0EE12947">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支持培育旅居露营等服务消费新增长点，支持主题突出的旅居露营空间</w:t>
      </w:r>
      <w:r>
        <w:rPr>
          <w:rFonts w:hint="eastAsia"/>
          <w:color w:val="auto"/>
          <w:highlight w:val="none"/>
          <w:lang w:val="en-US" w:eastAsia="zh-CN"/>
        </w:rPr>
        <w:t>，通过</w:t>
      </w:r>
      <w:r>
        <w:rPr>
          <w:rFonts w:hint="eastAsia" w:ascii="仿宋_GB2312" w:eastAsia="仿宋_GB2312"/>
          <w:color w:val="auto"/>
          <w:highlight w:val="none"/>
          <w:lang w:val="en-US" w:eastAsia="zh-CN"/>
        </w:rPr>
        <w:t>深度融合旅游、教育、体育、农业、文化、商业、科技等2类及以上多元业态，打造一站式、沉浸式、高</w:t>
      </w:r>
      <w:r>
        <w:rPr>
          <w:rFonts w:hint="eastAsia"/>
          <w:color w:val="auto"/>
          <w:highlight w:val="none"/>
          <w:lang w:val="en-US" w:eastAsia="zh-CN"/>
        </w:rPr>
        <w:t>黏性的</w:t>
      </w:r>
      <w:r>
        <w:rPr>
          <w:rFonts w:hint="eastAsia" w:ascii="仿宋_GB2312" w:eastAsia="仿宋_GB2312"/>
          <w:color w:val="auto"/>
          <w:highlight w:val="none"/>
          <w:lang w:val="en-US" w:eastAsia="zh-CN"/>
        </w:rPr>
        <w:t>户外生活场景。</w:t>
      </w:r>
    </w:p>
    <w:p w14:paraId="5624E931">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2" w:name="_Toc15437"/>
      <w:bookmarkStart w:id="3" w:name="_Toc8852"/>
      <w:r>
        <w:rPr>
          <w:rFonts w:hint="eastAsia" w:ascii="仿宋_GB2312" w:hAnsi="仿宋_GB2312" w:eastAsia="黑体" w:cs="Times New Roman"/>
          <w:b w:val="0"/>
          <w:bCs/>
          <w:color w:val="auto"/>
          <w:kern w:val="36"/>
          <w:sz w:val="32"/>
          <w:szCs w:val="48"/>
          <w:highlight w:val="none"/>
          <w:lang w:val="en-US" w:eastAsia="zh-CN" w:bidi="ar-SA"/>
        </w:rPr>
        <w:t>设定依据</w:t>
      </w:r>
      <w:bookmarkEnd w:id="2"/>
      <w:bookmarkEnd w:id="3"/>
    </w:p>
    <w:p w14:paraId="02BCFDAF">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14:paraId="225E41E9">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14:paraId="68B79C5A">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14:paraId="44708014">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14:paraId="5940954F">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14:paraId="2C7DFCF6">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4" w:name="_Toc21755"/>
      <w:bookmarkStart w:id="5" w:name="_Toc18411"/>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4"/>
      <w:bookmarkEnd w:id="5"/>
    </w:p>
    <w:p w14:paraId="51999C14">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14:paraId="75DC6541">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补贴</w:t>
      </w:r>
      <w:r>
        <w:rPr>
          <w:rFonts w:hint="eastAsia" w:ascii="仿宋_GB2312" w:eastAsia="仿宋_GB2312"/>
          <w:color w:val="auto"/>
          <w:highlight w:val="none"/>
          <w:lang w:val="en-US" w:eastAsia="zh-CN"/>
        </w:rPr>
        <w:t>金额和拨付进度等进行统一调整，申报单位应无条件同意调整结果。</w:t>
      </w:r>
    </w:p>
    <w:p w14:paraId="08DA3DF6">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14:paraId="32CFB27F">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14:paraId="3B806BFE">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431"/>
      <w:bookmarkStart w:id="7" w:name="_Toc15307"/>
      <w:r>
        <w:rPr>
          <w:rFonts w:hint="eastAsia" w:ascii="仿宋_GB2312" w:hAnsi="仿宋_GB2312" w:eastAsia="黑体" w:cs="Times New Roman"/>
          <w:b w:val="0"/>
          <w:bCs/>
          <w:color w:val="auto"/>
          <w:kern w:val="36"/>
          <w:sz w:val="32"/>
          <w:szCs w:val="48"/>
          <w:highlight w:val="none"/>
          <w:lang w:val="en-US" w:eastAsia="zh-CN" w:bidi="ar-SA"/>
        </w:rPr>
        <w:t>申报条件</w:t>
      </w:r>
      <w:bookmarkEnd w:id="6"/>
      <w:bookmarkEnd w:id="7"/>
    </w:p>
    <w:p w14:paraId="43543DCE">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14:paraId="38044B12">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14:paraId="04E2E1B2">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14:paraId="5889B718">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14:paraId="145C4C68">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14:paraId="4E08603F">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23FAF80C">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14:paraId="34698727">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14:paraId="467C354A">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14:paraId="0C0CE05C">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14:paraId="76380E7E">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14:paraId="57F5C16A">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w:t>
      </w:r>
      <w:r>
        <w:rPr>
          <w:rFonts w:hint="default"/>
          <w:color w:val="auto"/>
          <w:highlight w:val="none"/>
          <w:lang w:val="en-US" w:eastAsia="zh-CN"/>
        </w:rPr>
        <w:t>项目</w:t>
      </w:r>
      <w:r>
        <w:rPr>
          <w:rFonts w:hint="eastAsia"/>
          <w:color w:val="auto"/>
          <w:highlight w:val="none"/>
          <w:lang w:val="en-US" w:eastAsia="zh-CN"/>
        </w:rPr>
        <w:t>应为主题突出的旅居露营空间；</w:t>
      </w:r>
    </w:p>
    <w:p w14:paraId="64DF1074">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融合旅游、教育、体育、农业、文化、商业、科技等2类及以上多元业态</w:t>
      </w:r>
      <w:r>
        <w:rPr>
          <w:rFonts w:hint="eastAsia"/>
          <w:color w:val="auto"/>
          <w:highlight w:val="none"/>
          <w:lang w:val="en-US" w:eastAsia="zh-CN"/>
        </w:rPr>
        <w:t>；</w:t>
      </w:r>
    </w:p>
    <w:p w14:paraId="7E534426">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3.申报</w:t>
      </w:r>
      <w:r>
        <w:rPr>
          <w:rFonts w:hint="default"/>
          <w:color w:val="auto"/>
          <w:highlight w:val="none"/>
          <w:lang w:val="en-US" w:eastAsia="zh-CN"/>
        </w:rPr>
        <w:t>项目面积不低于5000㎡、月均提供服务次数不低于300次</w:t>
      </w:r>
      <w:r>
        <w:rPr>
          <w:rFonts w:hint="eastAsia"/>
          <w:color w:val="auto"/>
          <w:highlight w:val="none"/>
          <w:lang w:val="en-US" w:eastAsia="zh-CN"/>
        </w:rPr>
        <w:t>。</w:t>
      </w:r>
      <w:r>
        <w:rPr>
          <w:rFonts w:hint="default"/>
          <w:color w:val="auto"/>
          <w:highlight w:val="none"/>
          <w:lang w:val="en-US" w:eastAsia="zh-CN"/>
        </w:rPr>
        <w:t>（统计周期为2025年</w:t>
      </w:r>
      <w:r>
        <w:rPr>
          <w:rFonts w:hint="eastAsia"/>
          <w:color w:val="auto"/>
          <w:highlight w:val="none"/>
          <w:lang w:val="en-US" w:eastAsia="zh-CN"/>
        </w:rPr>
        <w:t>9</w:t>
      </w:r>
      <w:r>
        <w:rPr>
          <w:rFonts w:hint="default"/>
          <w:color w:val="auto"/>
          <w:highlight w:val="none"/>
          <w:lang w:val="en-US" w:eastAsia="zh-CN"/>
        </w:rPr>
        <w:t>月</w:t>
      </w:r>
      <w:r>
        <w:rPr>
          <w:rFonts w:hint="eastAsia"/>
          <w:color w:val="auto"/>
          <w:highlight w:val="none"/>
          <w:lang w:val="en-US" w:eastAsia="zh-CN"/>
        </w:rPr>
        <w:t>30</w:t>
      </w:r>
      <w:r>
        <w:rPr>
          <w:rFonts w:hint="default"/>
          <w:color w:val="auto"/>
          <w:highlight w:val="none"/>
          <w:lang w:val="en-US" w:eastAsia="zh-CN"/>
        </w:rPr>
        <w:t>日至申报受理前一个月月末；月均值按该期间实际运营数据计算，不足一个月的部分，按日均值折算为月均值。）</w:t>
      </w:r>
    </w:p>
    <w:p w14:paraId="40E39DCF">
      <w:pPr>
        <w:pStyle w:val="36"/>
        <w:bidi w:val="0"/>
        <w:ind w:firstLine="640" w:firstLineChars="200"/>
        <w:rPr>
          <w:rStyle w:val="19"/>
          <w:rFonts w:hint="eastAsia" w:ascii="仿宋_GB2312" w:hAnsi="仿宋" w:eastAsia="仿宋_GB2312" w:cs="宋体"/>
          <w:bCs/>
          <w:color w:val="auto"/>
          <w:kern w:val="36"/>
          <w:sz w:val="32"/>
          <w:szCs w:val="32"/>
          <w:highlight w:val="none"/>
          <w:lang w:eastAsia="zh-CN"/>
        </w:rPr>
      </w:pP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14:paraId="1E512CD3">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14:paraId="18F268A1">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31102"/>
      <w:bookmarkStart w:id="9" w:name="_Toc7095"/>
      <w:r>
        <w:rPr>
          <w:rFonts w:hint="eastAsia" w:ascii="仿宋_GB2312" w:hAnsi="仿宋_GB2312" w:eastAsia="黑体" w:cs="Times New Roman"/>
          <w:b w:val="0"/>
          <w:bCs/>
          <w:color w:val="auto"/>
          <w:kern w:val="36"/>
          <w:sz w:val="32"/>
          <w:szCs w:val="48"/>
          <w:highlight w:val="none"/>
          <w:lang w:val="en-US" w:eastAsia="zh-CN" w:bidi="ar-SA"/>
        </w:rPr>
        <w:t>支持标准</w:t>
      </w:r>
      <w:bookmarkEnd w:id="8"/>
      <w:bookmarkEnd w:id="9"/>
    </w:p>
    <w:p w14:paraId="661032A5">
      <w:pPr>
        <w:bidi w:val="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支持打造旅居露营等服务消费新增长点，按</w:t>
      </w:r>
      <w:r>
        <w:rPr>
          <w:rFonts w:hint="eastAsia"/>
          <w:color w:val="auto"/>
          <w:highlight w:val="none"/>
          <w:lang w:val="en-US" w:eastAsia="zh-CN"/>
        </w:rPr>
        <w:t>项目</w:t>
      </w:r>
      <w:r>
        <w:rPr>
          <w:rFonts w:hint="eastAsia" w:ascii="仿宋_GB2312" w:eastAsia="仿宋_GB2312"/>
          <w:color w:val="auto"/>
          <w:highlight w:val="none"/>
          <w:lang w:val="en-US" w:eastAsia="zh-CN"/>
        </w:rPr>
        <w:t>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25%给予资助，试点期间最高不超过300万元。</w:t>
      </w:r>
    </w:p>
    <w:p w14:paraId="5F9B15CD">
      <w:pPr>
        <w:pStyle w:val="36"/>
        <w:bidi w:val="0"/>
        <w:ind w:firstLine="640" w:firstLineChars="200"/>
        <w:rPr>
          <w:rStyle w:val="19"/>
          <w:rFonts w:hint="eastAsia" w:ascii="仿宋_GB2312" w:hAnsi="仿宋" w:eastAsia="仿宋_GB2312" w:cs="宋体"/>
          <w:bCs/>
          <w:color w:val="auto"/>
          <w:kern w:val="36"/>
          <w:sz w:val="32"/>
          <w:szCs w:val="32"/>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2025年9月30日以来至申报日，申报主体融合多元业态打造旅居露营场景时</w:t>
      </w:r>
      <w:r>
        <w:rPr>
          <w:rFonts w:hint="eastAsia"/>
          <w:color w:val="000000" w:themeColor="text1"/>
          <w:highlight w:val="none"/>
          <w:lang w:val="en-US" w:eastAsia="zh-CN"/>
          <w14:textFill>
            <w14:solidFill>
              <w14:schemeClr w14:val="tx1"/>
            </w14:solidFill>
          </w14:textFill>
        </w:rPr>
        <w:t>，已完成或阶段性完成部分相关投入，不包含各级财政投资部分，以及第四点第（二）条专项条件中明确不予支持部分。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14:paraId="53A13465">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0" w:name="_Toc27028"/>
      <w:bookmarkStart w:id="11" w:name="_Toc7147"/>
      <w:r>
        <w:rPr>
          <w:rFonts w:hint="eastAsia" w:ascii="黑体" w:hAnsi="黑体" w:eastAsia="黑体" w:cs="仿宋"/>
          <w:color w:val="auto"/>
          <w:kern w:val="2"/>
          <w:sz w:val="32"/>
          <w:szCs w:val="22"/>
          <w:highlight w:val="none"/>
          <w:lang w:val="en-US" w:eastAsia="zh-CN" w:bidi="ar-SA"/>
        </w:rPr>
        <w:t>六、申报材料</w:t>
      </w:r>
      <w:bookmarkEnd w:id="10"/>
      <w:bookmarkEnd w:id="11"/>
    </w:p>
    <w:p w14:paraId="5BA00F22">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14:paraId="261A1385">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14:paraId="1FB3C793">
      <w:pPr>
        <w:bidi w:val="0"/>
        <w:rPr>
          <w:rFonts w:hint="default"/>
          <w:color w:val="000000" w:themeColor="text1"/>
          <w:highlight w:val="yellow"/>
          <w:lang w:eastAsia="zh-CN"/>
          <w14:textFill>
            <w14:solidFill>
              <w14:schemeClr w14:val="tx1"/>
            </w14:solidFill>
          </w14:textFill>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登录广东政务服务网在线下载填报申请书（网址：http://www.gdzwfw.gov.cn/—选择“深圳市”—</w:t>
      </w:r>
      <w:r>
        <w:rPr>
          <w:rFonts w:hint="eastAsia" w:cs="Times New Roman"/>
          <w:color w:val="auto"/>
          <w:sz w:val="32"/>
          <w:szCs w:val="32"/>
          <w:highlight w:val="none"/>
          <w:lang w:val="en-US" w:eastAsia="zh-CN"/>
        </w:rPr>
        <w:t>光明</w:t>
      </w:r>
      <w:r>
        <w:rPr>
          <w:rFonts w:hint="eastAsia" w:ascii="仿宋_GB2312" w:hAnsi="仿宋_GB2312" w:eastAsia="仿宋_GB2312" w:cs="Times New Roman"/>
          <w:color w:val="auto"/>
          <w:sz w:val="32"/>
          <w:szCs w:val="32"/>
          <w:highlight w:val="none"/>
          <w:lang w:val="en-US" w:eastAsia="zh-CN"/>
        </w:rPr>
        <w:t>区—</w:t>
      </w:r>
      <w:r>
        <w:rPr>
          <w:rFonts w:hint="eastAsia" w:cs="Times New Roman"/>
          <w:color w:val="auto"/>
          <w:sz w:val="32"/>
          <w:szCs w:val="32"/>
          <w:highlight w:val="none"/>
          <w:lang w:val="en-US" w:eastAsia="zh-CN"/>
        </w:rPr>
        <w:t>光明区商务局</w:t>
      </w:r>
      <w:r>
        <w:rPr>
          <w:rFonts w:hint="eastAsia" w:ascii="仿宋_GB2312" w:hAnsi="仿宋_GB2312" w:eastAsia="仿宋_GB2312" w:cs="Times New Roman"/>
          <w:color w:val="auto"/>
          <w:sz w:val="32"/>
          <w:szCs w:val="32"/>
          <w:highlight w:val="none"/>
          <w:lang w:val="en-US" w:eastAsia="zh-CN"/>
        </w:rPr>
        <w:t>—“</w:t>
      </w:r>
      <w:r>
        <w:rPr>
          <w:rFonts w:hint="eastAsia" w:cs="Times New Roman"/>
          <w:color w:val="auto"/>
          <w:sz w:val="32"/>
          <w:szCs w:val="32"/>
          <w:highlight w:val="none"/>
          <w:lang w:val="en-US" w:eastAsia="zh-CN"/>
        </w:rPr>
        <w:t>深圳市</w:t>
      </w:r>
      <w:r>
        <w:rPr>
          <w:rFonts w:hint="eastAsia" w:ascii="仿宋_GB2312" w:hAnsi="仿宋_GB2312" w:eastAsia="仿宋_GB2312" w:cs="Times New Roman"/>
          <w:color w:val="auto"/>
          <w:sz w:val="32"/>
          <w:szCs w:val="32"/>
          <w:highlight w:val="none"/>
          <w:lang w:val="en-US" w:eastAsia="zh-CN"/>
        </w:rPr>
        <w:t>消费新业态新模式新场景试点</w:t>
      </w:r>
      <w:r>
        <w:rPr>
          <w:rFonts w:hint="eastAsia" w:cs="Times New Roman"/>
          <w:color w:val="auto"/>
          <w:sz w:val="32"/>
          <w:szCs w:val="32"/>
          <w:highlight w:val="none"/>
          <w:lang w:val="en-US" w:eastAsia="zh-CN"/>
        </w:rPr>
        <w:t>项目</w:t>
      </w:r>
      <w:r>
        <w:rPr>
          <w:rFonts w:hint="eastAsia" w:ascii="仿宋_GB2312" w:hAnsi="仿宋_GB2312" w:eastAsia="仿宋_GB2312" w:cs="Times New Roman"/>
          <w:color w:val="auto"/>
          <w:sz w:val="32"/>
          <w:szCs w:val="32"/>
          <w:highlight w:val="none"/>
          <w:lang w:val="en-US" w:eastAsia="zh-CN"/>
        </w:rPr>
        <w:t>（支持创新多元化服务消费场景—打造旅居露营服务消费新增长点资助项目）”—点击“在线办理”-登录后按要求填报并上传申请材料—点击提交</w:t>
      </w:r>
      <w:r>
        <w:rPr>
          <w:rFonts w:hint="eastAsia" w:cs="Times New Roman"/>
          <w:color w:val="auto"/>
          <w:sz w:val="32"/>
          <w:szCs w:val="32"/>
          <w:highlight w:val="none"/>
          <w:lang w:val="en-US" w:eastAsia="zh-CN"/>
        </w:rPr>
        <w:t>）</w:t>
      </w:r>
      <w:r>
        <w:rPr>
          <w:rFonts w:hint="eastAsia" w:ascii="仿宋_GB2312" w:hAnsi="仿宋_GB2312" w:eastAsia="仿宋_GB2312" w:cs="Times New Roman"/>
          <w:color w:val="auto"/>
          <w:sz w:val="32"/>
          <w:szCs w:val="32"/>
          <w:highlight w:val="none"/>
          <w:lang w:val="en-US" w:eastAsia="zh-CN"/>
        </w:rPr>
        <w:t>，</w:t>
      </w:r>
      <w:r>
        <w:rPr>
          <w:rFonts w:hint="default"/>
          <w:color w:val="auto"/>
          <w:highlight w:val="none"/>
          <w:lang w:val="en-US" w:eastAsia="zh-CN"/>
        </w:rPr>
        <w:t>初审通过后提供申请书纸质文件原件并将本指南第六条要求的项目申报材料一并线下或通过邮寄方式交给</w:t>
      </w:r>
      <w:r>
        <w:rPr>
          <w:rFonts w:hint="eastAsia"/>
          <w:color w:val="auto"/>
          <w:highlight w:val="none"/>
          <w:lang w:val="en-US" w:eastAsia="zh-CN"/>
        </w:rPr>
        <w:t>区级商务部门。</w:t>
      </w:r>
    </w:p>
    <w:p w14:paraId="0ADA7D2B">
      <w:pPr>
        <w:bidi w:val="0"/>
        <w:rPr>
          <w:rFonts w:hint="eastAsia"/>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14:paraId="753894EA">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14:paraId="0223182C">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14:paraId="419C0853">
      <w:pPr>
        <w:bidi w:val="0"/>
        <w:rPr>
          <w:rFonts w:hint="default"/>
          <w:color w:val="auto"/>
          <w:highlight w:val="none"/>
          <w:lang w:val="en-US" w:eastAsia="zh-CN"/>
        </w:rPr>
      </w:pPr>
      <w:r>
        <w:rPr>
          <w:rFonts w:hint="default"/>
          <w:color w:val="auto"/>
          <w:highlight w:val="none"/>
          <w:lang w:val="en-US" w:eastAsia="zh-CN"/>
        </w:rPr>
        <w:t>1.</w:t>
      </w:r>
      <w:r>
        <w:rPr>
          <w:rFonts w:hint="eastAsia"/>
          <w:color w:val="auto"/>
          <w:highlight w:val="none"/>
          <w:lang w:val="en-US" w:eastAsia="zh-CN"/>
        </w:rPr>
        <w:t>主题突出的旅居露营空间佐证材料：媒体报道、公开平台或线下发放宣传简介等。</w:t>
      </w:r>
    </w:p>
    <w:p w14:paraId="22B1DBB8">
      <w:pPr>
        <w:bidi w:val="0"/>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业态融合能力材料：项目规划或运营方案，须体现所融合的业态类别（旅游、教育、体育、农业、文化、商业、科技等2类及以上）、融合模式</w:t>
      </w:r>
      <w:r>
        <w:rPr>
          <w:rFonts w:hint="eastAsia"/>
          <w:color w:val="auto"/>
          <w:highlight w:val="none"/>
          <w:lang w:val="en-US" w:eastAsia="zh-CN"/>
        </w:rPr>
        <w:t>、</w:t>
      </w:r>
      <w:r>
        <w:rPr>
          <w:rFonts w:hint="default"/>
          <w:color w:val="auto"/>
          <w:highlight w:val="none"/>
          <w:lang w:val="en-US" w:eastAsia="zh-CN"/>
        </w:rPr>
        <w:t>场景特色及现场照片</w:t>
      </w:r>
      <w:r>
        <w:rPr>
          <w:rFonts w:hint="eastAsia"/>
          <w:color w:val="auto"/>
          <w:highlight w:val="none"/>
          <w:lang w:val="en-US" w:eastAsia="zh-CN"/>
        </w:rPr>
        <w:t>。</w:t>
      </w:r>
    </w:p>
    <w:p w14:paraId="6D35287F">
      <w:pPr>
        <w:bidi w:val="0"/>
        <w:rPr>
          <w:rFonts w:hint="default"/>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场地面积佐证材料：不动产权证书、租赁合同或场地使用文件（须载明面积）</w:t>
      </w:r>
      <w:r>
        <w:rPr>
          <w:rFonts w:hint="eastAsia"/>
          <w:color w:val="auto"/>
          <w:highlight w:val="none"/>
          <w:lang w:val="en-US" w:eastAsia="zh-CN"/>
        </w:rPr>
        <w:t>。</w:t>
      </w:r>
    </w:p>
    <w:p w14:paraId="2403DFE5">
      <w:pPr>
        <w:bidi w:val="0"/>
        <w:rPr>
          <w:rFonts w:hint="default"/>
          <w:color w:val="auto"/>
          <w:highlight w:val="none"/>
          <w:lang w:val="en-US" w:eastAsia="zh-CN"/>
        </w:rPr>
      </w:pPr>
      <w:r>
        <w:rPr>
          <w:rFonts w:hint="eastAsia"/>
          <w:color w:val="auto"/>
          <w:highlight w:val="none"/>
          <w:lang w:val="en-US" w:eastAsia="zh-CN"/>
        </w:rPr>
        <w:t>4.</w:t>
      </w:r>
      <w:r>
        <w:rPr>
          <w:rFonts w:hint="default"/>
          <w:color w:val="auto"/>
          <w:highlight w:val="none"/>
          <w:lang w:val="en-US" w:eastAsia="zh-CN"/>
        </w:rPr>
        <w:t>服务次数</w:t>
      </w:r>
      <w:r>
        <w:rPr>
          <w:rFonts w:hint="eastAsia"/>
          <w:color w:val="auto"/>
          <w:highlight w:val="none"/>
          <w:lang w:val="en-US" w:eastAsia="zh-CN"/>
        </w:rPr>
        <w:t>佐证</w:t>
      </w:r>
      <w:r>
        <w:rPr>
          <w:rFonts w:hint="default"/>
          <w:color w:val="auto"/>
          <w:highlight w:val="none"/>
          <w:lang w:val="en-US" w:eastAsia="zh-CN"/>
        </w:rPr>
        <w:t>材料：后台服务记录、消费订单数据</w:t>
      </w:r>
      <w:r>
        <w:rPr>
          <w:rFonts w:hint="eastAsia"/>
          <w:color w:val="auto"/>
          <w:highlight w:val="none"/>
          <w:lang w:val="en-US" w:eastAsia="zh-CN"/>
        </w:rPr>
        <w:t>等</w:t>
      </w:r>
      <w:r>
        <w:rPr>
          <w:rFonts w:hint="default"/>
          <w:color w:val="auto"/>
          <w:highlight w:val="none"/>
          <w:lang w:val="en-US" w:eastAsia="zh-CN"/>
        </w:rPr>
        <w:t>。</w:t>
      </w:r>
    </w:p>
    <w:p w14:paraId="6FAB2BC7">
      <w:pPr>
        <w:bidi w:val="0"/>
        <w:rPr>
          <w:rFonts w:hint="eastAsia"/>
          <w:color w:val="auto"/>
          <w:highlight w:val="none"/>
          <w:lang w:val="en-US" w:eastAsia="zh-CN"/>
        </w:rPr>
      </w:pPr>
      <w:r>
        <w:rPr>
          <w:rFonts w:hint="eastAsia"/>
          <w:color w:val="auto"/>
          <w:highlight w:val="none"/>
          <w:lang w:val="en-US" w:eastAsia="zh-CN"/>
        </w:rPr>
        <w:t>5.项目成效总结（模板详见项目申报书）。</w:t>
      </w:r>
    </w:p>
    <w:p w14:paraId="29DEFC0B">
      <w:pPr>
        <w:bidi w:val="0"/>
        <w:rPr>
          <w:rFonts w:hint="eastAsia"/>
          <w:color w:val="auto"/>
          <w:highlight w:val="none"/>
          <w:lang w:val="en-US" w:eastAsia="zh-CN"/>
        </w:rPr>
      </w:pPr>
      <w:r>
        <w:rPr>
          <w:rFonts w:hint="eastAsia"/>
          <w:color w:val="auto"/>
          <w:highlight w:val="none"/>
          <w:lang w:val="en-US" w:eastAsia="zh-CN"/>
        </w:rPr>
        <w:t>6.</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14:paraId="17D52EBD">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14:paraId="1857C219">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2" w:name="_Toc19526"/>
      <w:bookmarkStart w:id="13" w:name="_Toc5711"/>
      <w:r>
        <w:rPr>
          <w:rFonts w:hint="eastAsia" w:ascii="黑体" w:hAnsi="黑体" w:eastAsia="黑体" w:cs="仿宋"/>
          <w:color w:val="auto"/>
          <w:kern w:val="2"/>
          <w:sz w:val="32"/>
          <w:szCs w:val="22"/>
          <w:highlight w:val="none"/>
          <w:lang w:val="en-US" w:eastAsia="zh-CN" w:bidi="ar-SA"/>
        </w:rPr>
        <w:t>七、申请表格</w:t>
      </w:r>
      <w:bookmarkEnd w:id="12"/>
      <w:bookmarkEnd w:id="13"/>
    </w:p>
    <w:p w14:paraId="2217FD83">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eastAsia="仿宋_GB2312" w:cs="Times New Roman"/>
          <w:color w:val="000000"/>
          <w:sz w:val="32"/>
          <w:szCs w:val="32"/>
          <w:highlight w:val="none"/>
        </w:rPr>
      </w:pPr>
      <w:bookmarkStart w:id="14" w:name="_Toc20121"/>
      <w:bookmarkStart w:id="15" w:name="_Toc13760"/>
      <w:r>
        <w:rPr>
          <w:rFonts w:hint="eastAsia" w:ascii="仿宋_GB2312" w:hAnsi="Calibri" w:eastAsia="仿宋_GB2312" w:cs="Times New Roman"/>
          <w:color w:val="000000"/>
          <w:spacing w:val="0"/>
          <w:sz w:val="32"/>
          <w:szCs w:val="32"/>
          <w:highlight w:val="none"/>
        </w:rPr>
        <w:t>本指南第六条（一）规定登录</w:t>
      </w:r>
      <w:r>
        <w:rPr>
          <w:rFonts w:hint="eastAsia" w:hAnsi="Calibri" w:cs="Times New Roman"/>
          <w:color w:val="000000"/>
          <w:spacing w:val="0"/>
          <w:sz w:val="32"/>
          <w:szCs w:val="32"/>
          <w:highlight w:val="none"/>
          <w:lang w:eastAsia="zh-CN"/>
        </w:rPr>
        <w:t>广东政务服务网</w:t>
      </w:r>
      <w:r>
        <w:rPr>
          <w:rFonts w:hint="eastAsia" w:ascii="仿宋_GB2312" w:hAnsi="Calibri" w:eastAsia="仿宋_GB2312" w:cs="Times New Roman"/>
          <w:color w:val="000000"/>
          <w:spacing w:val="0"/>
          <w:sz w:val="32"/>
          <w:szCs w:val="32"/>
          <w:highlight w:val="none"/>
        </w:rPr>
        <w:t>线填报申请书，网址：</w:t>
      </w:r>
      <w:r>
        <w:rPr>
          <w:rFonts w:hint="eastAsia" w:ascii="仿宋_GB2312" w:hAnsi="仿宋_GB2312" w:eastAsia="仿宋_GB2312" w:cs="Times New Roman"/>
          <w:color w:val="auto"/>
          <w:sz w:val="32"/>
          <w:szCs w:val="32"/>
          <w:highlight w:val="none"/>
          <w:lang w:val="en-US" w:eastAsia="zh-CN"/>
        </w:rPr>
        <w:t>http://www.gdzwfw.gov.cn/</w:t>
      </w:r>
    </w:p>
    <w:bookmarkEnd w:id="14"/>
    <w:bookmarkEnd w:id="15"/>
    <w:p w14:paraId="5EDBC933">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bookmarkStart w:id="16" w:name="_Toc16198"/>
      <w:bookmarkStart w:id="17" w:name="_Toc11274"/>
      <w:bookmarkStart w:id="18" w:name="_Toc2137"/>
      <w:bookmarkStart w:id="19" w:name="_Toc161850809"/>
      <w:bookmarkStart w:id="20" w:name="_Toc125127183"/>
      <w:bookmarkStart w:id="21" w:name="_Toc10305"/>
      <w:r>
        <w:rPr>
          <w:rFonts w:hint="eastAsia" w:ascii="黑体" w:hAnsi="黑体" w:eastAsia="黑体" w:cs="仿宋"/>
          <w:color w:val="auto"/>
          <w:kern w:val="2"/>
          <w:sz w:val="32"/>
          <w:szCs w:val="22"/>
          <w:highlight w:val="none"/>
          <w:lang w:val="en-US" w:eastAsia="zh-CN" w:bidi="ar-SA"/>
        </w:rPr>
        <w:t>八、受理机关</w:t>
      </w:r>
    </w:p>
    <w:p w14:paraId="51DF57BD">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14:paraId="2FA141B6">
      <w:pPr>
        <w:pageBreakBefore w:val="0"/>
        <w:kinsoku/>
        <w:wordWrap/>
        <w:topLinePunct w:val="0"/>
        <w:autoSpaceDE/>
        <w:autoSpaceDN/>
        <w:bidi w:val="0"/>
        <w:spacing w:before="0" w:after="0" w:line="560" w:lineRule="exact"/>
        <w:ind w:firstLine="640" w:firstLineChars="200"/>
        <w:textAlignment w:val="auto"/>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34BF5107">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14:paraId="3892E51D">
      <w:pPr>
        <w:pageBreakBefore w:val="0"/>
        <w:kinsoku/>
        <w:wordWrap/>
        <w:topLinePunct w:val="0"/>
        <w:autoSpaceDE/>
        <w:autoSpaceDN/>
        <w:bidi w:val="0"/>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14:paraId="489671C4">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p>
    <w:p w14:paraId="3EDAFAC4">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r>
        <w:rPr>
          <w:rFonts w:hint="eastAsia" w:ascii="仿宋_GB2312" w:hAnsi="宋体" w:eastAsia="仿宋_GB2312" w:cs="宋体"/>
          <w:color w:val="auto"/>
          <w:kern w:val="0"/>
          <w:sz w:val="32"/>
          <w:szCs w:val="32"/>
          <w:highlight w:val="none"/>
          <w:lang w:val="en-US" w:eastAsia="zh-CN"/>
        </w:rPr>
        <w:br w:type="textWrapping"/>
      </w: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14:paraId="18C1466B">
      <w:pPr>
        <w:keepNext w:val="0"/>
        <w:keepLines w:val="0"/>
        <w:pageBreakBefore w:val="0"/>
        <w:widowControl/>
        <w:suppressLineNumbers w:val="0"/>
        <w:kinsoku/>
        <w:wordWrap/>
        <w:topLinePunct w:val="0"/>
        <w:autoSpaceDE/>
        <w:autoSpaceDN/>
        <w:bidi w:val="0"/>
        <w:jc w:val="left"/>
        <w:textAlignment w:val="auto"/>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14:paraId="77A869BE">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cs="仿宋_GB2312"/>
          <w:color w:val="auto"/>
          <w:sz w:val="32"/>
          <w:szCs w:val="32"/>
          <w:highlight w:val="none"/>
          <w:lang w:eastAsia="zh-CN"/>
        </w:rPr>
        <w:t>线下材料递交地址：</w:t>
      </w:r>
      <w:r>
        <w:rPr>
          <w:rFonts w:hint="eastAsia"/>
          <w:color w:val="auto"/>
          <w:highlight w:val="none"/>
          <w:lang w:val="en-US" w:eastAsia="zh-CN"/>
        </w:rPr>
        <w:t>深圳市光明区光明街道牛山路与德雅路交汇处公共服务平台政务服务中心一楼</w:t>
      </w:r>
      <w:r>
        <w:rPr>
          <w:rFonts w:hint="eastAsia" w:cs="仿宋_GB2312"/>
          <w:color w:val="auto"/>
          <w:sz w:val="32"/>
          <w:szCs w:val="32"/>
          <w:highlight w:val="none"/>
          <w:lang w:eastAsia="zh-CN"/>
        </w:rPr>
        <w:t>。</w:t>
      </w:r>
    </w:p>
    <w:p w14:paraId="3D808A01">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w:t>
      </w:r>
      <w:r>
        <w:rPr>
          <w:rFonts w:hint="eastAsia" w:ascii="楷体_GB2312" w:hAnsi="楷体_GB2312" w:eastAsia="楷体_GB2312" w:cs="楷体_GB2312"/>
          <w:color w:val="auto"/>
          <w:sz w:val="32"/>
          <w:szCs w:val="32"/>
          <w:highlight w:val="none"/>
          <w:lang w:eastAsia="zh-CN"/>
        </w:rPr>
        <w:t>四</w:t>
      </w:r>
      <w:r>
        <w:rPr>
          <w:rFonts w:hint="eastAsia" w:ascii="楷体_GB2312" w:hAnsi="楷体_GB2312" w:eastAsia="楷体_GB2312" w:cs="楷体_GB2312"/>
          <w:color w:val="auto"/>
          <w:sz w:val="32"/>
          <w:szCs w:val="32"/>
          <w:highlight w:val="none"/>
        </w:rPr>
        <w:t>）咨询电话</w:t>
      </w:r>
    </w:p>
    <w:p w14:paraId="0E235AC5">
      <w:pPr>
        <w:keepNext/>
        <w:keepLines/>
        <w:pageBreakBefore w:val="0"/>
        <w:widowControl w:val="0"/>
        <w:kinsoku/>
        <w:wordWrap/>
        <w:topLinePunct w:val="0"/>
        <w:autoSpaceDE/>
        <w:autoSpaceDN/>
        <w:bidi w:val="0"/>
        <w:spacing w:before="0" w:beforeLines="0" w:beforeAutospacing="0" w:after="0" w:afterLines="0" w:afterAutospacing="0" w:line="560" w:lineRule="exact"/>
        <w:ind w:left="640" w:leftChars="200" w:firstLine="0" w:firstLineChars="0"/>
        <w:jc w:val="left"/>
        <w:textAlignment w:val="auto"/>
        <w:outlineLvl w:val="0"/>
        <w:rPr>
          <w:rFonts w:hint="default" w:cs="仿宋_GB2312"/>
          <w:color w:val="auto"/>
          <w:sz w:val="32"/>
          <w:szCs w:val="32"/>
          <w:highlight w:val="none"/>
          <w:u w:val="none"/>
          <w:lang w:val="en-US" w:eastAsia="zh-CN"/>
        </w:rPr>
      </w:pPr>
      <w:bookmarkStart w:id="22" w:name="_Toc9722"/>
      <w:bookmarkStart w:id="23" w:name="_Toc1376"/>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cs="仿宋_GB2312"/>
          <w:color w:val="auto"/>
          <w:sz w:val="32"/>
          <w:szCs w:val="32"/>
          <w:highlight w:val="none"/>
          <w:u w:val="none"/>
          <w:lang w:val="en-US" w:eastAsia="zh-CN"/>
        </w:rPr>
        <w:t>0755-88217315（</w:t>
      </w:r>
      <w:r>
        <w:rPr>
          <w:rFonts w:hint="eastAsia"/>
          <w:color w:val="auto"/>
          <w:highlight w:val="none"/>
          <w:lang w:val="en-US" w:eastAsia="zh-CN"/>
        </w:rPr>
        <w:t>星期一至星期五:上午9:00-12:00,下午2:00-6</w:t>
      </w:r>
      <w:bookmarkStart w:id="36" w:name="_GoBack"/>
      <w:bookmarkEnd w:id="36"/>
      <w:r>
        <w:rPr>
          <w:rFonts w:hint="eastAsia"/>
          <w:color w:val="auto"/>
          <w:highlight w:val="none"/>
          <w:lang w:val="en-US" w:eastAsia="zh-CN"/>
        </w:rPr>
        <w:t>:00）</w:t>
      </w:r>
    </w:p>
    <w:p w14:paraId="0BB9A2BD">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2"/>
      <w:bookmarkEnd w:id="23"/>
    </w:p>
    <w:p w14:paraId="0278C70F">
      <w:pPr>
        <w:bidi w:val="0"/>
        <w:spacing w:before="0" w:after="0"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5FDA708F">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十、办理流程</w:t>
      </w:r>
      <w:bookmarkEnd w:id="16"/>
      <w:bookmarkEnd w:id="17"/>
    </w:p>
    <w:p w14:paraId="110C0AA6">
      <w:pPr>
        <w:bidi w:val="0"/>
        <w:rPr>
          <w:rFonts w:hint="eastAsia" w:ascii="仿宋_GB2312" w:hAnsi="仿宋_GB2312" w:eastAsia="仿宋_GB2312" w:cs="Times New Roman"/>
          <w:color w:val="auto"/>
          <w:sz w:val="32"/>
          <w:szCs w:val="32"/>
          <w:highlight w:val="none"/>
          <w:lang w:bidi="ar"/>
        </w:rPr>
      </w:pPr>
      <w:bookmarkStart w:id="24" w:name="_Toc28790"/>
      <w:bookmarkStart w:id="25" w:name="_Toc3693"/>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14:paraId="303A408D">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十一、办理时限</w:t>
      </w:r>
      <w:bookmarkEnd w:id="24"/>
      <w:bookmarkEnd w:id="25"/>
    </w:p>
    <w:p w14:paraId="2AE21576">
      <w:pPr>
        <w:bidi w:val="0"/>
        <w:rPr>
          <w:rFonts w:hint="eastAsia"/>
          <w:color w:val="auto"/>
          <w:highlight w:val="none"/>
        </w:rPr>
      </w:pPr>
      <w:r>
        <w:rPr>
          <w:rFonts w:hint="eastAsia"/>
          <w:color w:val="auto"/>
          <w:highlight w:val="none"/>
          <w:lang w:val="en-US" w:eastAsia="zh-CN"/>
        </w:rPr>
        <w:t>180个工作日，不含特别程序。</w:t>
      </w:r>
    </w:p>
    <w:p w14:paraId="67BFD918">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32254"/>
      <w:bookmarkStart w:id="27" w:name="_Toc29872"/>
      <w:r>
        <w:rPr>
          <w:rFonts w:hint="eastAsia" w:ascii="黑体" w:hAnsi="黑体" w:eastAsia="黑体" w:cs="仿宋"/>
          <w:color w:val="auto"/>
          <w:kern w:val="2"/>
          <w:sz w:val="32"/>
          <w:szCs w:val="22"/>
          <w:highlight w:val="none"/>
          <w:lang w:val="en-US" w:eastAsia="zh-CN" w:bidi="ar-SA"/>
        </w:rPr>
        <w:t>十二、证件及有效期</w:t>
      </w:r>
      <w:bookmarkEnd w:id="26"/>
      <w:bookmarkEnd w:id="27"/>
    </w:p>
    <w:p w14:paraId="5B3BE7F2">
      <w:pPr>
        <w:bidi w:val="0"/>
        <w:rPr>
          <w:rFonts w:hint="eastAsia"/>
          <w:color w:val="auto"/>
          <w:highlight w:val="none"/>
        </w:rPr>
      </w:pPr>
      <w:r>
        <w:rPr>
          <w:rFonts w:hint="eastAsia"/>
          <w:color w:val="auto"/>
          <w:highlight w:val="none"/>
        </w:rPr>
        <w:t>证件：无</w:t>
      </w:r>
    </w:p>
    <w:p w14:paraId="24685BD7">
      <w:pPr>
        <w:bidi w:val="0"/>
        <w:rPr>
          <w:rFonts w:hint="eastAsia"/>
          <w:color w:val="auto"/>
          <w:highlight w:val="none"/>
        </w:rPr>
      </w:pPr>
      <w:r>
        <w:rPr>
          <w:rFonts w:hint="eastAsia"/>
          <w:color w:val="auto"/>
          <w:highlight w:val="none"/>
        </w:rPr>
        <w:t>有效期限：无</w:t>
      </w:r>
    </w:p>
    <w:p w14:paraId="4FB2BFBA">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28" w:name="_Toc17239"/>
      <w:bookmarkStart w:id="29" w:name="_Toc19920"/>
      <w:r>
        <w:rPr>
          <w:rFonts w:hint="eastAsia" w:ascii="黑体" w:hAnsi="黑体" w:eastAsia="黑体" w:cs="Times New Roman"/>
          <w:color w:val="auto"/>
          <w:kern w:val="2"/>
          <w:sz w:val="32"/>
          <w:szCs w:val="32"/>
          <w:highlight w:val="none"/>
          <w:lang w:val="en-US" w:eastAsia="zh-CN" w:bidi="ar-SA"/>
        </w:rPr>
        <w:t>十三、证件的法律效力</w:t>
      </w:r>
      <w:bookmarkEnd w:id="28"/>
      <w:bookmarkEnd w:id="29"/>
    </w:p>
    <w:p w14:paraId="028FD3EE">
      <w:pPr>
        <w:bidi w:val="0"/>
        <w:rPr>
          <w:rFonts w:hint="eastAsia"/>
          <w:color w:val="auto"/>
          <w:highlight w:val="none"/>
        </w:rPr>
      </w:pPr>
      <w:r>
        <w:rPr>
          <w:rFonts w:hint="eastAsia"/>
          <w:color w:val="auto"/>
          <w:highlight w:val="none"/>
        </w:rPr>
        <w:t>无</w:t>
      </w:r>
    </w:p>
    <w:p w14:paraId="5FEECEEB">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0" w:name="_Toc6842"/>
      <w:bookmarkStart w:id="31" w:name="_Toc7505"/>
      <w:r>
        <w:rPr>
          <w:rFonts w:hint="eastAsia" w:ascii="黑体" w:hAnsi="黑体" w:eastAsia="黑体" w:cs="Times New Roman"/>
          <w:color w:val="auto"/>
          <w:kern w:val="2"/>
          <w:sz w:val="32"/>
          <w:szCs w:val="32"/>
          <w:highlight w:val="none"/>
          <w:lang w:val="en-US" w:eastAsia="zh-CN" w:bidi="ar-SA"/>
        </w:rPr>
        <w:t>十四、收费</w:t>
      </w:r>
      <w:bookmarkEnd w:id="30"/>
      <w:bookmarkEnd w:id="31"/>
    </w:p>
    <w:p w14:paraId="36F2BC32">
      <w:pPr>
        <w:bidi w:val="0"/>
        <w:rPr>
          <w:rFonts w:hint="eastAsia"/>
          <w:color w:val="auto"/>
          <w:highlight w:val="none"/>
        </w:rPr>
      </w:pPr>
      <w:r>
        <w:rPr>
          <w:rFonts w:hint="eastAsia"/>
          <w:color w:val="auto"/>
          <w:highlight w:val="none"/>
        </w:rPr>
        <w:t>无</w:t>
      </w:r>
    </w:p>
    <w:p w14:paraId="0BF482B8">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30145"/>
      <w:bookmarkStart w:id="33" w:name="_Toc30475"/>
      <w:r>
        <w:rPr>
          <w:rFonts w:hint="eastAsia" w:ascii="黑体" w:hAnsi="黑体" w:eastAsia="黑体" w:cs="Times New Roman"/>
          <w:color w:val="auto"/>
          <w:kern w:val="2"/>
          <w:sz w:val="32"/>
          <w:szCs w:val="32"/>
          <w:highlight w:val="none"/>
          <w:lang w:val="en-US" w:eastAsia="zh-CN" w:bidi="ar-SA"/>
        </w:rPr>
        <w:t>十五、年审或年检</w:t>
      </w:r>
      <w:bookmarkEnd w:id="32"/>
      <w:bookmarkEnd w:id="33"/>
    </w:p>
    <w:p w14:paraId="0568D501">
      <w:pPr>
        <w:bidi w:val="0"/>
        <w:rPr>
          <w:rFonts w:hint="eastAsia"/>
          <w:color w:val="auto"/>
          <w:highlight w:val="none"/>
        </w:rPr>
      </w:pPr>
      <w:r>
        <w:rPr>
          <w:rFonts w:hint="eastAsia"/>
          <w:color w:val="auto"/>
          <w:highlight w:val="none"/>
        </w:rPr>
        <w:t>无</w:t>
      </w:r>
      <w:bookmarkStart w:id="34" w:name="_Toc28762"/>
      <w:bookmarkStart w:id="35" w:name="_Toc20677"/>
    </w:p>
    <w:p w14:paraId="66880DD8">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4"/>
      <w:bookmarkEnd w:id="35"/>
    </w:p>
    <w:p w14:paraId="093AEDD0">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14:paraId="684A368D">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14:paraId="22292308">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14:paraId="3FC2B83D">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14:paraId="61886E19">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14:paraId="7E005BB5">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14:paraId="24292E5D">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14:paraId="183C71D0">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5E04F4E3">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14:paraId="001B8D0A">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val="en-US" w:eastAsia="zh-CN"/>
        </w:rPr>
        <w:t>。</w:t>
      </w:r>
      <w:r>
        <w:rPr>
          <w:rFonts w:hint="eastAsia"/>
          <w:color w:val="000000" w:themeColor="text1"/>
          <w:highlight w:val="none"/>
          <w:lang w:val="en-US" w:eastAsia="zh-CN"/>
          <w14:textFill>
            <w14:solidFill>
              <w14:schemeClr w14:val="tx1"/>
            </w14:solidFill>
          </w14:textFill>
        </w:rPr>
        <w:t>（补充受理单位举报电话）</w:t>
      </w:r>
    </w:p>
    <w:p w14:paraId="18425FA5">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14:paraId="5E8B83E9">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14:paraId="11438806">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八</w:t>
      </w:r>
      <w:r>
        <w:rPr>
          <w:rFonts w:hint="eastAsia"/>
          <w:color w:val="auto"/>
          <w:highlight w:val="none"/>
          <w:lang w:eastAsia="zh-CN"/>
        </w:rPr>
        <w:t>）</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bookmarkEnd w:id="18"/>
    <w:bookmarkEnd w:id="19"/>
    <w:bookmarkEnd w:id="20"/>
    <w:bookmarkEnd w:id="21"/>
    <w:p w14:paraId="0827D1F3">
      <w:pPr>
        <w:pStyle w:val="17"/>
        <w:ind w:left="0" w:leftChars="0" w:firstLine="0" w:firstLineChars="0"/>
        <w:rPr>
          <w:rFonts w:ascii="仿宋_GB2312" w:hAnsi="仿宋_GB2312"/>
          <w:color w:val="auto"/>
          <w:highlight w:val="none"/>
        </w:rPr>
      </w:pPr>
    </w:p>
    <w:sectPr>
      <w:footerReference r:id="rId5" w:type="default"/>
      <w:pgSz w:w="11906" w:h="16838"/>
      <w:pgMar w:top="1814" w:right="1474" w:bottom="1814"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E7A30">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7F3DA">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2507F3DA">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0AD696B"/>
    <w:rsid w:val="00EB5BDA"/>
    <w:rsid w:val="02803A46"/>
    <w:rsid w:val="02CB1CF7"/>
    <w:rsid w:val="02DA63DE"/>
    <w:rsid w:val="02E93786"/>
    <w:rsid w:val="032C6A46"/>
    <w:rsid w:val="03B55433"/>
    <w:rsid w:val="05036B9E"/>
    <w:rsid w:val="06426774"/>
    <w:rsid w:val="06825C75"/>
    <w:rsid w:val="070F7027"/>
    <w:rsid w:val="07730BC5"/>
    <w:rsid w:val="08461CA3"/>
    <w:rsid w:val="0A2D6324"/>
    <w:rsid w:val="0A302337"/>
    <w:rsid w:val="0A6C5760"/>
    <w:rsid w:val="0B35692F"/>
    <w:rsid w:val="0B4456D1"/>
    <w:rsid w:val="0BAD1FAB"/>
    <w:rsid w:val="0BE1742C"/>
    <w:rsid w:val="0D1F0CED"/>
    <w:rsid w:val="0E511A57"/>
    <w:rsid w:val="0E5743FF"/>
    <w:rsid w:val="0F95719B"/>
    <w:rsid w:val="0FE131A1"/>
    <w:rsid w:val="10BF0BFF"/>
    <w:rsid w:val="1169458B"/>
    <w:rsid w:val="11A73770"/>
    <w:rsid w:val="124226AB"/>
    <w:rsid w:val="126D73E5"/>
    <w:rsid w:val="13963D94"/>
    <w:rsid w:val="13A40095"/>
    <w:rsid w:val="14053C83"/>
    <w:rsid w:val="15C958A9"/>
    <w:rsid w:val="163D2AB4"/>
    <w:rsid w:val="16A32DE9"/>
    <w:rsid w:val="172A2DF8"/>
    <w:rsid w:val="17B005EC"/>
    <w:rsid w:val="180075D0"/>
    <w:rsid w:val="185533C0"/>
    <w:rsid w:val="187E0EC3"/>
    <w:rsid w:val="18AB1F57"/>
    <w:rsid w:val="18AE6C35"/>
    <w:rsid w:val="190653E0"/>
    <w:rsid w:val="197B53D3"/>
    <w:rsid w:val="1C210334"/>
    <w:rsid w:val="1C964CCC"/>
    <w:rsid w:val="1CFC17D2"/>
    <w:rsid w:val="1EBE0883"/>
    <w:rsid w:val="1FB85FBC"/>
    <w:rsid w:val="205A510F"/>
    <w:rsid w:val="21127D99"/>
    <w:rsid w:val="21A5207B"/>
    <w:rsid w:val="22C22819"/>
    <w:rsid w:val="246A3FA3"/>
    <w:rsid w:val="247FE721"/>
    <w:rsid w:val="26E72CF4"/>
    <w:rsid w:val="287664A5"/>
    <w:rsid w:val="2976170C"/>
    <w:rsid w:val="29BF60E3"/>
    <w:rsid w:val="2A104310"/>
    <w:rsid w:val="2A1A1904"/>
    <w:rsid w:val="2A4B3E74"/>
    <w:rsid w:val="2BA068F1"/>
    <w:rsid w:val="2C2A1457"/>
    <w:rsid w:val="2CAE0A32"/>
    <w:rsid w:val="2E156399"/>
    <w:rsid w:val="2EF97241"/>
    <w:rsid w:val="2F0A3862"/>
    <w:rsid w:val="2FCB3BF8"/>
    <w:rsid w:val="2FFC0AFB"/>
    <w:rsid w:val="302C0287"/>
    <w:rsid w:val="31A95387"/>
    <w:rsid w:val="31B31F93"/>
    <w:rsid w:val="321653A8"/>
    <w:rsid w:val="322E20A6"/>
    <w:rsid w:val="329C19A3"/>
    <w:rsid w:val="32EFF172"/>
    <w:rsid w:val="32F52701"/>
    <w:rsid w:val="32FD313B"/>
    <w:rsid w:val="341A4C22"/>
    <w:rsid w:val="347B2CCE"/>
    <w:rsid w:val="352B3694"/>
    <w:rsid w:val="363C0287"/>
    <w:rsid w:val="3654545B"/>
    <w:rsid w:val="36565190"/>
    <w:rsid w:val="366C2500"/>
    <w:rsid w:val="37EE3B56"/>
    <w:rsid w:val="382C7B34"/>
    <w:rsid w:val="387303F9"/>
    <w:rsid w:val="3B0E3D0E"/>
    <w:rsid w:val="3BB71650"/>
    <w:rsid w:val="3BD7AA9C"/>
    <w:rsid w:val="3BFC17F2"/>
    <w:rsid w:val="3C0C0B0D"/>
    <w:rsid w:val="3C4D22B3"/>
    <w:rsid w:val="3CFD6976"/>
    <w:rsid w:val="3D5D42F6"/>
    <w:rsid w:val="3DB808BA"/>
    <w:rsid w:val="3F9D30B5"/>
    <w:rsid w:val="3FF7D491"/>
    <w:rsid w:val="404F498B"/>
    <w:rsid w:val="407A2ECB"/>
    <w:rsid w:val="418D6C3A"/>
    <w:rsid w:val="423806ED"/>
    <w:rsid w:val="428230B1"/>
    <w:rsid w:val="437A5877"/>
    <w:rsid w:val="43BB3CEC"/>
    <w:rsid w:val="44A91A1A"/>
    <w:rsid w:val="44D052C5"/>
    <w:rsid w:val="458D219F"/>
    <w:rsid w:val="46AE1F3D"/>
    <w:rsid w:val="473C23B2"/>
    <w:rsid w:val="474450E0"/>
    <w:rsid w:val="47781E40"/>
    <w:rsid w:val="48541414"/>
    <w:rsid w:val="4900762E"/>
    <w:rsid w:val="4A6B0082"/>
    <w:rsid w:val="4AB56AE2"/>
    <w:rsid w:val="4B0038EE"/>
    <w:rsid w:val="4B6E7935"/>
    <w:rsid w:val="4C1C5EAE"/>
    <w:rsid w:val="4E7E74BD"/>
    <w:rsid w:val="4E805B64"/>
    <w:rsid w:val="4F9660BB"/>
    <w:rsid w:val="4FC2745B"/>
    <w:rsid w:val="501D2EDD"/>
    <w:rsid w:val="509A0D5C"/>
    <w:rsid w:val="50CB0BE4"/>
    <w:rsid w:val="52252BFC"/>
    <w:rsid w:val="53A430C1"/>
    <w:rsid w:val="54D06548"/>
    <w:rsid w:val="54E753F5"/>
    <w:rsid w:val="55CD0A44"/>
    <w:rsid w:val="563F7F48"/>
    <w:rsid w:val="56F7427F"/>
    <w:rsid w:val="5779221D"/>
    <w:rsid w:val="589B5008"/>
    <w:rsid w:val="58A326D8"/>
    <w:rsid w:val="59466376"/>
    <w:rsid w:val="5BF51433"/>
    <w:rsid w:val="5F596347"/>
    <w:rsid w:val="5F6568F7"/>
    <w:rsid w:val="5FFF8D5C"/>
    <w:rsid w:val="60C802BC"/>
    <w:rsid w:val="623151CA"/>
    <w:rsid w:val="62BC6295"/>
    <w:rsid w:val="63A419D8"/>
    <w:rsid w:val="63F8D40B"/>
    <w:rsid w:val="64D37E08"/>
    <w:rsid w:val="64DB7056"/>
    <w:rsid w:val="652A29AF"/>
    <w:rsid w:val="65CA2139"/>
    <w:rsid w:val="66982F4F"/>
    <w:rsid w:val="66F0546D"/>
    <w:rsid w:val="67FEC2A4"/>
    <w:rsid w:val="6888651F"/>
    <w:rsid w:val="6894168D"/>
    <w:rsid w:val="68EB6152"/>
    <w:rsid w:val="69B52798"/>
    <w:rsid w:val="6A7451AD"/>
    <w:rsid w:val="6AC14C27"/>
    <w:rsid w:val="6BC41409"/>
    <w:rsid w:val="6C030E4B"/>
    <w:rsid w:val="6C5C62E3"/>
    <w:rsid w:val="6CAB30BC"/>
    <w:rsid w:val="6CED51AD"/>
    <w:rsid w:val="6D7B70B7"/>
    <w:rsid w:val="6D814F58"/>
    <w:rsid w:val="6FCC3E6E"/>
    <w:rsid w:val="6FEFB7EB"/>
    <w:rsid w:val="70FF9418"/>
    <w:rsid w:val="71826A4F"/>
    <w:rsid w:val="71D6011D"/>
    <w:rsid w:val="72694444"/>
    <w:rsid w:val="72AF14FA"/>
    <w:rsid w:val="73A0155B"/>
    <w:rsid w:val="74F90479"/>
    <w:rsid w:val="750C1C31"/>
    <w:rsid w:val="7625601A"/>
    <w:rsid w:val="77BF249E"/>
    <w:rsid w:val="78D33F7B"/>
    <w:rsid w:val="795B73E6"/>
    <w:rsid w:val="798E36E0"/>
    <w:rsid w:val="7BE7DF9E"/>
    <w:rsid w:val="7C1A6A34"/>
    <w:rsid w:val="7CBE4AD3"/>
    <w:rsid w:val="7D1C7CE5"/>
    <w:rsid w:val="7DFFEBE5"/>
    <w:rsid w:val="7F16C61B"/>
    <w:rsid w:val="7F363046"/>
    <w:rsid w:val="7FC5F86B"/>
    <w:rsid w:val="8EFFBC18"/>
    <w:rsid w:val="9F3FC941"/>
    <w:rsid w:val="AB6B9E47"/>
    <w:rsid w:val="AEFE8EE1"/>
    <w:rsid w:val="AFC96C4D"/>
    <w:rsid w:val="BD7FD340"/>
    <w:rsid w:val="BEFF28E6"/>
    <w:rsid w:val="BFCF60AB"/>
    <w:rsid w:val="C733EBBE"/>
    <w:rsid w:val="DB5B4F37"/>
    <w:rsid w:val="DBF9CA72"/>
    <w:rsid w:val="DDBDB77D"/>
    <w:rsid w:val="DF548FDE"/>
    <w:rsid w:val="DFDF12F9"/>
    <w:rsid w:val="EBFF6AFD"/>
    <w:rsid w:val="F4FC209B"/>
    <w:rsid w:val="F7FF00EB"/>
    <w:rsid w:val="FB775064"/>
    <w:rsid w:val="FBF5CBAC"/>
    <w:rsid w:val="FEFF3A72"/>
    <w:rsid w:val="FF7827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paragraph" w:customStyle="1" w:styleId="36">
    <w:name w:val="文件正文"/>
    <w:basedOn w:val="10"/>
    <w:qFormat/>
    <w:uiPriority w:val="2"/>
    <w:pPr>
      <w:spacing w:line="560" w:lineRule="exact"/>
      <w:ind w:firstLine="622" w:firstLineChars="200"/>
    </w:pPr>
    <w:rPr>
      <w:rFonts w:eastAsia="仿宋_GB2312"/>
      <w:sz w:val="32"/>
    </w:rPr>
  </w:style>
  <w:style w:type="paragraph" w:customStyle="1" w:styleId="37">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4378</Words>
  <Characters>4509</Characters>
  <Lines>0</Lines>
  <Paragraphs>0</Paragraphs>
  <TotalTime>0</TotalTime>
  <ScaleCrop>false</ScaleCrop>
  <LinksUpToDate>false</LinksUpToDate>
  <CharactersWithSpaces>4514</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2025-07-13T10:47:00Z</dcterms:created>
  <dc:creator>黄佩琳</dc:creator>
  <cp:lastModifiedBy>周文熙</cp:lastModifiedBy>
  <cp:lastPrinted>2026-03-23T14:46:00Z</cp:lastPrinted>
  <dcterms:modified xsi:type="dcterms:W3CDTF">2026-07-13T18:16:44Z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06F86367FA08D136B738226AC911AA75</vt:lpwstr>
  </property>
  <property fmtid="{D5CDD505-2E9C-101B-9397-08002B2CF9AE}" pid="4" name="KSOTemplateDocerSaveRecord">
    <vt:lpwstr>eyJoZGlkIjoiY2NiNzc0ZWE4MzBjY2JmMGYyMmY4NjkxNmNhZGJlNDUiLCJ1c2VySWQiOiI4NzUyMjIyNTQifQ==</vt:lpwstr>
  </property>
</Properties>
</file>