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451CF">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附件3</w:t>
      </w:r>
    </w:p>
    <w:p w14:paraId="1921B6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2CC49C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深圳市光明区2026年中央资金消费新业态新模式新场景试点（支持创新多元化服务消费场景—打造中医药入境消费新增长点资助项目）</w:t>
      </w:r>
    </w:p>
    <w:p w14:paraId="32F304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14:paraId="7F7EA0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23650FE5">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0" w:name="_Toc20798"/>
      <w:bookmarkStart w:id="1"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0"/>
      <w:bookmarkEnd w:id="1"/>
    </w:p>
    <w:p w14:paraId="72D28694">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支持培育中医药入境消费等服务消费新增长点，</w:t>
      </w:r>
      <w:r>
        <w:rPr>
          <w:rStyle w:val="19"/>
          <w:rFonts w:hint="eastAsia" w:ascii="仿宋_GB2312" w:hAnsi="仿宋_GB2312" w:cs="仿宋_GB2312"/>
          <w:color w:val="auto"/>
          <w:sz w:val="32"/>
          <w:szCs w:val="32"/>
          <w:highlight w:val="none"/>
          <w:lang w:val="en-US" w:eastAsia="zh-CN"/>
        </w:rPr>
        <w:t>支持发展中医药旅游线路开发、中医药康养服务、中医药食养药膳服务等消费场景</w:t>
      </w:r>
      <w:r>
        <w:rPr>
          <w:rFonts w:hint="eastAsia"/>
          <w:color w:val="auto"/>
          <w:highlight w:val="none"/>
          <w:lang w:val="en-US" w:eastAsia="zh-CN"/>
        </w:rPr>
        <w:t>。</w:t>
      </w:r>
    </w:p>
    <w:p w14:paraId="1062CE02">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2" w:name="_Toc8852"/>
      <w:bookmarkStart w:id="3"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2"/>
      <w:bookmarkEnd w:id="3"/>
    </w:p>
    <w:p w14:paraId="65B5C2CD">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4EE2EBF6">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6D1B7DC6">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3F401808">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5C84719C">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6DCE3CB8">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4" w:name="_Toc18411"/>
      <w:bookmarkStart w:id="5"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4"/>
      <w:bookmarkEnd w:id="5"/>
    </w:p>
    <w:p w14:paraId="2B009EFD">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3145B2A1">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14:paraId="4E9BAD7F">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363EFA48">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29E7A53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431"/>
      <w:bookmarkStart w:id="7"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6"/>
      <w:bookmarkEnd w:id="7"/>
    </w:p>
    <w:p w14:paraId="418CFEC4">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79668995">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1E186C39">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6B967C95">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433AE48A">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080307CD">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29B764E7">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7A170EE9">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74F55D8A">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708665FB">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6198529F">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37F0C19A">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14:paraId="76F0CE6C">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1.申报单位具备相关合法经营资质，拥有固定经营场所（面积≥2000㎡），且具备国际化服务能力；</w:t>
      </w:r>
    </w:p>
    <w:p w14:paraId="4F8230A3">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2.申报项目为中医药旅游线路开发、中医药康养服务、中医药食养药膳服务等重点消费场景。</w:t>
      </w:r>
    </w:p>
    <w:p w14:paraId="59C18496">
      <w:pPr>
        <w:bidi w:val="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不包括医疗就诊部分固定支出，不包括人员工资、药品采购、基础建设、日常运营费用及不符合规定的其他支出。</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59D4F481">
      <w:pPr>
        <w:bidi w:val="0"/>
        <w:rPr>
          <w:rStyle w:val="19"/>
          <w:rFonts w:hint="eastAsia" w:ascii="仿宋_GB2312" w:hAnsi="仿宋" w:eastAsia="仿宋_GB2312" w:cs="宋体"/>
          <w:bCs/>
          <w:color w:val="auto"/>
          <w:kern w:val="36"/>
          <w:sz w:val="32"/>
          <w:szCs w:val="3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w:t>
      </w:r>
      <w:bookmarkStart w:id="36" w:name="_GoBack"/>
      <w:bookmarkEnd w:id="36"/>
      <w:r>
        <w:rPr>
          <w:rStyle w:val="19"/>
          <w:rFonts w:hint="default" w:ascii="仿宋_GB2312" w:hAnsi="仿宋_GB2312" w:eastAsia="仿宋_GB2312" w:cs="仿宋_GB2312"/>
          <w:color w:val="auto"/>
          <w:sz w:val="32"/>
          <w:szCs w:val="32"/>
          <w:highlight w:val="none"/>
          <w:lang w:val="en-US" w:eastAsia="zh-CN"/>
        </w:rPr>
        <w:t>以及无消费内容的项目。</w:t>
      </w:r>
    </w:p>
    <w:p w14:paraId="10908C2E">
      <w:pPr>
        <w:keepNext w:val="0"/>
        <w:keepLines w:val="0"/>
        <w:widowControl w:val="0"/>
        <w:numPr>
          <w:ilvl w:val="-1"/>
          <w:numId w:val="0"/>
        </w:numPr>
        <w:bidi w:val="0"/>
        <w:spacing w:before="0" w:beforeLines="-2147483648" w:beforeAutospacing="0" w:after="0" w:afterLines="-2147483648" w:afterAutospacing="0" w:line="560" w:lineRule="exact"/>
        <w:ind w:left="0" w:leftChars="0" w:firstLine="640" w:firstLineChars="200"/>
        <w:jc w:val="left"/>
        <w:outlineLvl w:val="9"/>
        <w:rPr>
          <w:rFonts w:hint="eastAsia" w:ascii="仿宋_GB2312" w:hAnsi="仿宋_GB2312" w:eastAsia="黑体" w:cs="Times New Roman"/>
          <w:b w:val="0"/>
          <w:bCs/>
          <w:color w:val="auto"/>
          <w:kern w:val="36"/>
          <w:sz w:val="32"/>
          <w:szCs w:val="48"/>
          <w:highlight w:val="none"/>
          <w:lang w:val="en-US" w:eastAsia="zh-CN" w:bidi="ar-SA"/>
        </w:rPr>
      </w:pPr>
      <w:bookmarkStart w:id="8" w:name="_Toc31102"/>
      <w:bookmarkStart w:id="9" w:name="_Toc7095"/>
      <w:r>
        <w:rPr>
          <w:rFonts w:hint="eastAsia" w:eastAsia="黑体" w:cs="Times New Roman"/>
          <w:b w:val="0"/>
          <w:bCs/>
          <w:color w:val="auto"/>
          <w:kern w:val="36"/>
          <w:sz w:val="32"/>
          <w:szCs w:val="48"/>
          <w:highlight w:val="none"/>
          <w:lang w:val="en-US" w:eastAsia="zh-CN" w:bidi="ar-SA"/>
        </w:rPr>
        <w:t>五、</w:t>
      </w:r>
      <w:r>
        <w:rPr>
          <w:rFonts w:hint="eastAsia" w:ascii="仿宋_GB2312" w:hAnsi="仿宋_GB2312" w:eastAsia="黑体" w:cs="Times New Roman"/>
          <w:b w:val="0"/>
          <w:bCs/>
          <w:color w:val="auto"/>
          <w:kern w:val="36"/>
          <w:sz w:val="32"/>
          <w:szCs w:val="48"/>
          <w:highlight w:val="none"/>
          <w:lang w:val="en-US" w:eastAsia="zh-CN" w:bidi="ar-SA"/>
        </w:rPr>
        <w:t>支持标准</w:t>
      </w:r>
      <w:bookmarkEnd w:id="8"/>
      <w:bookmarkEnd w:id="9"/>
    </w:p>
    <w:p w14:paraId="71583BBE">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支持打造中医药入境消费等服务消费新增长点，按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25%给予资助，试点期间最高不超过300万元。</w:t>
      </w:r>
    </w:p>
    <w:p w14:paraId="26A99959">
      <w:pPr>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w:t>
      </w:r>
      <w:r>
        <w:rPr>
          <w:rFonts w:hint="eastAsia"/>
          <w:color w:val="000000" w:themeColor="text1"/>
          <w:highlight w:val="none"/>
          <w:lang w:val="en-US" w:eastAsia="zh-CN"/>
          <w14:textFill>
            <w14:solidFill>
              <w14:schemeClr w14:val="tx1"/>
            </w14:solidFill>
          </w14:textFill>
        </w:rPr>
        <w:t>打造中医药入境消费新增长点项目，已完成或阶段性完成部分相关投入，不包含各级财政投资部分</w:t>
      </w:r>
      <w:r>
        <w:rPr>
          <w:rFonts w:hint="eastAsia"/>
          <w:color w:val="auto"/>
          <w:highlight w:val="none"/>
          <w:lang w:val="en-US" w:eastAsia="zh-CN"/>
        </w:rPr>
        <w:t>及日常诊疗服务相关投入</w:t>
      </w:r>
      <w:r>
        <w:rPr>
          <w:rFonts w:hint="eastAsia"/>
          <w:color w:val="000000" w:themeColor="text1"/>
          <w:highlight w:val="none"/>
          <w:lang w:val="en-US" w:eastAsia="zh-CN"/>
          <w14:textFill>
            <w14:solidFill>
              <w14:schemeClr w14:val="tx1"/>
            </w14:solidFill>
          </w14:textFill>
        </w:rPr>
        <w:t>，以及第四点第（二）条专项条件中明确不予支持部分。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4D53EA1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0" w:name="_Toc7147"/>
      <w:bookmarkStart w:id="11" w:name="_Toc27028"/>
      <w:r>
        <w:rPr>
          <w:rFonts w:hint="eastAsia" w:ascii="黑体" w:hAnsi="黑体" w:eastAsia="黑体" w:cs="仿宋"/>
          <w:color w:val="auto"/>
          <w:kern w:val="2"/>
          <w:sz w:val="32"/>
          <w:szCs w:val="22"/>
          <w:highlight w:val="none"/>
          <w:lang w:val="en-US" w:eastAsia="zh-CN" w:bidi="ar-SA"/>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（支持创新多元化服务消费场景—打造中医药入境消费新增长点资助项目）”—点击“在线办理”-登录后按要求填报并上传申请材料—点击提交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3479B712">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3764BCAC">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5F2C5F49">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4B5BC9DA">
      <w:pPr>
        <w:bidi w:val="0"/>
        <w:rPr>
          <w:rFonts w:hint="default"/>
          <w:color w:val="auto"/>
          <w:highlight w:val="none"/>
          <w:lang w:val="en-US" w:eastAsia="zh-CN"/>
        </w:rPr>
      </w:pPr>
      <w:r>
        <w:rPr>
          <w:rFonts w:hint="default"/>
          <w:color w:val="auto"/>
          <w:highlight w:val="none"/>
          <w:lang w:val="en-US" w:eastAsia="zh-CN"/>
        </w:rPr>
        <w:t>1.</w:t>
      </w:r>
      <w:r>
        <w:rPr>
          <w:rFonts w:hint="eastAsia"/>
          <w:color w:val="auto"/>
          <w:highlight w:val="none"/>
          <w:lang w:val="en-US" w:eastAsia="zh-CN"/>
        </w:rPr>
        <w:t>专项条件</w:t>
      </w:r>
      <w:r>
        <w:rPr>
          <w:rFonts w:hint="default"/>
          <w:color w:val="auto"/>
          <w:highlight w:val="none"/>
          <w:lang w:val="en-US" w:eastAsia="zh-CN"/>
        </w:rPr>
        <w:t>佐证材料</w:t>
      </w:r>
      <w:r>
        <w:rPr>
          <w:rFonts w:hint="eastAsia"/>
          <w:color w:val="auto"/>
          <w:highlight w:val="none"/>
          <w:lang w:val="en-US" w:eastAsia="zh-CN"/>
        </w:rPr>
        <w:t>：</w:t>
      </w:r>
    </w:p>
    <w:tbl>
      <w:tblPr>
        <w:tblStyle w:val="18"/>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29"/>
        <w:gridCol w:w="4398"/>
        <w:gridCol w:w="3540"/>
      </w:tblGrid>
      <w:tr w14:paraId="34858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6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DD7F5">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维度</w:t>
            </w:r>
          </w:p>
        </w:tc>
        <w:tc>
          <w:tcPr>
            <w:tcW w:w="2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4DA9">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内容</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3987E">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佐证材料</w:t>
            </w:r>
          </w:p>
        </w:tc>
      </w:tr>
      <w:tr w14:paraId="22763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10B848">
            <w:pPr>
              <w:bidi w:val="0"/>
              <w:snapToGrid w:val="0"/>
              <w:spacing w:line="500" w:lineRule="exact"/>
              <w:ind w:left="0" w:leftChars="0" w:right="0" w:rightChars="0" w:firstLine="0" w:firstLineChars="0"/>
              <w:jc w:val="center"/>
              <w:rPr>
                <w:rFonts w:hint="default"/>
                <w:color w:val="auto"/>
                <w:sz w:val="28"/>
                <w:szCs w:val="28"/>
                <w:highlight w:val="none"/>
                <w:lang w:val="en-US" w:eastAsia="zh-CN"/>
              </w:rPr>
            </w:pPr>
            <w:r>
              <w:rPr>
                <w:rFonts w:hint="default"/>
                <w:color w:val="auto"/>
                <w:sz w:val="28"/>
                <w:szCs w:val="28"/>
                <w:highlight w:val="none"/>
                <w:lang w:val="en-US" w:eastAsia="zh-CN"/>
              </w:rPr>
              <w:t>1.实体消费空间</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FDDBF2">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具有合法的中医药服务或相关经营资质，有固定的线下经营场所</w:t>
            </w:r>
            <w:r>
              <w:rPr>
                <w:rFonts w:hint="eastAsia"/>
                <w:color w:val="auto"/>
                <w:sz w:val="28"/>
                <w:szCs w:val="28"/>
                <w:highlight w:val="none"/>
                <w:lang w:val="en-US" w:eastAsia="zh-CN"/>
              </w:rPr>
              <w:t>，</w:t>
            </w:r>
            <w:r>
              <w:rPr>
                <w:rFonts w:hint="default"/>
                <w:color w:val="auto"/>
                <w:sz w:val="28"/>
                <w:szCs w:val="28"/>
                <w:highlight w:val="none"/>
                <w:lang w:val="en-US" w:eastAsia="zh-CN"/>
              </w:rPr>
              <w:t>项目总面积</w:t>
            </w:r>
            <w:r>
              <w:rPr>
                <w:rFonts w:hint="eastAsia"/>
                <w:color w:val="auto"/>
                <w:sz w:val="28"/>
                <w:szCs w:val="28"/>
                <w:highlight w:val="none"/>
                <w:lang w:val="en-US" w:eastAsia="zh-CN"/>
              </w:rPr>
              <w:t>≥2000㎡</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F53A08">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default"/>
                <w:color w:val="auto"/>
                <w:sz w:val="28"/>
                <w:szCs w:val="28"/>
                <w:highlight w:val="none"/>
                <w:lang w:val="en-US" w:eastAsia="zh-CN"/>
              </w:rPr>
              <w:t>医疗机构执业许可证（如涉及诊疗）等资质文件，场地租赁合同/产权证明</w:t>
            </w:r>
          </w:p>
        </w:tc>
      </w:tr>
      <w:tr w14:paraId="77F2D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24B7EF">
            <w:pPr>
              <w:bidi w:val="0"/>
              <w:snapToGrid w:val="0"/>
              <w:spacing w:line="500" w:lineRule="exact"/>
              <w:ind w:left="0" w:leftChars="0" w:right="0" w:rightChars="0" w:firstLine="0" w:firstLineChars="0"/>
              <w:jc w:val="center"/>
              <w:rPr>
                <w:rFonts w:hint="eastAsia"/>
                <w:color w:val="auto"/>
                <w:sz w:val="28"/>
                <w:szCs w:val="28"/>
                <w:highlight w:val="none"/>
                <w:lang w:val="en-US" w:eastAsia="zh-CN"/>
              </w:rPr>
            </w:pPr>
            <w:r>
              <w:rPr>
                <w:rFonts w:hint="eastAsia"/>
                <w:color w:val="auto"/>
                <w:sz w:val="28"/>
                <w:szCs w:val="28"/>
                <w:highlight w:val="none"/>
                <w:lang w:val="en-US" w:eastAsia="zh-CN"/>
              </w:rPr>
              <w:t>2</w:t>
            </w:r>
            <w:r>
              <w:rPr>
                <w:rFonts w:hint="default"/>
                <w:color w:val="auto"/>
                <w:sz w:val="28"/>
                <w:szCs w:val="28"/>
                <w:highlight w:val="none"/>
                <w:lang w:val="en-US" w:eastAsia="zh-CN"/>
              </w:rPr>
              <w:t>.</w:t>
            </w:r>
            <w:r>
              <w:rPr>
                <w:rFonts w:hint="eastAsia"/>
                <w:color w:val="auto"/>
                <w:sz w:val="28"/>
                <w:szCs w:val="28"/>
                <w:highlight w:val="none"/>
                <w:lang w:val="en-US" w:eastAsia="zh-CN"/>
              </w:rPr>
              <w:t>服务能力</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C958A4">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具备国际化服务能力</w:t>
            </w:r>
            <w:r>
              <w:rPr>
                <w:rFonts w:hint="eastAsia"/>
                <w:color w:val="auto"/>
                <w:sz w:val="28"/>
                <w:szCs w:val="28"/>
                <w:highlight w:val="none"/>
                <w:lang w:val="en-US" w:eastAsia="zh-CN"/>
              </w:rPr>
              <w:t>（如拥有双语服务人员、双语服务手册、双语标识等）</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F47F49">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eastAsia"/>
                <w:color w:val="auto"/>
                <w:sz w:val="28"/>
                <w:szCs w:val="28"/>
                <w:highlight w:val="none"/>
                <w:lang w:val="en-US" w:eastAsia="zh-CN"/>
              </w:rPr>
              <w:t>劳务合同、手册文件、照片等</w:t>
            </w:r>
          </w:p>
        </w:tc>
      </w:tr>
      <w:tr w14:paraId="0475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3FB0E7">
            <w:pPr>
              <w:bidi w:val="0"/>
              <w:snapToGrid w:val="0"/>
              <w:spacing w:line="500" w:lineRule="exact"/>
              <w:ind w:left="0" w:leftChars="0" w:right="0" w:rightChars="0" w:firstLine="0" w:firstLineChars="0"/>
              <w:jc w:val="center"/>
              <w:rPr>
                <w:rFonts w:hint="default"/>
                <w:color w:val="auto"/>
                <w:sz w:val="28"/>
                <w:szCs w:val="28"/>
                <w:highlight w:val="none"/>
                <w:lang w:val="en-US" w:eastAsia="zh-CN"/>
              </w:rPr>
            </w:pPr>
            <w:r>
              <w:rPr>
                <w:rFonts w:hint="eastAsia"/>
                <w:color w:val="auto"/>
                <w:sz w:val="28"/>
                <w:szCs w:val="28"/>
                <w:highlight w:val="none"/>
                <w:lang w:val="en-US" w:eastAsia="zh-CN"/>
              </w:rPr>
              <w:t>3</w:t>
            </w:r>
            <w:r>
              <w:rPr>
                <w:rFonts w:hint="default"/>
                <w:color w:val="auto"/>
                <w:sz w:val="28"/>
                <w:szCs w:val="28"/>
                <w:highlight w:val="none"/>
                <w:lang w:val="en-US" w:eastAsia="zh-CN"/>
              </w:rPr>
              <w:t>.业态融合内容</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65B8CA">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中医药旅游线路开发、中医药康养服务、中医药食养药膳服务等重点消费场景</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55FC97">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default"/>
                <w:color w:val="auto"/>
                <w:sz w:val="28"/>
                <w:szCs w:val="28"/>
                <w:highlight w:val="none"/>
                <w:lang w:val="en-US" w:eastAsia="zh-CN"/>
              </w:rPr>
              <w:t>产品手册/服务套餐清单、活动方案、合作协议</w:t>
            </w:r>
            <w:r>
              <w:rPr>
                <w:rFonts w:hint="eastAsia"/>
                <w:color w:val="auto"/>
                <w:sz w:val="28"/>
                <w:szCs w:val="28"/>
                <w:highlight w:val="none"/>
                <w:lang w:val="en-US" w:eastAsia="zh-CN"/>
              </w:rPr>
              <w:t>等</w:t>
            </w:r>
          </w:p>
        </w:tc>
      </w:tr>
    </w:tbl>
    <w:p w14:paraId="2B2FCFA0">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14:paraId="118B7D7D">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18AC6277">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639F6E8D">
      <w:pPr>
        <w:keepNext/>
        <w:keepLines/>
        <w:widowControl w:val="0"/>
        <w:bidi w:val="0"/>
        <w:spacing w:before="0" w:beforeLines="0" w:beforeAutospacing="0" w:after="0" w:afterLines="0" w:afterAutospacing="0" w:line="560" w:lineRule="exact"/>
        <w:jc w:val="both"/>
        <w:outlineLvl w:val="0"/>
        <w:rPr>
          <w:rFonts w:ascii="黑体" w:hAnsi="黑体" w:eastAsia="黑体" w:cs="仿宋"/>
          <w:color w:val="auto"/>
          <w:kern w:val="2"/>
          <w:sz w:val="32"/>
          <w:szCs w:val="22"/>
          <w:highlight w:val="none"/>
          <w:lang w:val="en-US" w:eastAsia="zh-CN" w:bidi="ar-SA"/>
        </w:rPr>
      </w:pPr>
      <w:bookmarkStart w:id="12" w:name="_Toc5711"/>
      <w:bookmarkStart w:id="13" w:name="_Toc19526"/>
      <w:r>
        <w:rPr>
          <w:rFonts w:hint="eastAsia" w:ascii="黑体" w:hAnsi="黑体" w:eastAsia="黑体" w:cs="仿宋"/>
          <w:color w:val="auto"/>
          <w:kern w:val="2"/>
          <w:sz w:val="32"/>
          <w:szCs w:val="22"/>
          <w:highlight w:val="none"/>
          <w:lang w:val="en-US" w:eastAsia="zh-CN" w:bidi="ar-SA"/>
        </w:rPr>
        <w:t>七、申请表格</w:t>
      </w:r>
      <w:bookmarkEnd w:id="12"/>
      <w:bookmarkEnd w:id="13"/>
    </w:p>
    <w:p w14:paraId="0B46BD97">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13760"/>
      <w:bookmarkStart w:id="15" w:name="_Toc20121"/>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1274"/>
      <w:bookmarkStart w:id="17" w:name="_Toc16198"/>
      <w:bookmarkStart w:id="18" w:name="_Toc161850809"/>
      <w:bookmarkStart w:id="19" w:name="_Toc125127183"/>
      <w:bookmarkStart w:id="20" w:name="_Toc10305"/>
      <w:bookmarkStart w:id="21" w:name="_Toc2137"/>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9722"/>
      <w:bookmarkStart w:id="23" w:name="_Toc1376"/>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5BB9DEF3">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16"/>
      <w:bookmarkEnd w:id="17"/>
    </w:p>
    <w:p w14:paraId="21E74DC4">
      <w:pPr>
        <w:bidi w:val="0"/>
        <w:rPr>
          <w:rFonts w:hint="eastAsia" w:ascii="仿宋_GB2312" w:hAnsi="仿宋_GB2312" w:eastAsia="仿宋_GB2312" w:cs="Times New Roman"/>
          <w:color w:val="auto"/>
          <w:sz w:val="32"/>
          <w:szCs w:val="32"/>
          <w:highlight w:val="none"/>
          <w:lang w:bidi="ar"/>
        </w:rPr>
      </w:pPr>
      <w:bookmarkStart w:id="24" w:name="_Toc3693"/>
      <w:bookmarkStart w:id="25" w:name="_Toc28790"/>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2D5438AE">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十一、办理时限</w:t>
      </w:r>
      <w:bookmarkEnd w:id="24"/>
      <w:bookmarkEnd w:id="25"/>
    </w:p>
    <w:p w14:paraId="421A2187">
      <w:pPr>
        <w:bidi w:val="0"/>
        <w:rPr>
          <w:rFonts w:hint="eastAsia"/>
          <w:color w:val="auto"/>
          <w:highlight w:val="none"/>
        </w:rPr>
      </w:pPr>
      <w:r>
        <w:rPr>
          <w:rFonts w:hint="eastAsia"/>
          <w:color w:val="auto"/>
          <w:highlight w:val="none"/>
          <w:lang w:val="en-US" w:eastAsia="zh-CN"/>
        </w:rPr>
        <w:t>180个工作日，不含特别程序。</w:t>
      </w:r>
    </w:p>
    <w:p w14:paraId="152E0C65">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29872"/>
      <w:bookmarkStart w:id="27" w:name="_Toc32254"/>
      <w:r>
        <w:rPr>
          <w:rFonts w:hint="eastAsia" w:ascii="黑体" w:hAnsi="黑体" w:eastAsia="黑体" w:cs="仿宋"/>
          <w:color w:val="auto"/>
          <w:kern w:val="2"/>
          <w:sz w:val="32"/>
          <w:szCs w:val="22"/>
          <w:highlight w:val="none"/>
          <w:lang w:val="en-US" w:eastAsia="zh-CN" w:bidi="ar-SA"/>
        </w:rPr>
        <w:t>十二、证件及有效期</w:t>
      </w:r>
      <w:bookmarkEnd w:id="26"/>
      <w:bookmarkEnd w:id="27"/>
    </w:p>
    <w:p w14:paraId="08AB58A2">
      <w:pPr>
        <w:bidi w:val="0"/>
        <w:rPr>
          <w:rFonts w:hint="eastAsia"/>
          <w:color w:val="auto"/>
          <w:highlight w:val="none"/>
        </w:rPr>
      </w:pPr>
      <w:r>
        <w:rPr>
          <w:rFonts w:hint="eastAsia"/>
          <w:color w:val="auto"/>
          <w:highlight w:val="none"/>
        </w:rPr>
        <w:t>证件：无</w:t>
      </w:r>
    </w:p>
    <w:p w14:paraId="2FADB741">
      <w:pPr>
        <w:bidi w:val="0"/>
        <w:rPr>
          <w:rFonts w:hint="eastAsia"/>
          <w:color w:val="auto"/>
          <w:highlight w:val="none"/>
        </w:rPr>
      </w:pPr>
      <w:r>
        <w:rPr>
          <w:rFonts w:hint="eastAsia"/>
          <w:color w:val="auto"/>
          <w:highlight w:val="none"/>
        </w:rPr>
        <w:t>有效期限：无</w:t>
      </w:r>
    </w:p>
    <w:p w14:paraId="4370CCB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28" w:name="_Toc19920"/>
      <w:bookmarkStart w:id="29" w:name="_Toc17239"/>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14:paraId="1F6CED48">
      <w:pPr>
        <w:bidi w:val="0"/>
        <w:rPr>
          <w:rFonts w:hint="eastAsia"/>
          <w:color w:val="auto"/>
          <w:highlight w:val="none"/>
        </w:rPr>
      </w:pPr>
      <w:r>
        <w:rPr>
          <w:rFonts w:hint="eastAsia"/>
          <w:color w:val="auto"/>
          <w:highlight w:val="none"/>
        </w:rPr>
        <w:t>无</w:t>
      </w:r>
    </w:p>
    <w:p w14:paraId="244896B9">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0" w:name="_Toc6842"/>
      <w:bookmarkStart w:id="31" w:name="_Toc7505"/>
      <w:r>
        <w:rPr>
          <w:rFonts w:hint="eastAsia" w:ascii="黑体" w:hAnsi="黑体" w:eastAsia="黑体" w:cs="Times New Roman"/>
          <w:color w:val="auto"/>
          <w:kern w:val="2"/>
          <w:sz w:val="32"/>
          <w:szCs w:val="32"/>
          <w:highlight w:val="none"/>
          <w:lang w:val="en-US" w:eastAsia="zh-CN" w:bidi="ar-SA"/>
        </w:rPr>
        <w:t>十四、收费</w:t>
      </w:r>
      <w:bookmarkEnd w:id="30"/>
      <w:bookmarkEnd w:id="31"/>
    </w:p>
    <w:p w14:paraId="3F23C5FE">
      <w:pPr>
        <w:bidi w:val="0"/>
        <w:rPr>
          <w:rFonts w:hint="eastAsia"/>
          <w:color w:val="auto"/>
          <w:highlight w:val="none"/>
        </w:rPr>
      </w:pPr>
      <w:r>
        <w:rPr>
          <w:rFonts w:hint="eastAsia"/>
          <w:color w:val="auto"/>
          <w:highlight w:val="none"/>
        </w:rPr>
        <w:t>无</w:t>
      </w:r>
    </w:p>
    <w:p w14:paraId="3A28D880">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30475"/>
      <w:bookmarkStart w:id="33" w:name="_Toc3014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14:paraId="55565C81">
      <w:pPr>
        <w:bidi w:val="0"/>
        <w:rPr>
          <w:rFonts w:hint="eastAsia"/>
          <w:color w:val="auto"/>
          <w:highlight w:val="none"/>
        </w:rPr>
      </w:pPr>
      <w:r>
        <w:rPr>
          <w:rFonts w:hint="eastAsia"/>
          <w:color w:val="auto"/>
          <w:highlight w:val="none"/>
        </w:rPr>
        <w:t>无</w:t>
      </w:r>
      <w:bookmarkStart w:id="34" w:name="_Toc28762"/>
      <w:bookmarkStart w:id="35" w:name="_Toc20677"/>
    </w:p>
    <w:p w14:paraId="1682EEA6">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14:paraId="327C49B9">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2F940AEC">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4DF3D838">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44AA3313">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5544D6F1">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62555E0C">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158E0900">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7A14EC9D">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297D5FA4">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1F997B80">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（补充受理单位举报电话）</w:t>
      </w:r>
    </w:p>
    <w:p w14:paraId="34CA9F27">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4AECD420">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3F641820">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若项目服务资质被吊销或出现重大医疗纠纷，需立即退回资助资金并终止支持。</w:t>
      </w:r>
    </w:p>
    <w:p w14:paraId="6FC54E09">
      <w:pPr>
        <w:bidi w:val="0"/>
        <w:rPr>
          <w:rFonts w:hint="eastAsia" w:eastAsia="仿宋_GB2312"/>
          <w:color w:val="auto"/>
          <w:highlight w:val="none"/>
          <w:lang w:eastAsia="zh-CN"/>
        </w:rPr>
      </w:pPr>
    </w:p>
    <w:p w14:paraId="307B2482">
      <w:pPr>
        <w:bidi w:val="0"/>
        <w:rPr>
          <w:rFonts w:hint="eastAsia"/>
          <w:color w:val="auto"/>
          <w:highlight w:val="none"/>
        </w:rPr>
      </w:pPr>
    </w:p>
    <w:bookmarkEnd w:id="18"/>
    <w:bookmarkEnd w:id="19"/>
    <w:bookmarkEnd w:id="20"/>
    <w:bookmarkEnd w:id="21"/>
    <w:p w14:paraId="509C4413">
      <w:pPr>
        <w:pStyle w:val="17"/>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82044">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3F1EAC">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0D3F1EAC">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627A1C"/>
    <w:rsid w:val="02803A46"/>
    <w:rsid w:val="02CB1CF7"/>
    <w:rsid w:val="02DA63DE"/>
    <w:rsid w:val="02E93786"/>
    <w:rsid w:val="032C6A46"/>
    <w:rsid w:val="03B55433"/>
    <w:rsid w:val="06426774"/>
    <w:rsid w:val="070F7027"/>
    <w:rsid w:val="082C1BA1"/>
    <w:rsid w:val="08461CA3"/>
    <w:rsid w:val="099B1C43"/>
    <w:rsid w:val="0A2D6324"/>
    <w:rsid w:val="0A6C5760"/>
    <w:rsid w:val="0B35692F"/>
    <w:rsid w:val="0B4456D1"/>
    <w:rsid w:val="0BAD1FAB"/>
    <w:rsid w:val="0BE1742C"/>
    <w:rsid w:val="0D1F0CED"/>
    <w:rsid w:val="0F605C7A"/>
    <w:rsid w:val="0F95719B"/>
    <w:rsid w:val="0FE131A1"/>
    <w:rsid w:val="10BF0BFF"/>
    <w:rsid w:val="11A73770"/>
    <w:rsid w:val="124226AB"/>
    <w:rsid w:val="126D73E5"/>
    <w:rsid w:val="12B144B1"/>
    <w:rsid w:val="13404115"/>
    <w:rsid w:val="13A40095"/>
    <w:rsid w:val="14053C83"/>
    <w:rsid w:val="15C958A9"/>
    <w:rsid w:val="163D2AB4"/>
    <w:rsid w:val="172A2DF8"/>
    <w:rsid w:val="17391889"/>
    <w:rsid w:val="17645F1C"/>
    <w:rsid w:val="176D401C"/>
    <w:rsid w:val="17B005EC"/>
    <w:rsid w:val="183C74C7"/>
    <w:rsid w:val="185533C0"/>
    <w:rsid w:val="187E0EC3"/>
    <w:rsid w:val="18AB1F57"/>
    <w:rsid w:val="190653E0"/>
    <w:rsid w:val="197B53D3"/>
    <w:rsid w:val="19B65CFF"/>
    <w:rsid w:val="1B137764"/>
    <w:rsid w:val="1C210334"/>
    <w:rsid w:val="1C964CCC"/>
    <w:rsid w:val="1CFC17D2"/>
    <w:rsid w:val="1EBE0883"/>
    <w:rsid w:val="1FAFA1B8"/>
    <w:rsid w:val="205A510F"/>
    <w:rsid w:val="21127D99"/>
    <w:rsid w:val="21A5207B"/>
    <w:rsid w:val="22C22819"/>
    <w:rsid w:val="22E8050C"/>
    <w:rsid w:val="24004A92"/>
    <w:rsid w:val="246A3FA3"/>
    <w:rsid w:val="25BF43FD"/>
    <w:rsid w:val="26E72CF4"/>
    <w:rsid w:val="2976170C"/>
    <w:rsid w:val="2A104310"/>
    <w:rsid w:val="2A1A1904"/>
    <w:rsid w:val="2A4B3E74"/>
    <w:rsid w:val="2AE65214"/>
    <w:rsid w:val="2B3E8AD3"/>
    <w:rsid w:val="2BA068F1"/>
    <w:rsid w:val="2C2A1457"/>
    <w:rsid w:val="2CAE0A32"/>
    <w:rsid w:val="2D65712B"/>
    <w:rsid w:val="2EEE88B7"/>
    <w:rsid w:val="2F0A3862"/>
    <w:rsid w:val="2FFC0AFB"/>
    <w:rsid w:val="302C0287"/>
    <w:rsid w:val="31A95387"/>
    <w:rsid w:val="31B31F93"/>
    <w:rsid w:val="321653A8"/>
    <w:rsid w:val="322E20A6"/>
    <w:rsid w:val="329C19A3"/>
    <w:rsid w:val="32F52701"/>
    <w:rsid w:val="341A4C22"/>
    <w:rsid w:val="347B2CCE"/>
    <w:rsid w:val="352B3694"/>
    <w:rsid w:val="363C0287"/>
    <w:rsid w:val="3654545B"/>
    <w:rsid w:val="36565190"/>
    <w:rsid w:val="366C2500"/>
    <w:rsid w:val="382C7B34"/>
    <w:rsid w:val="387303F9"/>
    <w:rsid w:val="3B0E3D0E"/>
    <w:rsid w:val="3B2F70A2"/>
    <w:rsid w:val="3BFC17F2"/>
    <w:rsid w:val="3CFD6976"/>
    <w:rsid w:val="3D5D42F6"/>
    <w:rsid w:val="3D68552C"/>
    <w:rsid w:val="3DB808BA"/>
    <w:rsid w:val="407A2ECB"/>
    <w:rsid w:val="418D6C3A"/>
    <w:rsid w:val="423806ED"/>
    <w:rsid w:val="428230B1"/>
    <w:rsid w:val="437A5877"/>
    <w:rsid w:val="43BB3CEC"/>
    <w:rsid w:val="44A91A1A"/>
    <w:rsid w:val="44D052C5"/>
    <w:rsid w:val="46AE1F3D"/>
    <w:rsid w:val="473C23B2"/>
    <w:rsid w:val="474450E0"/>
    <w:rsid w:val="475B3A97"/>
    <w:rsid w:val="47781E40"/>
    <w:rsid w:val="48541414"/>
    <w:rsid w:val="486936D2"/>
    <w:rsid w:val="48E05859"/>
    <w:rsid w:val="4900762E"/>
    <w:rsid w:val="4A6B0082"/>
    <w:rsid w:val="4AB56AE2"/>
    <w:rsid w:val="4B0038EE"/>
    <w:rsid w:val="4B6E7935"/>
    <w:rsid w:val="4BE372DC"/>
    <w:rsid w:val="4C7B0D4E"/>
    <w:rsid w:val="4C7DD7DC"/>
    <w:rsid w:val="4DDB2728"/>
    <w:rsid w:val="4DF787A7"/>
    <w:rsid w:val="4E7E74BD"/>
    <w:rsid w:val="4E805B64"/>
    <w:rsid w:val="4FC2745B"/>
    <w:rsid w:val="509A0D5C"/>
    <w:rsid w:val="52252BFC"/>
    <w:rsid w:val="54D06548"/>
    <w:rsid w:val="54E753F5"/>
    <w:rsid w:val="563F7F48"/>
    <w:rsid w:val="56F7427F"/>
    <w:rsid w:val="5779221D"/>
    <w:rsid w:val="589B5008"/>
    <w:rsid w:val="58A326D8"/>
    <w:rsid w:val="59413C36"/>
    <w:rsid w:val="59466376"/>
    <w:rsid w:val="59F033A8"/>
    <w:rsid w:val="5BF51433"/>
    <w:rsid w:val="5BFEFAA9"/>
    <w:rsid w:val="5E992A9C"/>
    <w:rsid w:val="5EEFFC80"/>
    <w:rsid w:val="5F28482B"/>
    <w:rsid w:val="5FFF8D5C"/>
    <w:rsid w:val="60C802BC"/>
    <w:rsid w:val="61DE5CFF"/>
    <w:rsid w:val="623151CA"/>
    <w:rsid w:val="64312FEF"/>
    <w:rsid w:val="64DB7056"/>
    <w:rsid w:val="66982F4F"/>
    <w:rsid w:val="66F04EFF"/>
    <w:rsid w:val="6780529D"/>
    <w:rsid w:val="6888651F"/>
    <w:rsid w:val="6894168D"/>
    <w:rsid w:val="69B52798"/>
    <w:rsid w:val="6A7451AD"/>
    <w:rsid w:val="6AC14C27"/>
    <w:rsid w:val="6B180981"/>
    <w:rsid w:val="6BB98B6C"/>
    <w:rsid w:val="6BC41409"/>
    <w:rsid w:val="6C030E4B"/>
    <w:rsid w:val="6C5C62E3"/>
    <w:rsid w:val="6CAB30BC"/>
    <w:rsid w:val="6CED51AD"/>
    <w:rsid w:val="6DE96D78"/>
    <w:rsid w:val="6DEC85AE"/>
    <w:rsid w:val="6ED9C58C"/>
    <w:rsid w:val="6FCC3E6E"/>
    <w:rsid w:val="6FEF791D"/>
    <w:rsid w:val="6FEFB7EB"/>
    <w:rsid w:val="701C78E1"/>
    <w:rsid w:val="71D6011D"/>
    <w:rsid w:val="71E7B62A"/>
    <w:rsid w:val="72694444"/>
    <w:rsid w:val="727DD25D"/>
    <w:rsid w:val="72AF14FA"/>
    <w:rsid w:val="73A0155B"/>
    <w:rsid w:val="74F90479"/>
    <w:rsid w:val="75FD716A"/>
    <w:rsid w:val="7625601A"/>
    <w:rsid w:val="77576880"/>
    <w:rsid w:val="77BF249E"/>
    <w:rsid w:val="77DE7E15"/>
    <w:rsid w:val="78D33F7B"/>
    <w:rsid w:val="798E36E0"/>
    <w:rsid w:val="7995233F"/>
    <w:rsid w:val="79B756FB"/>
    <w:rsid w:val="79F8EE65"/>
    <w:rsid w:val="7B2F4536"/>
    <w:rsid w:val="7BA7127F"/>
    <w:rsid w:val="7BED83D4"/>
    <w:rsid w:val="7BFFEAC2"/>
    <w:rsid w:val="7C1A6A34"/>
    <w:rsid w:val="7CBE4AD3"/>
    <w:rsid w:val="7D1C7CE5"/>
    <w:rsid w:val="7D9DAF96"/>
    <w:rsid w:val="7DFEDB60"/>
    <w:rsid w:val="7E3CDA84"/>
    <w:rsid w:val="7EFF7B60"/>
    <w:rsid w:val="7F363046"/>
    <w:rsid w:val="7FEB724A"/>
    <w:rsid w:val="7FEF9ED4"/>
    <w:rsid w:val="8EE5D9BC"/>
    <w:rsid w:val="8EFFBC18"/>
    <w:rsid w:val="99F59C3F"/>
    <w:rsid w:val="A6F7FB93"/>
    <w:rsid w:val="B7FD6DEF"/>
    <w:rsid w:val="BD737366"/>
    <w:rsid w:val="BDC7F9D0"/>
    <w:rsid w:val="BDFF921F"/>
    <w:rsid w:val="BFEA2FCE"/>
    <w:rsid w:val="CAD9C8C3"/>
    <w:rsid w:val="CCD9B8B2"/>
    <w:rsid w:val="CFCFBB90"/>
    <w:rsid w:val="CFFB4A69"/>
    <w:rsid w:val="D5BAC5CF"/>
    <w:rsid w:val="D6EF5D56"/>
    <w:rsid w:val="D7D76B4E"/>
    <w:rsid w:val="D9D2F7FD"/>
    <w:rsid w:val="DBAFBEB8"/>
    <w:rsid w:val="DBF7F6DE"/>
    <w:rsid w:val="DFFF2255"/>
    <w:rsid w:val="EF7F522E"/>
    <w:rsid w:val="EFF77BA1"/>
    <w:rsid w:val="F3F78A97"/>
    <w:rsid w:val="F46D532E"/>
    <w:rsid w:val="F59B5AEC"/>
    <w:rsid w:val="F5FF6933"/>
    <w:rsid w:val="F73F8F26"/>
    <w:rsid w:val="FDE87A96"/>
    <w:rsid w:val="FF1A0A57"/>
    <w:rsid w:val="FF6BA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4836</Words>
  <Characters>4990</Characters>
  <Lines>0</Lines>
  <Paragraphs>0</Paragraphs>
  <TotalTime>0</TotalTime>
  <ScaleCrop>false</ScaleCrop>
  <LinksUpToDate>false</LinksUpToDate>
  <CharactersWithSpaces>4996</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2025-07-14T02:47:00Z</dcterms:created>
  <dc:creator>黄佩琳</dc:creator>
  <cp:lastModifiedBy>周文熙</cp:lastModifiedBy>
  <cp:lastPrinted>2026-03-24T06:46:00Z</cp:lastPrinted>
  <dcterms:modified xsi:type="dcterms:W3CDTF">2026-07-13T18:18:53Z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68B56934036A9C02A238226A971FE60A</vt:lpwstr>
  </property>
  <property fmtid="{D5CDD505-2E9C-101B-9397-08002B2CF9AE}" pid="4" name="KSOTemplateDocerSaveRecord">
    <vt:lpwstr>eyJoZGlkIjoiY2NiNzc0ZWE4MzBjY2JmMGYyMmY4NjkxNmNhZGJlNDUiLCJ1c2VySWQiOiI4NzUyMjIyNTQifQ==</vt:lpwstr>
  </property>
</Properties>
</file>