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C7172E">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附件7</w:t>
      </w:r>
    </w:p>
    <w:p w14:paraId="00B458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p>
    <w:p w14:paraId="7D5215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深圳市光明区</w:t>
      </w:r>
      <w:r>
        <w:rPr>
          <w:rFonts w:hint="eastAsia" w:ascii="方正小标宋简体" w:hAnsi="Times New Roman" w:eastAsia="方正小标宋简体" w:cs="Times New Roman"/>
          <w:color w:val="auto"/>
          <w:kern w:val="2"/>
          <w:sz w:val="44"/>
          <w:szCs w:val="44"/>
          <w:highlight w:val="none"/>
          <w:lang w:val="en-US" w:eastAsia="zh-CN" w:bidi="ar-SA"/>
        </w:rPr>
        <w:t>2026年中央资金</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消费新业态新模式新场景试点（支持创新多元化服务消费场景</w:t>
      </w:r>
      <w:r>
        <w:rPr>
          <w:rFonts w:hint="default"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重点赛事活动“进商圈、进街区、</w:t>
      </w:r>
    </w:p>
    <w:p w14:paraId="1ED927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进景区”资助</w:t>
      </w:r>
      <w:r>
        <w:rPr>
          <w:rFonts w:hint="default"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项目</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）申报指南</w:t>
      </w:r>
    </w:p>
    <w:p w14:paraId="58A23B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p>
    <w:p w14:paraId="56C25F81">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pPr>
      <w:bookmarkStart w:id="0" w:name="_Toc20798"/>
      <w:bookmarkStart w:id="1" w:name="_Toc24194"/>
      <w:r>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t>支持领域</w:t>
      </w:r>
      <w:bookmarkEnd w:id="0"/>
      <w:bookmarkEnd w:id="1"/>
    </w:p>
    <w:p w14:paraId="0C9B77E0">
      <w:pPr>
        <w:bidi w:val="0"/>
        <w:spacing w:before="0" w:after="0" w:line="560" w:lineRule="exact"/>
        <w:ind w:firstLine="640"/>
        <w:rPr>
          <w:rFonts w:hint="eastAsia"/>
          <w:color w:val="auto"/>
          <w:highlight w:val="none"/>
          <w:lang w:val="en-US" w:eastAsia="zh-CN"/>
        </w:rPr>
      </w:pPr>
      <w:r>
        <w:rPr>
          <w:rStyle w:val="19"/>
          <w:rFonts w:hint="eastAsia" w:ascii="仿宋_GB2312" w:hAnsi="仿宋_GB2312" w:eastAsia="仿宋_GB2312" w:cs="仿宋_GB2312"/>
          <w:color w:val="auto"/>
          <w:sz w:val="32"/>
          <w:szCs w:val="32"/>
          <w:highlight w:val="none"/>
          <w:lang w:val="en-US" w:eastAsia="zh-CN"/>
        </w:rPr>
        <w:t>支持重点赛事活动“进商圈、进街区、进景区”。</w:t>
      </w:r>
    </w:p>
    <w:p w14:paraId="6CC2E1CF">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2" w:name="_Toc8852"/>
      <w:bookmarkStart w:id="3" w:name="_Toc15437"/>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设定依据</w:t>
      </w:r>
      <w:bookmarkEnd w:id="2"/>
      <w:bookmarkEnd w:id="3"/>
    </w:p>
    <w:p w14:paraId="67EC70D8">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（一）资金政策依据</w:t>
      </w:r>
    </w:p>
    <w:p w14:paraId="35D0433E">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14:paraId="5E9226CD">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（二）资金管理依据</w:t>
      </w:r>
    </w:p>
    <w:p w14:paraId="2A074611">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highlight w:val="none"/>
          <w:lang w:val="en-US" w:eastAsia="zh-CN"/>
          <w14:textFill>
            <w14:solidFill>
              <w14:schemeClr w14:val="tx1"/>
            </w14:solidFill>
          </w14:textFill>
        </w:rPr>
        <w:t>《深圳市消费新业态新模式新场景试点城市建设资金管理办法》</w:t>
      </w:r>
    </w:p>
    <w:p w14:paraId="498151E9">
      <w:pPr>
        <w:bidi w:val="0"/>
        <w:rPr>
          <w:rFonts w:hint="eastAsia"/>
          <w:color w:val="000000" w:themeColor="text1"/>
          <w:highlight w:val="none"/>
          <w:u w:val="singl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14:paraId="4B9FE064">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4" w:name="_Toc18411"/>
      <w:bookmarkStart w:id="5" w:name="_Toc21755"/>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支持数量和支持方式</w:t>
      </w:r>
      <w:bookmarkEnd w:id="4"/>
      <w:bookmarkEnd w:id="5"/>
    </w:p>
    <w:p w14:paraId="5AFDB0CA">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（一）支持数量</w:t>
      </w:r>
    </w:p>
    <w:p w14:paraId="11302770">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有数量限制，受财政下达年度资金预算控制，视申报情况，我局据以对</w:t>
      </w:r>
      <w:r>
        <w:rPr>
          <w:rFonts w:hint="eastAsia"/>
          <w:color w:val="000000" w:themeColor="text1"/>
          <w:highlight w:val="none"/>
          <w:lang w:val="en-US" w:eastAsia="zh-CN"/>
          <w14:textFill>
            <w14:solidFill>
              <w14:schemeClr w14:val="tx1"/>
            </w14:solidFill>
          </w14:textFill>
        </w:rPr>
        <w:t>资助</w:t>
      </w:r>
      <w:r>
        <w:rPr>
          <w:rFonts w:hint="eastAsia" w:ascii="仿宋_GB2312" w:eastAsia="仿宋_GB2312"/>
          <w:color w:val="000000" w:themeColor="text1"/>
          <w:highlight w:val="none"/>
          <w:lang w:val="en-US" w:eastAsia="zh-CN"/>
          <w14:textFill>
            <w14:solidFill>
              <w14:schemeClr w14:val="tx1"/>
            </w14:solidFill>
          </w14:textFill>
        </w:rPr>
        <w:t>金额和拨付进度等进行统一调整，申报单位应无条件同意调整结果。</w:t>
      </w:r>
    </w:p>
    <w:p w14:paraId="1A9F847E">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（二）支持方式</w:t>
      </w:r>
    </w:p>
    <w:p w14:paraId="58F45294">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事后资助，自愿申报。</w:t>
      </w:r>
    </w:p>
    <w:p w14:paraId="33948B76">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6" w:name="_Toc431"/>
      <w:bookmarkStart w:id="7" w:name="_Toc15307"/>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申报条件</w:t>
      </w:r>
      <w:bookmarkEnd w:id="6"/>
      <w:bookmarkEnd w:id="7"/>
    </w:p>
    <w:p w14:paraId="759BC9DC">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（一）基础条件</w:t>
      </w:r>
    </w:p>
    <w:p w14:paraId="1F52947E">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1.申报单位为在深圳市实际从事经营活动的企业、事业单位。</w:t>
      </w:r>
    </w:p>
    <w:p w14:paraId="4201361B">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2.申报单位应为消费新业态新模式新场景试点项目（即申报项目）的实际建设或运营主体，项目所在地应在深圳市（含深汕特别合作区，下同）。</w:t>
      </w:r>
    </w:p>
    <w:p w14:paraId="0B9D4EE0">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3.申报单位未被国家、省、市有关部门列入严重失信主体名单实施失信惩戒，未被明确限制申请财政性资金项目且在限制期内；未拖欠应缴还的财政性资金。</w:t>
      </w:r>
    </w:p>
    <w:p w14:paraId="114CAA32">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4</w:t>
      </w:r>
      <w:r>
        <w:rPr>
          <w:rFonts w:hint="eastAsia"/>
          <w:color w:val="000000" w:themeColor="text1"/>
          <w:highlight w:val="none"/>
          <w:lang w:val="en-US" w:eastAsia="zh-CN"/>
          <w14:textFill>
            <w14:solidFill>
              <w14:schemeClr w14:val="tx1"/>
            </w14:solidFill>
          </w14:textFill>
        </w:rPr>
        <w:t>.申报单位应保证资金真实申报、合规使用和有效管理；应对申报材料的真实性、合法性、完整性负责，应如实提供本单位信用状况，承担违约责任并作出承诺，不得弄虚作假、套取、骗取财政资金。</w:t>
      </w:r>
    </w:p>
    <w:p w14:paraId="721450A6">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07E6CC97">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6.申报单位不存在将本属于同一性质内涵与建设内容的资助项目刻意分拆成两个项目的情形。同一项目不得重复申请多个支持</w:t>
      </w:r>
      <w:r>
        <w:rPr>
          <w:rFonts w:hint="default"/>
          <w:color w:val="000000" w:themeColor="text1"/>
          <w:highlight w:val="none"/>
          <w:lang w:eastAsia="zh-CN"/>
          <w14:textFill>
            <w14:solidFill>
              <w14:schemeClr w14:val="tx1"/>
            </w14:solidFill>
          </w14:textFill>
        </w:rPr>
        <w:t>内容</w:t>
      </w:r>
      <w:r>
        <w:rPr>
          <w:rFonts w:hint="eastAsia"/>
          <w:color w:val="000000" w:themeColor="text1"/>
          <w:highlight w:val="none"/>
          <w:lang w:val="en-US" w:eastAsia="zh-CN"/>
          <w14:textFill>
            <w14:solidFill>
              <w14:schemeClr w14:val="tx1"/>
            </w14:solidFill>
          </w14:textFill>
        </w:rPr>
        <w:t>。</w:t>
      </w:r>
    </w:p>
    <w:p w14:paraId="3A56C7CD">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7.申报单位须配合开展消费新业态新模式新场景试点工作，报送工作进展及相关数据。</w:t>
      </w:r>
    </w:p>
    <w:p w14:paraId="2F304DD4">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8.项目资助金额不得超过项目实际有效总投入的50%，同一项目中央、省、市、区资助合计不超过项目实际投入。</w:t>
      </w:r>
    </w:p>
    <w:p w14:paraId="701DDEA8">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9.申报项目管理机制健全，绩效目标清晰、合理、可考核，预期成效显著。</w:t>
      </w:r>
    </w:p>
    <w:p w14:paraId="13E77E25">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（二）专项条件</w:t>
      </w:r>
    </w:p>
    <w:p w14:paraId="47517FF5">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申报项目须同时满足以下条件：</w:t>
      </w:r>
    </w:p>
    <w:p w14:paraId="747E975E">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1.赛事活动周期持续1个月以上；</w:t>
      </w:r>
    </w:p>
    <w:p w14:paraId="1F52CF86">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2.在深举办场次不少于6场；</w:t>
      </w:r>
    </w:p>
    <w:p w14:paraId="64D88A0A">
      <w:pPr>
        <w:pStyle w:val="36"/>
        <w:bidi w:val="0"/>
        <w:ind w:firstLine="64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3.进场观众人数1万人次以上。</w:t>
      </w:r>
    </w:p>
    <w:p w14:paraId="41C1BC72">
      <w:pPr>
        <w:pStyle w:val="36"/>
        <w:bidi w:val="0"/>
        <w:ind w:firstLine="640" w:firstLineChars="200"/>
        <w:rPr>
          <w:rStyle w:val="19"/>
          <w:rFonts w:hint="eastAsia" w:ascii="仿宋_GB2312" w:hAnsi="仿宋" w:eastAsia="仿宋_GB2312" w:cs="宋体"/>
          <w:bCs/>
          <w:color w:val="auto"/>
          <w:kern w:val="36"/>
          <w:sz w:val="32"/>
          <w:szCs w:val="32"/>
          <w:highlight w:val="none"/>
          <w:lang w:eastAsia="zh-CN"/>
        </w:rPr>
      </w:pP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14:paraId="751A3BCB">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w:t>
      </w:r>
      <w:bookmarkStart w:id="36" w:name="_GoBack"/>
      <w:bookmarkEnd w:id="36"/>
      <w:r>
        <w:rPr>
          <w:rStyle w:val="19"/>
          <w:rFonts w:hint="default" w:ascii="仿宋_GB2312" w:hAnsi="仿宋_GB2312" w:eastAsia="仿宋_GB2312" w:cs="仿宋_GB2312"/>
          <w:color w:val="auto"/>
          <w:sz w:val="32"/>
          <w:szCs w:val="32"/>
          <w:highlight w:val="none"/>
          <w:lang w:val="en-US" w:eastAsia="zh-CN"/>
        </w:rPr>
        <w:t>以及无消费内容的项目。</w:t>
      </w:r>
    </w:p>
    <w:p w14:paraId="7D2DC835">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8" w:name="_Toc31102"/>
      <w:bookmarkStart w:id="9" w:name="_Toc7095"/>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支持标准</w:t>
      </w:r>
      <w:bookmarkEnd w:id="8"/>
      <w:bookmarkEnd w:id="9"/>
    </w:p>
    <w:p w14:paraId="2BEFE854">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支持重点赛事活动“进商圈、进街区、进景区”</w:t>
      </w:r>
      <w:r>
        <w:rPr>
          <w:rFonts w:hint="eastAsia"/>
          <w:color w:val="000000" w:themeColor="text1"/>
          <w:highlight w:val="none"/>
          <w:lang w:val="en-US" w:eastAsia="zh-CN"/>
          <w14:textFill>
            <w14:solidFill>
              <w14:schemeClr w14:val="tx1"/>
            </w14:solidFill>
          </w14:textFill>
        </w:rPr>
        <w:t>，按项目相关的实际有效投入的2</w:t>
      </w:r>
      <w:r>
        <w:rPr>
          <w:rFonts w:hint="eastAsia" w:ascii="仿宋_GB2312" w:eastAsia="仿宋_GB2312"/>
          <w:color w:val="000000" w:themeColor="text1"/>
          <w:highlight w:val="none"/>
          <w:lang w:val="en-US" w:eastAsia="zh-CN"/>
          <w14:textFill>
            <w14:solidFill>
              <w14:schemeClr w14:val="tx1"/>
            </w14:solidFill>
          </w14:textFill>
        </w:rPr>
        <w:t>0%给予主办单位资助，试点期间最高不超过200万元。</w:t>
      </w:r>
    </w:p>
    <w:p w14:paraId="7653C7E1">
      <w:pPr>
        <w:pStyle w:val="36"/>
        <w:bidi w:val="0"/>
        <w:ind w:firstLine="640" w:firstLineChars="200"/>
        <w:jc w:val="both"/>
        <w:rPr>
          <w:rStyle w:val="19"/>
          <w:rFonts w:hint="eastAsia" w:ascii="仿宋_GB2312" w:hAnsi="仿宋" w:eastAsia="仿宋_GB2312" w:cs="宋体"/>
          <w:bCs/>
          <w:color w:val="auto"/>
          <w:kern w:val="36"/>
          <w:sz w:val="32"/>
          <w:szCs w:val="32"/>
          <w:highlight w:val="none"/>
          <w:lang w:val="en-US" w:eastAsia="zh-CN"/>
        </w:rPr>
      </w:pPr>
      <w:r>
        <w:rPr>
          <w:rStyle w:val="19"/>
          <w:rFonts w:hint="eastAsia"/>
          <w:color w:val="auto"/>
          <w:sz w:val="32"/>
          <w:szCs w:val="32"/>
          <w:highlight w:val="none"/>
          <w:lang w:eastAsia="zh-CN"/>
        </w:rPr>
        <w:t>实际有效投入是指2025年9月30日以来至申报日，赛事活动主办单位在深举办的赛事活动已完成或阶段性完成赛事有关投入，不包含</w:t>
      </w:r>
      <w:r>
        <w:rPr>
          <w:rFonts w:hint="eastAsia"/>
          <w:color w:val="000000" w:themeColor="text1"/>
          <w:highlight w:val="none"/>
          <w:lang w:val="en-US" w:eastAsia="zh-CN"/>
          <w14:textFill>
            <w14:solidFill>
              <w14:schemeClr w14:val="tx1"/>
            </w14:solidFill>
          </w14:textFill>
        </w:rPr>
        <w:t>各级财政投资部分，以及</w:t>
      </w:r>
      <w:r>
        <w:rPr>
          <w:rStyle w:val="19"/>
          <w:rFonts w:hint="eastAsia"/>
          <w:color w:val="auto"/>
          <w:sz w:val="32"/>
          <w:szCs w:val="32"/>
          <w:highlight w:val="none"/>
          <w:lang w:eastAsia="zh-CN"/>
        </w:rPr>
        <w:t>第四</w:t>
      </w:r>
      <w:r>
        <w:rPr>
          <w:rFonts w:hint="eastAsia"/>
          <w:color w:val="000000" w:themeColor="text1"/>
          <w:highlight w:val="none"/>
          <w:lang w:val="en-US" w:eastAsia="zh-CN"/>
          <w14:textFill>
            <w14:solidFill>
              <w14:schemeClr w14:val="tx1"/>
            </w14:solidFill>
          </w14:textFill>
        </w:rPr>
        <w:t>点第（二）条</w:t>
      </w:r>
      <w:r>
        <w:rPr>
          <w:rStyle w:val="19"/>
          <w:rFonts w:hint="eastAsia"/>
          <w:color w:val="auto"/>
          <w:sz w:val="32"/>
          <w:szCs w:val="32"/>
          <w:highlight w:val="none"/>
          <w:lang w:eastAsia="zh-CN"/>
        </w:rPr>
        <w:t>专项条件中不予支持部分。符合条件的项目，可将已落地或有阶段性成果相关投入部分申请资助，后续另有符合条件投入可再次以该项目申报，同一项目不受项目数限制。</w:t>
      </w:r>
    </w:p>
    <w:p w14:paraId="5D1A5B06">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0" w:name="_Toc27028"/>
      <w:bookmarkStart w:id="11" w:name="_Toc7147"/>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六、申报材料</w:t>
      </w:r>
      <w:bookmarkEnd w:id="10"/>
      <w:bookmarkEnd w:id="11"/>
    </w:p>
    <w:p w14:paraId="5BA00F22">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14:paraId="261A1385">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14:paraId="47652FCC">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登录广东政务服务网在线下载填报申请书（网址：http://www.gdzwfw.gov.cn/—选择“深圳市”—</w:t>
      </w:r>
      <w:r>
        <w:rPr>
          <w:rFonts w:hint="eastAsia" w:cs="Times New Roman"/>
          <w:color w:val="auto"/>
          <w:sz w:val="32"/>
          <w:szCs w:val="32"/>
          <w:highlight w:val="none"/>
          <w:lang w:val="en-US" w:eastAsia="zh-CN"/>
        </w:rPr>
        <w:t>光明</w:t>
      </w:r>
      <w:r>
        <w:rPr>
          <w:rFonts w:hint="eastAsia" w:ascii="仿宋_GB2312" w:hAnsi="仿宋_GB2312" w:eastAsia="仿宋_GB2312" w:cs="Times New Roman"/>
          <w:color w:val="auto"/>
          <w:sz w:val="32"/>
          <w:szCs w:val="32"/>
          <w:highlight w:val="none"/>
          <w:lang w:val="en-US" w:eastAsia="zh-CN"/>
        </w:rPr>
        <w:t>区—</w:t>
      </w:r>
      <w:r>
        <w:rPr>
          <w:rFonts w:hint="eastAsia" w:cs="Times New Roman"/>
          <w:color w:val="auto"/>
          <w:sz w:val="32"/>
          <w:szCs w:val="32"/>
          <w:highlight w:val="none"/>
          <w:lang w:val="en-US" w:eastAsia="zh-CN"/>
        </w:rPr>
        <w:t>光明区商务局</w:t>
      </w:r>
      <w:r>
        <w:rPr>
          <w:rFonts w:hint="eastAsia" w:ascii="仿宋_GB2312" w:hAnsi="仿宋_GB2312" w:eastAsia="仿宋_GB2312" w:cs="Times New Roman"/>
          <w:color w:val="auto"/>
          <w:sz w:val="32"/>
          <w:szCs w:val="32"/>
          <w:highlight w:val="none"/>
          <w:lang w:val="en-US" w:eastAsia="zh-CN"/>
        </w:rPr>
        <w:t>—“</w:t>
      </w:r>
      <w:r>
        <w:rPr>
          <w:rFonts w:hint="eastAsia" w:cs="Times New Roman"/>
          <w:color w:val="auto"/>
          <w:sz w:val="32"/>
          <w:szCs w:val="32"/>
          <w:highlight w:val="none"/>
          <w:lang w:val="en-US" w:eastAsia="zh-CN"/>
        </w:rPr>
        <w:t>深圳市</w:t>
      </w:r>
      <w:r>
        <w:rPr>
          <w:rFonts w:hint="eastAsia" w:ascii="仿宋_GB2312" w:hAnsi="仿宋_GB2312" w:eastAsia="仿宋_GB2312" w:cs="Times New Roman"/>
          <w:color w:val="auto"/>
          <w:sz w:val="32"/>
          <w:szCs w:val="32"/>
          <w:highlight w:val="none"/>
          <w:lang w:val="en-US" w:eastAsia="zh-CN"/>
        </w:rPr>
        <w:t>消费新业态新模式新场景试点</w:t>
      </w:r>
      <w:r>
        <w:rPr>
          <w:rFonts w:hint="eastAsia" w:cs="Times New Roman"/>
          <w:color w:val="auto"/>
          <w:sz w:val="32"/>
          <w:szCs w:val="32"/>
          <w:highlight w:val="none"/>
          <w:lang w:val="en-US" w:eastAsia="zh-CN"/>
        </w:rPr>
        <w:t>项目</w:t>
      </w:r>
      <w:r>
        <w:rPr>
          <w:rFonts w:hint="eastAsia" w:ascii="仿宋_GB2312" w:hAnsi="仿宋_GB2312" w:eastAsia="仿宋_GB2312" w:cs="Times New Roman"/>
          <w:color w:val="auto"/>
          <w:sz w:val="32"/>
          <w:szCs w:val="32"/>
          <w:highlight w:val="none"/>
          <w:lang w:val="en-US" w:eastAsia="zh-CN"/>
        </w:rPr>
        <w:t>（支持创新多元化服务消费场景—重点赛事活动“进商圈、进街区、进景区”资助项目）”—点击“在线办理”-登录后按要求填报并上传申请材料—点击提交</w:t>
      </w:r>
      <w:r>
        <w:rPr>
          <w:rFonts w:hint="eastAsia" w:cs="Times New Roman"/>
          <w:color w:val="auto"/>
          <w:sz w:val="32"/>
          <w:szCs w:val="32"/>
          <w:highlight w:val="none"/>
          <w:lang w:val="en-US" w:eastAsia="zh-CN"/>
        </w:rPr>
        <w:t>）</w:t>
      </w:r>
      <w:r>
        <w:rPr>
          <w:rFonts w:hint="eastAsia" w:ascii="仿宋_GB2312" w:hAnsi="仿宋_GB2312" w:eastAsia="仿宋_GB2312" w:cs="Times New Roman"/>
          <w:color w:val="auto"/>
          <w:sz w:val="32"/>
          <w:szCs w:val="32"/>
          <w:highlight w:val="none"/>
          <w:lang w:val="en-US" w:eastAsia="zh-CN"/>
        </w:rPr>
        <w:t>，</w:t>
      </w:r>
      <w:r>
        <w:rPr>
          <w:rFonts w:hint="default"/>
          <w:color w:val="auto"/>
          <w:highlight w:val="none"/>
          <w:lang w:val="en-US" w:eastAsia="zh-CN"/>
        </w:rPr>
        <w:t>初审通过后提供申请书纸质文件原件并将本指南第六条要求的项目申报材料一并线下或通过邮寄方式交给</w:t>
      </w:r>
      <w:r>
        <w:rPr>
          <w:rFonts w:hint="eastAsia"/>
          <w:color w:val="auto"/>
          <w:highlight w:val="none"/>
          <w:lang w:val="en-US" w:eastAsia="zh-CN"/>
        </w:rPr>
        <w:t>区级商务部门。</w:t>
      </w:r>
    </w:p>
    <w:p w14:paraId="51F06368">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2.申报单位营业执照或统一社会信用代码证书复印件</w:t>
      </w:r>
    </w:p>
    <w:p w14:paraId="5F48D673">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3.单位信用报告。“信用中国”查询截图、国家企业信用信息公示系统下载的企业信用报告</w:t>
      </w:r>
    </w:p>
    <w:p w14:paraId="449A171B">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（二）专项材料清单</w:t>
      </w:r>
    </w:p>
    <w:p w14:paraId="7DA3BC0A">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1.各申报单位应按照下表要求完整提交对应佐证材料：</w:t>
      </w:r>
    </w:p>
    <w:tbl>
      <w:tblPr>
        <w:tblStyle w:val="18"/>
        <w:tblW w:w="916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33"/>
        <w:gridCol w:w="2472"/>
        <w:gridCol w:w="5163"/>
      </w:tblGrid>
      <w:tr w14:paraId="3209E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DA892">
            <w:pPr>
              <w:keepNext w:val="0"/>
              <w:keepLines w:val="0"/>
              <w:widowControl/>
              <w:suppressLineNumbers w:val="0"/>
              <w:snapToGrid w:val="0"/>
              <w:ind w:firstLine="0" w:firstLineChars="0"/>
              <w:jc w:val="center"/>
              <w:textAlignment w:val="center"/>
              <w:rPr>
                <w:rFonts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themeColor="text1"/>
                <w:kern w:val="0"/>
                <w:sz w:val="24"/>
                <w:szCs w:val="24"/>
                <w:highlight w:val="none"/>
                <w:u w:val="none"/>
                <w:lang w:val="en-US" w:eastAsia="zh-CN" w:bidi="ar"/>
                <w14:textFill>
                  <w14:solidFill>
                    <w14:schemeClr w14:val="tx1"/>
                  </w14:solidFill>
                </w14:textFill>
              </w:rPr>
              <w:t>类别</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E6416">
            <w:pPr>
              <w:keepNext w:val="0"/>
              <w:keepLines w:val="0"/>
              <w:widowControl/>
              <w:suppressLineNumbers w:val="0"/>
              <w:snapToGrid w:val="0"/>
              <w:ind w:firstLine="0" w:firstLineChars="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themeColor="text1"/>
                <w:kern w:val="0"/>
                <w:sz w:val="24"/>
                <w:szCs w:val="24"/>
                <w:highlight w:val="none"/>
                <w:u w:val="none"/>
                <w:lang w:val="en-US" w:eastAsia="zh-CN" w:bidi="ar"/>
                <w14:textFill>
                  <w14:solidFill>
                    <w14:schemeClr w14:val="tx1"/>
                  </w14:solidFill>
                </w14:textFill>
              </w:rPr>
              <w:t>专项条件</w:t>
            </w:r>
          </w:p>
        </w:tc>
        <w:tc>
          <w:tcPr>
            <w:tcW w:w="5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6F0ED">
            <w:pPr>
              <w:keepNext w:val="0"/>
              <w:keepLines w:val="0"/>
              <w:widowControl/>
              <w:suppressLineNumbers w:val="0"/>
              <w:snapToGrid w:val="0"/>
              <w:ind w:firstLine="0" w:firstLineChars="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themeColor="text1"/>
                <w:kern w:val="0"/>
                <w:sz w:val="24"/>
                <w:szCs w:val="24"/>
                <w:highlight w:val="none"/>
                <w:u w:val="none"/>
                <w:lang w:val="en-US" w:eastAsia="zh-CN" w:bidi="ar"/>
                <w14:textFill>
                  <w14:solidFill>
                    <w14:schemeClr w14:val="tx1"/>
                  </w14:solidFill>
                </w14:textFill>
              </w:rPr>
              <w:t>佐证材料</w:t>
            </w:r>
            <w:r>
              <w:rPr>
                <w:rFonts w:hint="eastAsia" w:hAnsi="宋体" w:cs="仿宋_GB2312"/>
                <w:b/>
                <w:bCs/>
                <w:i w:val="0"/>
                <w:iCs w:val="0"/>
                <w:color w:val="000000" w:themeColor="text1"/>
                <w:kern w:val="0"/>
                <w:sz w:val="24"/>
                <w:szCs w:val="24"/>
                <w:highlight w:val="none"/>
                <w:u w:val="none"/>
                <w:lang w:val="en-US" w:eastAsia="zh-CN" w:bidi="ar"/>
                <w14:textFill>
                  <w14:solidFill>
                    <w14:schemeClr w14:val="tx1"/>
                  </w14:solidFill>
                </w14:textFill>
              </w:rPr>
              <w:t>参考</w:t>
            </w:r>
            <w:r>
              <w:rPr>
                <w:rFonts w:hint="default" w:ascii="Times New Roman" w:hAnsi="Times New Roman" w:eastAsia="仿宋_GB2312" w:cs="Times New Roman"/>
                <w:b/>
                <w:bCs/>
                <w:i w:val="0"/>
                <w:iCs w:val="0"/>
                <w:color w:val="000000" w:themeColor="text1"/>
                <w:kern w:val="0"/>
                <w:sz w:val="24"/>
                <w:szCs w:val="24"/>
                <w:highlight w:val="none"/>
                <w:u w:val="none"/>
                <w:lang w:val="en-US" w:eastAsia="zh-CN" w:bidi="ar"/>
                <w14:textFill>
                  <w14:solidFill>
                    <w14:schemeClr w14:val="tx1"/>
                  </w14:solidFill>
                </w14:textFill>
              </w:rPr>
              <w:t>​</w:t>
            </w:r>
          </w:p>
        </w:tc>
      </w:tr>
      <w:tr w14:paraId="203DB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55F1F">
            <w:pPr>
              <w:keepNext w:val="0"/>
              <w:keepLines w:val="0"/>
              <w:widowControl/>
              <w:suppressLineNumbers w:val="0"/>
              <w:snapToGrid w:val="0"/>
              <w:ind w:firstLine="0" w:firstLineChars="0"/>
              <w:jc w:val="left"/>
              <w:textAlignment w:val="center"/>
              <w:rPr>
                <w:rFonts w:hint="default"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pPr>
            <w:r>
              <w:rPr>
                <w:rFonts w:hint="eastAsia" w:hAnsi="宋体" w:cs="仿宋_GB2312"/>
                <w:i w:val="0"/>
                <w:iCs w:val="0"/>
                <w:color w:val="000000" w:themeColor="text1"/>
                <w:kern w:val="0"/>
                <w:sz w:val="24"/>
                <w:szCs w:val="24"/>
                <w:highlight w:val="none"/>
                <w:u w:val="none"/>
                <w:lang w:val="en-US" w:eastAsia="zh-CN" w:bidi="ar"/>
                <w14:textFill>
                  <w14:solidFill>
                    <w14:schemeClr w14:val="tx1"/>
                  </w14:solidFill>
                </w14:textFill>
              </w:rPr>
              <w:t>赛事周期</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55440">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赛事活动周期持续1个月</w:t>
            </w:r>
          </w:p>
        </w:tc>
        <w:tc>
          <w:tcPr>
            <w:tcW w:w="5163" w:type="dxa"/>
            <w:vMerge w:val="restart"/>
            <w:tcBorders>
              <w:top w:val="single" w:color="000000" w:sz="4" w:space="0"/>
              <w:left w:val="single" w:color="000000" w:sz="4" w:space="0"/>
              <w:right w:val="single" w:color="000000" w:sz="4" w:space="0"/>
            </w:tcBorders>
            <w:shd w:val="clear" w:color="auto" w:fill="auto"/>
            <w:vAlign w:val="center"/>
          </w:tcPr>
          <w:p w14:paraId="334D7362">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赛程表（明确起止时间）、在深各场次安排、累计天数核算说明等</w:t>
            </w:r>
          </w:p>
        </w:tc>
      </w:tr>
      <w:tr w14:paraId="36FB4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B82B6">
            <w:pPr>
              <w:keepNext w:val="0"/>
              <w:keepLines w:val="0"/>
              <w:widowControl/>
              <w:suppressLineNumbers w:val="0"/>
              <w:snapToGrid w:val="0"/>
              <w:ind w:firstLine="0" w:firstLineChars="0"/>
              <w:jc w:val="left"/>
              <w:textAlignment w:val="center"/>
              <w:rPr>
                <w:rFonts w:hint="default" w:ascii="仿宋_GB2312" w:hAnsi="宋体" w:eastAsia="仿宋_GB2312" w:cs="仿宋_GB2312"/>
                <w:i w:val="0"/>
                <w:iCs w:val="0"/>
                <w:color w:val="000000" w:themeColor="text1"/>
                <w:kern w:val="0"/>
                <w:sz w:val="24"/>
                <w:szCs w:val="24"/>
                <w:highlight w:val="none"/>
                <w:u w:val="none"/>
                <w:lang w:bidi="ar"/>
                <w14:textFill>
                  <w14:solidFill>
                    <w14:schemeClr w14:val="tx1"/>
                  </w14:solidFill>
                </w14:textFill>
              </w:rPr>
            </w:pPr>
            <w:r>
              <w:rPr>
                <w:rFonts w:hint="eastAsia" w:hAnsi="宋体" w:cs="仿宋_GB2312"/>
                <w:i w:val="0"/>
                <w:iCs w:val="0"/>
                <w:color w:val="000000" w:themeColor="text1"/>
                <w:kern w:val="0"/>
                <w:sz w:val="24"/>
                <w:szCs w:val="24"/>
                <w:highlight w:val="none"/>
                <w:u w:val="none"/>
                <w:lang w:val="en-US" w:eastAsia="zh-CN" w:bidi="ar"/>
                <w14:textFill>
                  <w14:solidFill>
                    <w14:schemeClr w14:val="tx1"/>
                  </w14:solidFill>
                </w14:textFill>
              </w:rPr>
              <w:t>举办场次</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53647">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themeColor="text1"/>
                <w:kern w:val="0"/>
                <w:sz w:val="24"/>
                <w:szCs w:val="24"/>
                <w:highlight w:val="none"/>
                <w:u w:val="none"/>
                <w:lang w:bidi="ar"/>
                <w14:textFill>
                  <w14:solidFill>
                    <w14:schemeClr w14:val="tx1"/>
                  </w14:solidFill>
                </w14:textFill>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在深举办场次不少于6场</w:t>
            </w:r>
          </w:p>
        </w:tc>
        <w:tc>
          <w:tcPr>
            <w:tcW w:w="5163" w:type="dxa"/>
            <w:vMerge w:val="continue"/>
            <w:tcBorders>
              <w:left w:val="single" w:color="000000" w:sz="4" w:space="0"/>
              <w:bottom w:val="single" w:color="000000" w:sz="4" w:space="0"/>
              <w:right w:val="single" w:color="000000" w:sz="4" w:space="0"/>
            </w:tcBorders>
            <w:shd w:val="clear" w:color="auto" w:fill="auto"/>
            <w:vAlign w:val="center"/>
          </w:tcPr>
          <w:p w14:paraId="2161519F">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sz w:val="24"/>
                <w:szCs w:val="24"/>
                <w:highlight w:val="none"/>
                <w:u w:val="none"/>
              </w:rPr>
            </w:pPr>
          </w:p>
        </w:tc>
      </w:tr>
      <w:tr w14:paraId="7125B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9E0EC">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观众规模</w:t>
            </w:r>
            <w:r>
              <w:rPr>
                <w:rFonts w:hint="default" w:ascii="Times New Roman" w:hAnsi="Times New Roman" w:eastAsia="仿宋_GB2312" w:cs="Times New Roman"/>
                <w:i w:val="0"/>
                <w:iCs w:val="0"/>
                <w:color w:val="000000" w:themeColor="text1"/>
                <w:kern w:val="0"/>
                <w:sz w:val="24"/>
                <w:szCs w:val="24"/>
                <w:highlight w:val="none"/>
                <w:u w:val="none"/>
                <w:lang w:val="en-US" w:eastAsia="zh-CN" w:bidi="ar"/>
                <w14:textFill>
                  <w14:solidFill>
                    <w14:schemeClr w14:val="tx1"/>
                  </w14:solidFill>
                </w14:textFill>
              </w:rPr>
              <w:t>​</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8F526">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进场观众人数1万人次以上（可多场次累计）</w:t>
            </w:r>
          </w:p>
        </w:tc>
        <w:tc>
          <w:tcPr>
            <w:tcW w:w="5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F41D9">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线下观众累计核算表、票务记录等</w:t>
            </w:r>
          </w:p>
        </w:tc>
      </w:tr>
    </w:tbl>
    <w:p w14:paraId="43F25DF1">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2.项目成效总结（模板详见项目申报书）。</w:t>
      </w:r>
    </w:p>
    <w:p w14:paraId="7B27F8BE">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w:t>
      </w:r>
      <w:r>
        <w:rPr>
          <w:rFonts w:hint="default"/>
          <w:color w:val="000000" w:themeColor="text1"/>
          <w:highlight w:val="none"/>
          <w:lang w:val="en-US" w:eastAsia="zh-CN"/>
          <w14:textFill>
            <w14:solidFill>
              <w14:schemeClr w14:val="tx1"/>
            </w14:solidFill>
          </w14:textFill>
        </w:rPr>
        <w:t>专项资金项目投入明细表</w:t>
      </w:r>
      <w:r>
        <w:rPr>
          <w:rFonts w:hint="eastAsia"/>
          <w:color w:val="000000" w:themeColor="text1"/>
          <w:highlight w:val="none"/>
          <w:lang w:val="en-US" w:eastAsia="zh-CN"/>
          <w14:textFill>
            <w14:solidFill>
              <w14:schemeClr w14:val="tx1"/>
            </w14:solidFill>
          </w14:textFill>
        </w:rPr>
        <w:t>及佐证材料（详见项目申报书）。</w:t>
      </w:r>
    </w:p>
    <w:p w14:paraId="69C744B5">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以上申报材料按顺序一式</w:t>
      </w:r>
      <w:r>
        <w:rPr>
          <w:rFonts w:hint="eastAsia"/>
          <w:color w:val="000000" w:themeColor="text1"/>
          <w:highlight w:val="none"/>
          <w:lang w:val="en-US" w:eastAsia="zh-CN"/>
          <w14:textFill>
            <w14:solidFill>
              <w14:schemeClr w14:val="tx1"/>
            </w14:solidFill>
          </w14:textFill>
        </w:rPr>
        <w:t>四</w:t>
      </w:r>
      <w:r>
        <w:rPr>
          <w:rFonts w:hint="default"/>
          <w:color w:val="000000" w:themeColor="text1"/>
          <w:highlight w:val="none"/>
          <w:lang w:val="en-US" w:eastAsia="zh-CN"/>
          <w14:textFill>
            <w14:solidFill>
              <w14:schemeClr w14:val="tx1"/>
            </w14:solidFill>
          </w14:textFill>
        </w:rPr>
        <w:t>份（附可编辑电子版和PDF扫描件）装订成册，在封面加盖单位公章并加盖骑缝章（其中，申报</w:t>
      </w:r>
      <w:r>
        <w:rPr>
          <w:rFonts w:hint="eastAsia" w:ascii="仿宋_GB2312" w:eastAsia="仿宋_GB2312"/>
          <w:color w:val="000000" w:themeColor="text1"/>
          <w:highlight w:val="none"/>
          <w:lang w:val="en-US" w:eastAsia="zh-CN"/>
          <w14:textFill>
            <w14:solidFill>
              <w14:schemeClr w14:val="tx1"/>
            </w14:solidFill>
          </w14:textFill>
        </w:rPr>
        <w:t>指引</w:t>
      </w:r>
      <w:r>
        <w:rPr>
          <w:rFonts w:hint="default"/>
          <w:color w:val="000000" w:themeColor="text1"/>
          <w:highlight w:val="none"/>
          <w:lang w:val="en-US" w:eastAsia="zh-CN"/>
          <w14:textFill>
            <w14:solidFill>
              <w14:schemeClr w14:val="tx1"/>
            </w14:solidFill>
          </w14:textFill>
        </w:rPr>
        <w:t>及附件有明确要求加盖公章的资料需按要求执行）。</w:t>
      </w:r>
    </w:p>
    <w:p w14:paraId="005ACDBD">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2" w:name="_Toc5711"/>
      <w:bookmarkStart w:id="13" w:name="_Toc19526"/>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七、申请表格</w:t>
      </w:r>
      <w:bookmarkEnd w:id="12"/>
      <w:bookmarkEnd w:id="13"/>
    </w:p>
    <w:p w14:paraId="5983DAB4">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eastAsia="仿宋_GB2312" w:cs="Times New Roman"/>
          <w:color w:val="000000"/>
          <w:sz w:val="32"/>
          <w:szCs w:val="32"/>
          <w:highlight w:val="none"/>
        </w:rPr>
      </w:pPr>
      <w:bookmarkStart w:id="14" w:name="_Toc20121"/>
      <w:bookmarkStart w:id="15" w:name="_Toc13760"/>
      <w:r>
        <w:rPr>
          <w:rFonts w:hint="eastAsia" w:ascii="仿宋_GB2312" w:hAnsi="Calibri" w:eastAsia="仿宋_GB2312" w:cs="Times New Roman"/>
          <w:color w:val="000000"/>
          <w:spacing w:val="0"/>
          <w:sz w:val="32"/>
          <w:szCs w:val="32"/>
          <w:highlight w:val="none"/>
        </w:rPr>
        <w:t>本指南第六条（一）规定登录</w:t>
      </w:r>
      <w:r>
        <w:rPr>
          <w:rFonts w:hint="eastAsia" w:hAnsi="Calibri" w:cs="Times New Roman"/>
          <w:color w:val="000000"/>
          <w:spacing w:val="0"/>
          <w:sz w:val="32"/>
          <w:szCs w:val="32"/>
          <w:highlight w:val="none"/>
          <w:lang w:eastAsia="zh-CN"/>
        </w:rPr>
        <w:t>广东政务服务网</w:t>
      </w:r>
      <w:r>
        <w:rPr>
          <w:rFonts w:hint="eastAsia" w:ascii="仿宋_GB2312" w:hAnsi="Calibri" w:eastAsia="仿宋_GB2312" w:cs="Times New Roman"/>
          <w:color w:val="000000"/>
          <w:spacing w:val="0"/>
          <w:sz w:val="32"/>
          <w:szCs w:val="32"/>
          <w:highlight w:val="none"/>
        </w:rPr>
        <w:t>线填报申请书，网址：</w:t>
      </w:r>
      <w:r>
        <w:rPr>
          <w:rFonts w:hint="eastAsia" w:ascii="仿宋_GB2312" w:hAnsi="仿宋_GB2312" w:eastAsia="仿宋_GB2312" w:cs="Times New Roman"/>
          <w:color w:val="auto"/>
          <w:sz w:val="32"/>
          <w:szCs w:val="32"/>
          <w:highlight w:val="none"/>
          <w:lang w:val="en-US" w:eastAsia="zh-CN"/>
        </w:rPr>
        <w:t>http://www.gdzwfw.gov.cn/</w:t>
      </w:r>
    </w:p>
    <w:bookmarkEnd w:id="14"/>
    <w:bookmarkEnd w:id="15"/>
    <w:p w14:paraId="5EDBC933">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bookmarkStart w:id="16" w:name="_Toc16198"/>
      <w:bookmarkStart w:id="17" w:name="_Toc11274"/>
      <w:bookmarkStart w:id="18" w:name="_Toc161850809"/>
      <w:bookmarkStart w:id="19" w:name="_Toc125127183"/>
      <w:bookmarkStart w:id="20" w:name="_Toc10305"/>
      <w:bookmarkStart w:id="21" w:name="_Toc2137"/>
      <w:r>
        <w:rPr>
          <w:rFonts w:hint="eastAsia" w:ascii="黑体" w:hAnsi="黑体" w:eastAsia="黑体" w:cs="仿宋"/>
          <w:color w:val="auto"/>
          <w:kern w:val="2"/>
          <w:sz w:val="32"/>
          <w:szCs w:val="22"/>
          <w:highlight w:val="none"/>
          <w:lang w:val="en-US" w:eastAsia="zh-CN" w:bidi="ar-SA"/>
        </w:rPr>
        <w:t>八、受理机关</w:t>
      </w:r>
    </w:p>
    <w:p w14:paraId="51DF57BD">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14:paraId="2FA141B6">
      <w:pPr>
        <w:pageBreakBefore w:val="0"/>
        <w:kinsoku/>
        <w:wordWrap/>
        <w:topLinePunct w:val="0"/>
        <w:autoSpaceDE/>
        <w:autoSpaceDN/>
        <w:bidi w:val="0"/>
        <w:spacing w:before="0" w:after="0" w:line="560" w:lineRule="exact"/>
        <w:ind w:firstLine="640" w:firstLineChars="200"/>
        <w:textAlignment w:val="auto"/>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34BF5107">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14:paraId="00822F47">
      <w:pPr>
        <w:pageBreakBefore w:val="0"/>
        <w:kinsoku/>
        <w:wordWrap/>
        <w:topLinePunct w:val="0"/>
        <w:autoSpaceDE/>
        <w:autoSpaceDN/>
        <w:bidi w:val="0"/>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14:paraId="7C3AAF8C">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p>
    <w:p w14:paraId="3EDAFAC4">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r>
        <w:rPr>
          <w:rFonts w:hint="eastAsia" w:ascii="仿宋_GB2312" w:hAnsi="宋体" w:eastAsia="仿宋_GB2312" w:cs="宋体"/>
          <w:color w:val="auto"/>
          <w:kern w:val="0"/>
          <w:sz w:val="32"/>
          <w:szCs w:val="32"/>
          <w:highlight w:val="none"/>
          <w:lang w:val="en-US" w:eastAsia="zh-CN"/>
        </w:rPr>
        <w:br w:type="textWrapping"/>
      </w: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14:paraId="18C1466B">
      <w:pPr>
        <w:keepNext w:val="0"/>
        <w:keepLines w:val="0"/>
        <w:pageBreakBefore w:val="0"/>
        <w:widowControl/>
        <w:suppressLineNumbers w:val="0"/>
        <w:kinsoku/>
        <w:wordWrap/>
        <w:topLinePunct w:val="0"/>
        <w:autoSpaceDE/>
        <w:autoSpaceDN/>
        <w:bidi w:val="0"/>
        <w:jc w:val="left"/>
        <w:textAlignment w:val="auto"/>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14:paraId="77A869BE">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cs="仿宋_GB2312"/>
          <w:color w:val="auto"/>
          <w:sz w:val="32"/>
          <w:szCs w:val="32"/>
          <w:highlight w:val="none"/>
          <w:lang w:eastAsia="zh-CN"/>
        </w:rPr>
        <w:t>线下材料递交地址：</w:t>
      </w:r>
      <w:r>
        <w:rPr>
          <w:rFonts w:hint="eastAsia"/>
          <w:color w:val="auto"/>
          <w:highlight w:val="none"/>
          <w:lang w:val="en-US" w:eastAsia="zh-CN"/>
        </w:rPr>
        <w:t>深圳市光明区光明街道牛山路与德雅路交汇处公共服务平台政务服务中心一楼</w:t>
      </w:r>
      <w:r>
        <w:rPr>
          <w:rFonts w:hint="eastAsia" w:cs="仿宋_GB2312"/>
          <w:color w:val="auto"/>
          <w:sz w:val="32"/>
          <w:szCs w:val="32"/>
          <w:highlight w:val="none"/>
          <w:lang w:eastAsia="zh-CN"/>
        </w:rPr>
        <w:t>。</w:t>
      </w:r>
    </w:p>
    <w:p w14:paraId="3D808A01">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w:t>
      </w:r>
      <w:r>
        <w:rPr>
          <w:rFonts w:hint="eastAsia" w:ascii="楷体_GB2312" w:hAnsi="楷体_GB2312" w:eastAsia="楷体_GB2312" w:cs="楷体_GB2312"/>
          <w:color w:val="auto"/>
          <w:sz w:val="32"/>
          <w:szCs w:val="32"/>
          <w:highlight w:val="none"/>
          <w:lang w:eastAsia="zh-CN"/>
        </w:rPr>
        <w:t>四</w:t>
      </w:r>
      <w:r>
        <w:rPr>
          <w:rFonts w:hint="eastAsia" w:ascii="楷体_GB2312" w:hAnsi="楷体_GB2312" w:eastAsia="楷体_GB2312" w:cs="楷体_GB2312"/>
          <w:color w:val="auto"/>
          <w:sz w:val="32"/>
          <w:szCs w:val="32"/>
          <w:highlight w:val="none"/>
        </w:rPr>
        <w:t>）咨询电话</w:t>
      </w:r>
    </w:p>
    <w:p w14:paraId="0E235AC5">
      <w:pPr>
        <w:keepNext/>
        <w:keepLines/>
        <w:pageBreakBefore w:val="0"/>
        <w:widowControl w:val="0"/>
        <w:kinsoku/>
        <w:wordWrap/>
        <w:topLinePunct w:val="0"/>
        <w:autoSpaceDE/>
        <w:autoSpaceDN/>
        <w:bidi w:val="0"/>
        <w:spacing w:before="0" w:beforeLines="0" w:beforeAutospacing="0" w:after="0" w:afterLines="0" w:afterAutospacing="0" w:line="560" w:lineRule="exact"/>
        <w:ind w:left="640" w:leftChars="200" w:firstLine="0" w:firstLineChars="0"/>
        <w:jc w:val="left"/>
        <w:textAlignment w:val="auto"/>
        <w:outlineLvl w:val="0"/>
        <w:rPr>
          <w:rFonts w:hint="default" w:cs="仿宋_GB2312"/>
          <w:color w:val="auto"/>
          <w:sz w:val="32"/>
          <w:szCs w:val="32"/>
          <w:highlight w:val="none"/>
          <w:u w:val="none"/>
          <w:lang w:val="en-US" w:eastAsia="zh-CN"/>
        </w:rPr>
      </w:pPr>
      <w:bookmarkStart w:id="22" w:name="_Toc9722"/>
      <w:bookmarkStart w:id="23" w:name="_Toc1376"/>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cs="仿宋_GB2312"/>
          <w:color w:val="auto"/>
          <w:sz w:val="32"/>
          <w:szCs w:val="32"/>
          <w:highlight w:val="none"/>
          <w:u w:val="none"/>
          <w:lang w:val="en-US" w:eastAsia="zh-CN"/>
        </w:rPr>
        <w:t>0755-88217315（</w:t>
      </w:r>
      <w:r>
        <w:rPr>
          <w:rFonts w:hint="eastAsia"/>
          <w:color w:val="auto"/>
          <w:highlight w:val="none"/>
          <w:lang w:val="en-US" w:eastAsia="zh-CN"/>
        </w:rPr>
        <w:t>星期一至星期五:上午9:00-12:00,下午2:00-6:00）</w:t>
      </w:r>
    </w:p>
    <w:p w14:paraId="0BB9A2BD">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2"/>
      <w:bookmarkEnd w:id="23"/>
    </w:p>
    <w:p w14:paraId="0278C70F">
      <w:pPr>
        <w:bidi w:val="0"/>
        <w:spacing w:before="0" w:after="0"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3D74922F">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十、办理流程</w:t>
      </w:r>
      <w:bookmarkEnd w:id="16"/>
      <w:bookmarkEnd w:id="17"/>
    </w:p>
    <w:p w14:paraId="567CD7BE">
      <w:pPr>
        <w:bidi w:val="0"/>
        <w:rPr>
          <w:rFonts w:hint="eastAsia" w:ascii="仿宋_GB2312" w:hAnsi="仿宋_GB2312" w:eastAsia="仿宋_GB2312" w:cs="Times New Roman"/>
          <w:color w:val="auto"/>
          <w:sz w:val="32"/>
          <w:szCs w:val="32"/>
          <w:highlight w:val="none"/>
          <w:lang w:bidi="ar"/>
        </w:rPr>
      </w:pPr>
      <w:bookmarkStart w:id="24" w:name="_Toc3693"/>
      <w:bookmarkStart w:id="25" w:name="_Toc28790"/>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14:paraId="73F35EC8">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十一、办理时限</w:t>
      </w:r>
      <w:bookmarkEnd w:id="24"/>
      <w:bookmarkEnd w:id="25"/>
    </w:p>
    <w:p w14:paraId="74315F10">
      <w:pPr>
        <w:bidi w:val="0"/>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180个工作日，不含特别程序。</w:t>
      </w:r>
    </w:p>
    <w:p w14:paraId="44C8C9CB">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6" w:name="_Toc32254"/>
      <w:bookmarkStart w:id="27" w:name="_Toc29872"/>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十二、证件及有效期</w:t>
      </w:r>
      <w:bookmarkEnd w:id="26"/>
      <w:bookmarkEnd w:id="27"/>
    </w:p>
    <w:p w14:paraId="28B9F1A4">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证件：无</w:t>
      </w:r>
    </w:p>
    <w:p w14:paraId="0EC85EFA">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有效期限：无</w:t>
      </w:r>
    </w:p>
    <w:p w14:paraId="3FEF9B08">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28" w:name="_Toc19920"/>
      <w:bookmarkStart w:id="29" w:name="_Toc17239"/>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十三、证件的法律效力</w:t>
      </w:r>
      <w:bookmarkEnd w:id="28"/>
      <w:bookmarkEnd w:id="29"/>
    </w:p>
    <w:p w14:paraId="2CFBFE8A">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14:paraId="32284E3F">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0" w:name="_Toc6842"/>
      <w:bookmarkStart w:id="31" w:name="_Toc750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十四、收费</w:t>
      </w:r>
      <w:bookmarkEnd w:id="30"/>
      <w:bookmarkEnd w:id="31"/>
    </w:p>
    <w:p w14:paraId="4108B375">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14:paraId="3D44D499">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2" w:name="_Toc30145"/>
      <w:bookmarkStart w:id="33" w:name="_Toc3047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十五、年审或年检</w:t>
      </w:r>
      <w:bookmarkEnd w:id="32"/>
      <w:bookmarkEnd w:id="33"/>
    </w:p>
    <w:p w14:paraId="0F6DAFCA">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bookmarkStart w:id="34" w:name="_Toc20677"/>
      <w:bookmarkStart w:id="35" w:name="_Toc28762"/>
    </w:p>
    <w:p w14:paraId="017989B3">
      <w:pPr>
        <w:bidi w:val="0"/>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pPr>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十六、监督检查和补充说明</w:t>
      </w:r>
      <w:bookmarkEnd w:id="34"/>
      <w:bookmarkEnd w:id="35"/>
    </w:p>
    <w:p w14:paraId="1A9A7D5D">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（一）申报单位应当按要求配合市、区两级商务部门和其他相关部门的监督检查，按要求做好项目资金管理、绩效评估等工作。</w:t>
      </w:r>
    </w:p>
    <w:p w14:paraId="1D79220E">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（二）申报单位存在以下情形之一的，应当按要求将已获得的部分或全部财政专项资金退回国库,并按照有关规定处理；涉嫌犯罪的，依法移送有关机关处理：</w:t>
      </w:r>
    </w:p>
    <w:p w14:paraId="25F2FD95">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1.申报单位未履行或未完全履行申报承诺并经查证属实的。</w:t>
      </w:r>
    </w:p>
    <w:p w14:paraId="34EBD5F6">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2.申报单位不符合项目申报条件获得资助的。</w:t>
      </w:r>
    </w:p>
    <w:p w14:paraId="0C3A2982">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3.申报单位存在利用不正当手段套取、骗取、盗取专项资金的。</w:t>
      </w:r>
    </w:p>
    <w:p w14:paraId="436222E0">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4.审计、巡视、巡察等核查需要申报单位退回专项资金的。</w:t>
      </w:r>
    </w:p>
    <w:p w14:paraId="6B9DD145">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5.其他按照有关规定需要退回资金的。</w:t>
      </w:r>
    </w:p>
    <w:p w14:paraId="04D87FF3">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16E467D1">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四）任何单位和个人不得以任何形式、任何理由违规使用财政资金，对截留、挤占、挪用、骗取财政资金等违法行为，一经查实，将收回已安排的资金，并按照《财政违法行为处罚处分条例》等有关规定追究责任。</w:t>
      </w:r>
    </w:p>
    <w:p w14:paraId="3ACD6B46">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五</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受理单位</w:t>
      </w:r>
      <w:r>
        <w:rPr>
          <w:rFonts w:hint="eastAsia"/>
          <w:color w:val="000000" w:themeColor="text1"/>
          <w:highlight w:val="none"/>
          <w14:textFill>
            <w14:solidFill>
              <w14:schemeClr w14:val="tx1"/>
            </w14:solidFill>
          </w14:textFill>
        </w:rPr>
        <w:t>从未委托任何单位和个人为申报单位代理专项资金扶持计划项目申报事宜</w:t>
      </w:r>
      <w:r>
        <w:rPr>
          <w:color w:val="000000" w:themeColor="text1"/>
          <w:highlight w:val="none"/>
          <w14:textFill>
            <w14:solidFill>
              <w14:schemeClr w14:val="tx1"/>
            </w14:solidFill>
          </w14:textFill>
        </w:rPr>
        <w:t>，申报单位应</w:t>
      </w:r>
      <w:r>
        <w:rPr>
          <w:rFonts w:hint="eastAsia"/>
          <w:color w:val="000000" w:themeColor="text1"/>
          <w:highlight w:val="none"/>
          <w14:textFill>
            <w14:solidFill>
              <w14:schemeClr w14:val="tx1"/>
            </w14:solidFill>
          </w14:textFill>
        </w:rPr>
        <w:t>自主申报。我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严格按照有关</w:t>
      </w:r>
      <w:r>
        <w:rPr>
          <w:color w:val="000000" w:themeColor="text1"/>
          <w:highlight w:val="none"/>
          <w14:textFill>
            <w14:solidFill>
              <w14:schemeClr w14:val="tx1"/>
            </w14:solidFill>
          </w14:textFill>
        </w:rPr>
        <w:t>规定</w:t>
      </w:r>
      <w:r>
        <w:rPr>
          <w:rFonts w:hint="eastAsia"/>
          <w:color w:val="000000" w:themeColor="text1"/>
          <w:highlight w:val="none"/>
          <w14:textFill>
            <w14:solidFill>
              <w14:schemeClr w14:val="tx1"/>
            </w14:solidFill>
          </w14:textFill>
        </w:rPr>
        <w:t>和程序受理申请，不收取任何费用。如有任何中介机构和个人假借我</w:t>
      </w:r>
      <w:r>
        <w:rPr>
          <w:rFonts w:hint="eastAsia"/>
          <w:color w:val="000000" w:themeColor="text1"/>
          <w:highlight w:val="none"/>
          <w:lang w:eastAsia="zh-CN"/>
          <w14:textFill>
            <w14:solidFill>
              <w14:schemeClr w14:val="tx1"/>
            </w14:solidFill>
          </w14:textFill>
        </w:rPr>
        <w:t>单位</w:t>
      </w:r>
      <w:r>
        <w:rPr>
          <w:color w:val="000000" w:themeColor="text1"/>
          <w:highlight w:val="none"/>
          <w14:textFill>
            <w14:solidFill>
              <w14:schemeClr w14:val="tx1"/>
            </w14:solidFill>
          </w14:textFill>
        </w:rPr>
        <w:t>或</w:t>
      </w:r>
      <w:r>
        <w:rPr>
          <w:rFonts w:hint="eastAsia"/>
          <w:color w:val="000000" w:themeColor="text1"/>
          <w:highlight w:val="none"/>
          <w14:textFill>
            <w14:solidFill>
              <w14:schemeClr w14:val="tx1"/>
            </w14:solidFill>
          </w14:textFill>
        </w:rPr>
        <w:t>工作人员名义向申报单位收取费用的，请向我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举报</w:t>
      </w:r>
      <w:r>
        <w:rPr>
          <w:rFonts w:hint="eastAsia"/>
          <w:color w:val="000000" w:themeColor="text1"/>
          <w:highlight w:val="none"/>
          <w:lang w:val="en-US" w:eastAsia="zh-CN"/>
          <w14:textFill>
            <w14:solidFill>
              <w14:schemeClr w14:val="tx1"/>
            </w14:solidFill>
          </w14:textFill>
        </w:rPr>
        <w:t>。（补充受理单位举报电话）</w:t>
      </w:r>
    </w:p>
    <w:p w14:paraId="7E6C5382">
      <w:pPr>
        <w:bidi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六</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申报单位在项目申报期间发生企业名称、联系信息变更的，应及时联系并提供变更材料，如因未及时变更产生的后果由企业自行承担。</w:t>
      </w:r>
    </w:p>
    <w:p w14:paraId="64CD9B46">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七</w:t>
      </w:r>
      <w:r>
        <w:rPr>
          <w:rFonts w:hint="eastAsia"/>
          <w:color w:val="000000" w:themeColor="text1"/>
          <w:highlight w:val="none"/>
          <w14:textFill>
            <w14:solidFill>
              <w14:schemeClr w14:val="tx1"/>
            </w14:solidFill>
          </w14:textFill>
        </w:rPr>
        <w:t>）资助拨款按照申请书银行账户信息办理。因</w:t>
      </w:r>
      <w:r>
        <w:rPr>
          <w:color w:val="000000" w:themeColor="text1"/>
          <w:highlight w:val="none"/>
          <w14:textFill>
            <w14:solidFill>
              <w14:schemeClr w14:val="tx1"/>
            </w14:solidFill>
          </w14:textFill>
        </w:rPr>
        <w:t>账户信息变更或企业填写错误等原因导致</w:t>
      </w:r>
      <w:r>
        <w:rPr>
          <w:rFonts w:hint="eastAsia"/>
          <w:color w:val="000000" w:themeColor="text1"/>
          <w:highlight w:val="none"/>
          <w:lang w:eastAsia="zh-CN"/>
          <w14:textFill>
            <w14:solidFill>
              <w14:schemeClr w14:val="tx1"/>
            </w14:solidFill>
          </w14:textFill>
        </w:rPr>
        <w:t>拨付</w:t>
      </w:r>
      <w:r>
        <w:rPr>
          <w:color w:val="000000" w:themeColor="text1"/>
          <w:highlight w:val="none"/>
          <w14:textFill>
            <w14:solidFill>
              <w14:schemeClr w14:val="tx1"/>
            </w14:solidFill>
          </w14:textFill>
        </w:rPr>
        <w:t>不成功的，</w:t>
      </w:r>
      <w:r>
        <w:rPr>
          <w:rFonts w:hint="eastAsia"/>
          <w:color w:val="000000" w:themeColor="text1"/>
          <w:highlight w:val="none"/>
          <w14:textFill>
            <w14:solidFill>
              <w14:schemeClr w14:val="tx1"/>
            </w14:solidFill>
          </w14:textFill>
        </w:rPr>
        <w:t>原则上予以办理一次拨款信息更改并再次拨付。</w:t>
      </w:r>
      <w:r>
        <w:rPr>
          <w:color w:val="000000" w:themeColor="text1"/>
          <w:highlight w:val="none"/>
          <w14:textFill>
            <w14:solidFill>
              <w14:schemeClr w14:val="tx1"/>
            </w14:solidFill>
          </w14:textFill>
        </w:rPr>
        <w:t>申报单位</w:t>
      </w:r>
      <w:r>
        <w:rPr>
          <w:rFonts w:hint="eastAsia"/>
          <w:color w:val="000000" w:themeColor="text1"/>
          <w:highlight w:val="none"/>
          <w14:textFill>
            <w14:solidFill>
              <w14:schemeClr w14:val="tx1"/>
            </w14:solidFill>
          </w14:textFill>
        </w:rPr>
        <w:t>应当按照要求办理资金拨款手续。</w:t>
      </w:r>
    </w:p>
    <w:p w14:paraId="4E117463">
      <w:pPr>
        <w:bidi w:val="0"/>
        <w:rPr>
          <w:rFonts w:hint="eastAsia" w:eastAsia="仿宋_GB2312"/>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（八）</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bookmarkEnd w:id="18"/>
    <w:bookmarkEnd w:id="19"/>
    <w:bookmarkEnd w:id="20"/>
    <w:bookmarkEnd w:id="21"/>
    <w:p w14:paraId="0773A756">
      <w:pPr>
        <w:pStyle w:val="17"/>
        <w:rPr>
          <w:rFonts w:ascii="仿宋_GB2312" w:hAnsi="仿宋_GB2312"/>
          <w:color w:val="000000" w:themeColor="text1"/>
          <w:highlight w:val="none"/>
          <w14:textFill>
            <w14:solidFill>
              <w14:schemeClr w14:val="tx1"/>
            </w14:solidFill>
          </w14:textFill>
        </w:rPr>
      </w:pPr>
    </w:p>
    <w:sectPr>
      <w:footerReference r:id="rId5" w:type="default"/>
      <w:pgSz w:w="11906" w:h="16838"/>
      <w:pgMar w:top="1814" w:right="1474" w:bottom="1814" w:left="1474"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5FCE9">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3B9387">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303B9387">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13047F5"/>
    <w:rsid w:val="015E2532"/>
    <w:rsid w:val="02803A46"/>
    <w:rsid w:val="02CB1CF7"/>
    <w:rsid w:val="02DA63DE"/>
    <w:rsid w:val="02E93786"/>
    <w:rsid w:val="032C6A46"/>
    <w:rsid w:val="070F7027"/>
    <w:rsid w:val="08437B8D"/>
    <w:rsid w:val="08461CA3"/>
    <w:rsid w:val="0A2D6324"/>
    <w:rsid w:val="0A6C5760"/>
    <w:rsid w:val="0B35692F"/>
    <w:rsid w:val="0B4456D1"/>
    <w:rsid w:val="0BAD1FAB"/>
    <w:rsid w:val="0BE1742C"/>
    <w:rsid w:val="0D1F0CED"/>
    <w:rsid w:val="0F95719B"/>
    <w:rsid w:val="0FDD6438"/>
    <w:rsid w:val="0FE131A1"/>
    <w:rsid w:val="10BF0BFF"/>
    <w:rsid w:val="11A73770"/>
    <w:rsid w:val="124226AB"/>
    <w:rsid w:val="126D73E5"/>
    <w:rsid w:val="13A40095"/>
    <w:rsid w:val="14053C83"/>
    <w:rsid w:val="149841BF"/>
    <w:rsid w:val="14B52694"/>
    <w:rsid w:val="158E5C71"/>
    <w:rsid w:val="15C958A9"/>
    <w:rsid w:val="163D2AB4"/>
    <w:rsid w:val="172A2DF8"/>
    <w:rsid w:val="17B005EC"/>
    <w:rsid w:val="185533C0"/>
    <w:rsid w:val="187E0EC3"/>
    <w:rsid w:val="18AB1F57"/>
    <w:rsid w:val="190653E0"/>
    <w:rsid w:val="196451B1"/>
    <w:rsid w:val="197B53D3"/>
    <w:rsid w:val="1C210334"/>
    <w:rsid w:val="1C964CCC"/>
    <w:rsid w:val="1CFC17D2"/>
    <w:rsid w:val="205A510F"/>
    <w:rsid w:val="21127D99"/>
    <w:rsid w:val="22AD3D05"/>
    <w:rsid w:val="22C22819"/>
    <w:rsid w:val="246A3FA3"/>
    <w:rsid w:val="266D7B2D"/>
    <w:rsid w:val="26AD7618"/>
    <w:rsid w:val="26E72CF4"/>
    <w:rsid w:val="27946F63"/>
    <w:rsid w:val="289B3109"/>
    <w:rsid w:val="28DA2BB7"/>
    <w:rsid w:val="2976170C"/>
    <w:rsid w:val="2A104310"/>
    <w:rsid w:val="2A4B3E74"/>
    <w:rsid w:val="2BA068F1"/>
    <w:rsid w:val="2C2A1457"/>
    <w:rsid w:val="2CAE0A32"/>
    <w:rsid w:val="2FE74DE0"/>
    <w:rsid w:val="2FFC0AFB"/>
    <w:rsid w:val="302C0287"/>
    <w:rsid w:val="311E3F52"/>
    <w:rsid w:val="31A95387"/>
    <w:rsid w:val="31B31F93"/>
    <w:rsid w:val="321653A8"/>
    <w:rsid w:val="328626B9"/>
    <w:rsid w:val="329C19A3"/>
    <w:rsid w:val="32EA49B3"/>
    <w:rsid w:val="32F52701"/>
    <w:rsid w:val="33573FA3"/>
    <w:rsid w:val="341A4C22"/>
    <w:rsid w:val="347B2CCE"/>
    <w:rsid w:val="352B3694"/>
    <w:rsid w:val="363C0287"/>
    <w:rsid w:val="3654545B"/>
    <w:rsid w:val="36565190"/>
    <w:rsid w:val="366C2500"/>
    <w:rsid w:val="370375AB"/>
    <w:rsid w:val="37A74BB3"/>
    <w:rsid w:val="382C7B34"/>
    <w:rsid w:val="387303F9"/>
    <w:rsid w:val="39BDE09B"/>
    <w:rsid w:val="3B0E3D0E"/>
    <w:rsid w:val="3BD4328A"/>
    <w:rsid w:val="3BFC17F2"/>
    <w:rsid w:val="3CFBAB86"/>
    <w:rsid w:val="3CFD6976"/>
    <w:rsid w:val="3D5D42F6"/>
    <w:rsid w:val="3DB808BA"/>
    <w:rsid w:val="3E7F37AC"/>
    <w:rsid w:val="407A2ECB"/>
    <w:rsid w:val="418D6C3A"/>
    <w:rsid w:val="41E50163"/>
    <w:rsid w:val="423806ED"/>
    <w:rsid w:val="428230B1"/>
    <w:rsid w:val="437A5877"/>
    <w:rsid w:val="43BB3CEC"/>
    <w:rsid w:val="444C5275"/>
    <w:rsid w:val="44A91A1A"/>
    <w:rsid w:val="44D052C5"/>
    <w:rsid w:val="46AE1F3D"/>
    <w:rsid w:val="473C23B2"/>
    <w:rsid w:val="47781E40"/>
    <w:rsid w:val="48541414"/>
    <w:rsid w:val="4900762E"/>
    <w:rsid w:val="49BC5C64"/>
    <w:rsid w:val="4A6B0082"/>
    <w:rsid w:val="4AB56AE2"/>
    <w:rsid w:val="4B6E7935"/>
    <w:rsid w:val="4BA9C001"/>
    <w:rsid w:val="4C6F0E47"/>
    <w:rsid w:val="4E7E74BD"/>
    <w:rsid w:val="4F5B083D"/>
    <w:rsid w:val="4FC2745B"/>
    <w:rsid w:val="509A0D5C"/>
    <w:rsid w:val="52252BFC"/>
    <w:rsid w:val="53A167B4"/>
    <w:rsid w:val="54E753F5"/>
    <w:rsid w:val="563F7F48"/>
    <w:rsid w:val="569DB1BF"/>
    <w:rsid w:val="569E06F3"/>
    <w:rsid w:val="5779221D"/>
    <w:rsid w:val="57F69B31"/>
    <w:rsid w:val="589B5008"/>
    <w:rsid w:val="58A326D8"/>
    <w:rsid w:val="59466376"/>
    <w:rsid w:val="59F359C5"/>
    <w:rsid w:val="5A9E6E08"/>
    <w:rsid w:val="5BCF5AFA"/>
    <w:rsid w:val="5BF51433"/>
    <w:rsid w:val="5D09303A"/>
    <w:rsid w:val="5F58D092"/>
    <w:rsid w:val="5FEDF09B"/>
    <w:rsid w:val="5FFF8D5C"/>
    <w:rsid w:val="6173427D"/>
    <w:rsid w:val="623151CA"/>
    <w:rsid w:val="64A22FFB"/>
    <w:rsid w:val="64DB7056"/>
    <w:rsid w:val="64FEF02B"/>
    <w:rsid w:val="66340E1F"/>
    <w:rsid w:val="6692011E"/>
    <w:rsid w:val="66982F4F"/>
    <w:rsid w:val="6888651F"/>
    <w:rsid w:val="6894168D"/>
    <w:rsid w:val="69B52798"/>
    <w:rsid w:val="6A7451AD"/>
    <w:rsid w:val="6AC14C27"/>
    <w:rsid w:val="6AED7542"/>
    <w:rsid w:val="6BC41409"/>
    <w:rsid w:val="6BC52D32"/>
    <w:rsid w:val="6BF743E2"/>
    <w:rsid w:val="6C030E4B"/>
    <w:rsid w:val="6C5C62E3"/>
    <w:rsid w:val="6CAB30BC"/>
    <w:rsid w:val="6CED0F48"/>
    <w:rsid w:val="6CED51AD"/>
    <w:rsid w:val="6FCC3E6E"/>
    <w:rsid w:val="6FEFB7EB"/>
    <w:rsid w:val="71D6011D"/>
    <w:rsid w:val="72694444"/>
    <w:rsid w:val="73470D86"/>
    <w:rsid w:val="73933E76"/>
    <w:rsid w:val="73A0155B"/>
    <w:rsid w:val="74F90479"/>
    <w:rsid w:val="7524053F"/>
    <w:rsid w:val="75405A96"/>
    <w:rsid w:val="75B66B42"/>
    <w:rsid w:val="7625601A"/>
    <w:rsid w:val="77AF94D0"/>
    <w:rsid w:val="77BF249E"/>
    <w:rsid w:val="77FBBA5B"/>
    <w:rsid w:val="78B4248C"/>
    <w:rsid w:val="78D33F7B"/>
    <w:rsid w:val="78F0357E"/>
    <w:rsid w:val="79E7B02B"/>
    <w:rsid w:val="7B9B002D"/>
    <w:rsid w:val="7C1A6A34"/>
    <w:rsid w:val="7CBE4AD3"/>
    <w:rsid w:val="7D1C7CE5"/>
    <w:rsid w:val="7DF909AC"/>
    <w:rsid w:val="7EAF82F1"/>
    <w:rsid w:val="7EFFFC05"/>
    <w:rsid w:val="7F2F4BCF"/>
    <w:rsid w:val="7F363046"/>
    <w:rsid w:val="7F7BA2BB"/>
    <w:rsid w:val="7F92723E"/>
    <w:rsid w:val="7FFDC4AF"/>
    <w:rsid w:val="7FFE1D0D"/>
    <w:rsid w:val="8EFFBC18"/>
    <w:rsid w:val="92F6FF34"/>
    <w:rsid w:val="AFFD59EC"/>
    <w:rsid w:val="B77FA596"/>
    <w:rsid w:val="D7AD2FA7"/>
    <w:rsid w:val="DF2D049B"/>
    <w:rsid w:val="DFA76B13"/>
    <w:rsid w:val="DFAFB14D"/>
    <w:rsid w:val="DFBFA96B"/>
    <w:rsid w:val="DFCD344D"/>
    <w:rsid w:val="DFDF681D"/>
    <w:rsid w:val="DFEFB4F9"/>
    <w:rsid w:val="DFF75E86"/>
    <w:rsid w:val="DFFFE701"/>
    <w:rsid w:val="EF2F06D6"/>
    <w:rsid w:val="EFCE6739"/>
    <w:rsid w:val="EFD7C33F"/>
    <w:rsid w:val="EFFFA8DC"/>
    <w:rsid w:val="EFFFDF1D"/>
    <w:rsid w:val="F1FB38D3"/>
    <w:rsid w:val="F3CE8D91"/>
    <w:rsid w:val="F6AFD14E"/>
    <w:rsid w:val="F6DFDC32"/>
    <w:rsid w:val="F7F3893A"/>
    <w:rsid w:val="FB7B843B"/>
    <w:rsid w:val="FBF2237E"/>
    <w:rsid w:val="FD9F53F7"/>
    <w:rsid w:val="FF2E8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paragraph" w:customStyle="1" w:styleId="36">
    <w:name w:val="文件正文"/>
    <w:basedOn w:val="10"/>
    <w:qFormat/>
    <w:uiPriority w:val="2"/>
    <w:pPr>
      <w:spacing w:line="560" w:lineRule="exact"/>
      <w:ind w:firstLine="622" w:firstLineChars="200"/>
    </w:pPr>
    <w:rPr>
      <w:rFonts w:eastAsia="仿宋_GB2312"/>
      <w:sz w:val="32"/>
    </w:rPr>
  </w:style>
  <w:style w:type="paragraph" w:customStyle="1" w:styleId="37">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3966</Words>
  <Characters>4098</Characters>
  <Lines>0</Lines>
  <Paragraphs>0</Paragraphs>
  <TotalTime>0</TotalTime>
  <ScaleCrop>false</ScaleCrop>
  <LinksUpToDate>false</LinksUpToDate>
  <CharactersWithSpaces>4104</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2025-07-14T10:47:00Z</dcterms:created>
  <dc:creator>黄佩琳</dc:creator>
  <cp:lastModifiedBy>周文熙</cp:lastModifiedBy>
  <cp:lastPrinted>2026-03-24T14:46:00Z</cp:lastPrinted>
  <dcterms:modified xsi:type="dcterms:W3CDTF">2026-07-13T18:18:44Z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30F139CE957830C37838226A03EB1234</vt:lpwstr>
  </property>
  <property fmtid="{D5CDD505-2E9C-101B-9397-08002B2CF9AE}" pid="4" name="KSOTemplateDocerSaveRecord">
    <vt:lpwstr>eyJoZGlkIjoiY2NiNzc0ZWE4MzBjY2JmMGYyMmY4NjkxNmNhZGJlNDUiLCJ1c2VySWQiOiI4NzUyMjIyNTQifQ==</vt:lpwstr>
  </property>
</Properties>
</file>