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lef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附件1-1：</w:t>
      </w:r>
    </w:p>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left"/>
        <w:textAlignment w:val="auto"/>
        <w:rPr>
          <w:rFonts w:hint="eastAsia" w:ascii="仿宋_GB2312" w:hAnsi="仿宋_GB2312" w:eastAsia="仿宋_GB2312" w:cs="仿宋_GB2312"/>
          <w:kern w:val="2"/>
          <w:sz w:val="32"/>
          <w:szCs w:val="32"/>
          <w:highlight w:val="none"/>
          <w:lang w:val="en-US" w:eastAsia="zh-CN" w:bidi="ar-SA"/>
        </w:rPr>
      </w:pPr>
    </w:p>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center"/>
        <w:textAlignment w:val="auto"/>
        <w:rPr>
          <w:rFonts w:hint="eastAsia" w:ascii="方正小标宋_GBK" w:hAnsi="方正小标宋_GBK" w:eastAsia="方正小标宋_GBK" w:cs="Times New Roman"/>
          <w:kern w:val="2"/>
          <w:sz w:val="44"/>
          <w:szCs w:val="44"/>
          <w:highlight w:val="none"/>
          <w:lang w:val="en-US" w:eastAsia="zh-CN" w:bidi="ar-SA"/>
        </w:rPr>
      </w:pPr>
      <w:r>
        <w:rPr>
          <w:rFonts w:hint="eastAsia" w:ascii="方正小标宋_GBK" w:hAnsi="方正小标宋_GBK" w:eastAsia="方正小标宋_GBK" w:cs="Times New Roman"/>
          <w:kern w:val="2"/>
          <w:sz w:val="44"/>
          <w:szCs w:val="44"/>
          <w:highlight w:val="none"/>
          <w:lang w:val="en-US" w:eastAsia="zh-CN" w:bidi="ar-SA"/>
        </w:rPr>
        <w:t>2026年度光明区知识产权质押融资项目</w:t>
      </w:r>
    </w:p>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center"/>
        <w:textAlignment w:val="auto"/>
        <w:rPr>
          <w:rFonts w:hint="eastAsia" w:ascii="方正小标宋_GBK" w:hAnsi="方正小标宋_GBK" w:eastAsia="方正小标宋_GBK" w:cs="Times New Roman"/>
          <w:kern w:val="2"/>
          <w:sz w:val="44"/>
          <w:szCs w:val="44"/>
          <w:highlight w:val="none"/>
          <w:lang w:val="en-US" w:eastAsia="zh-CN" w:bidi="ar-SA"/>
        </w:rPr>
      </w:pPr>
      <w:r>
        <w:rPr>
          <w:rFonts w:hint="eastAsia" w:ascii="方正小标宋_GBK" w:hAnsi="方正小标宋_GBK" w:eastAsia="方正小标宋_GBK" w:cs="Times New Roman"/>
          <w:kern w:val="2"/>
          <w:sz w:val="44"/>
          <w:szCs w:val="44"/>
          <w:highlight w:val="none"/>
          <w:lang w:val="en-US" w:eastAsia="zh-CN" w:bidi="ar-SA"/>
        </w:rPr>
        <w:t>申报指南</w:t>
      </w:r>
    </w:p>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center"/>
        <w:textAlignment w:val="auto"/>
        <w:rPr>
          <w:rFonts w:hint="eastAsia" w:ascii="方正小标宋_GBK" w:hAnsi="方正小标宋_GBK" w:eastAsia="方正小标宋_GBK" w:cs="Times New Roman"/>
          <w:kern w:val="2"/>
          <w:sz w:val="44"/>
          <w:szCs w:val="44"/>
          <w:highlight w:val="none"/>
          <w:lang w:val="en-US" w:eastAsia="zh-CN" w:bidi="ar-SA"/>
        </w:rPr>
      </w:pPr>
      <w:bookmarkStart w:id="0" w:name="_GoBack"/>
      <w:bookmarkEnd w:id="0"/>
    </w:p>
    <w:p>
      <w:pPr>
        <w:keepNext w:val="0"/>
        <w:keepLines w:val="0"/>
        <w:pageBreakBefore w:val="0"/>
        <w:widowControl/>
        <w:numPr>
          <w:ilvl w:val="0"/>
          <w:numId w:val="1"/>
        </w:numPr>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政策依据</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（一）《光明区经济发展专项资金管理办法》（深光工信规〔2026〕1号）</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（二）《深圳市光明区关于促进质量标准知识产权发展的若干措施》（深市监光规〔2026〕1号）</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（三）《深圳市光明区关于促进质量标准知识产权发展的若干措施操作规程》（深市监光规〔2026〕2号）</w:t>
      </w:r>
    </w:p>
    <w:p>
      <w:pPr>
        <w:pStyle w:val="2"/>
        <w:keepNext w:val="0"/>
        <w:keepLines w:val="0"/>
        <w:pageBreakBefore w:val="0"/>
        <w:wordWrap/>
        <w:topLinePunct w:val="0"/>
        <w:bidi w:val="0"/>
        <w:adjustRightInd/>
        <w:spacing w:line="560" w:lineRule="exact"/>
        <w:ind w:left="0" w:firstLine="640" w:firstLineChars="200"/>
        <w:textAlignment w:val="auto"/>
        <w:rPr>
          <w:rFonts w:hint="default" w:ascii="仿宋_GB2312" w:eastAsia="仿宋_GB2312" w:cs="宋体"/>
          <w:kern w:val="2"/>
          <w:sz w:val="32"/>
          <w:szCs w:val="32"/>
          <w:highlight w:val="none"/>
          <w:lang w:val="en-US" w:eastAsia="zh-CN"/>
        </w:rPr>
      </w:pPr>
      <w:r>
        <w:rPr>
          <w:rFonts w:hint="eastAsia" w:ascii="仿宋_GB2312" w:eastAsia="黑体"/>
          <w:bCs/>
          <w:kern w:val="44"/>
          <w:sz w:val="32"/>
          <w:szCs w:val="44"/>
          <w:highlight w:val="none"/>
          <w:lang w:val="en-US" w:eastAsia="zh-CN"/>
        </w:rPr>
        <w:t>二、知识产权质押融资项目</w:t>
      </w:r>
      <w:r>
        <w:rPr>
          <w:rFonts w:hint="eastAsia" w:ascii="仿宋_GB2312" w:hAnsi="宋体" w:eastAsia="黑体"/>
          <w:bCs/>
          <w:kern w:val="44"/>
          <w:sz w:val="32"/>
          <w:szCs w:val="44"/>
          <w:highlight w:val="none"/>
          <w:lang w:val="en-US" w:eastAsia="zh-CN"/>
        </w:rPr>
        <w:t>支持对象、资助标准、支持方式</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支持知识产权质押融资。对通过知识产权（专利、商标）质押方式获得贷款，并在上一年还清贷款本息的单位，按实际支出贷款利息给予最高</w:t>
      </w:r>
      <w:r>
        <w:rPr>
          <w:rFonts w:hint="default" w:ascii="仿宋_GB2312" w:hAnsi="宋体" w:eastAsia="仿宋_GB2312" w:cs="宋体"/>
          <w:kern w:val="2"/>
          <w:sz w:val="32"/>
          <w:szCs w:val="32"/>
          <w:highlight w:val="none"/>
          <w:lang w:val="en" w:eastAsia="zh-CN" w:bidi="zh-CN"/>
        </w:rPr>
        <w:t>50</w:t>
      </w:r>
      <w:r>
        <w:rPr>
          <w:rFonts w:hint="eastAsia" w:ascii="仿宋_GB2312" w:hAnsi="宋体" w:eastAsia="仿宋_GB2312" w:cs="宋体"/>
          <w:kern w:val="2"/>
          <w:sz w:val="32"/>
          <w:szCs w:val="32"/>
          <w:highlight w:val="none"/>
          <w:lang w:val="en-US" w:eastAsia="zh-CN" w:bidi="zh-CN"/>
        </w:rPr>
        <w:t>%的资助。以组合贷款方式进行融资的，只计算知识产权质押融资贷款部分；组合贷款中无法计算知识产权质押融资金额的，不予资助。同一单位年度资助总额最高50万元，本项目每年资助总额不超过400万元。</w:t>
      </w:r>
    </w:p>
    <w:p>
      <w:pPr>
        <w:pStyle w:val="2"/>
        <w:keepNext w:val="0"/>
        <w:keepLines w:val="0"/>
        <w:pageBreakBefore w:val="0"/>
        <w:wordWrap/>
        <w:topLinePunct w:val="0"/>
        <w:bidi w:val="0"/>
        <w:adjustRightInd/>
        <w:spacing w:line="560" w:lineRule="exact"/>
        <w:ind w:left="0" w:leftChars="0" w:firstLine="640" w:firstLineChars="200"/>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本项目属于核准类项目，采用事后资助方式。</w:t>
      </w:r>
    </w:p>
    <w:p>
      <w:pPr>
        <w:keepNext w:val="0"/>
        <w:keepLines w:val="0"/>
        <w:pageBreakBefore w:val="0"/>
        <w:wordWrap/>
        <w:topLinePunct w:val="0"/>
        <w:bidi w:val="0"/>
        <w:adjustRightInd/>
        <w:spacing w:line="560" w:lineRule="exact"/>
        <w:ind w:left="0" w:firstLine="640" w:firstLineChars="200"/>
        <w:textAlignment w:val="auto"/>
        <w:rPr>
          <w:rFonts w:hint="eastAsia" w:ascii="仿宋_GB2312" w:hAnsi="宋体" w:eastAsia="仿宋_GB2312" w:cs="宋体"/>
          <w:b/>
          <w:bCs/>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上述资助项目从光明区经济发展专项资金中列支，资助资金根据当年度区经济发展专项资金预算安排和申报情况，对资助金额、支持比例和拨付进度等进行统一调整，申报主体应无条件同意调整结果。</w:t>
      </w:r>
      <w:r>
        <w:rPr>
          <w:rFonts w:hint="eastAsia" w:ascii="仿宋_GB2312" w:hAnsi="宋体" w:eastAsia="仿宋_GB2312" w:cs="宋体"/>
          <w:b/>
          <w:bCs/>
          <w:kern w:val="2"/>
          <w:sz w:val="32"/>
          <w:szCs w:val="32"/>
          <w:highlight w:val="none"/>
          <w:lang w:val="en-US" w:eastAsia="zh-CN" w:bidi="zh-CN"/>
        </w:rPr>
        <w:t>上述项目在后续兑现拨付环节，如遇国家、省、市有关政策规定调整的，一律按照资金兑付节点现行有效的政策规定作为执行依据。</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val="en-US" w:eastAsia="zh-CN"/>
        </w:rPr>
        <w:t>三</w:t>
      </w:r>
      <w:r>
        <w:rPr>
          <w:rFonts w:ascii="仿宋_GB2312" w:hAnsi="宋体" w:eastAsia="黑体"/>
          <w:bCs/>
          <w:kern w:val="44"/>
          <w:sz w:val="32"/>
          <w:szCs w:val="44"/>
          <w:highlight w:val="none"/>
        </w:rPr>
        <w:t>、申报条件</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（一）依法登记注册的企事业单位、社会组织或其他机构，在光明区从事经营、运营、研发等活动。</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（二）有规范健全的财务管理制度，依法履行统计数据申报义务。</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（三）诚实守信，遵纪守法，不存在违反《全国失信惩戒措施基础清单》相关规定的情形。</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（四）符合有关产业政策文件及申请指南规定的其他条件。</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（五）申请单位通过知识产权（专利、商标）质押方式申请贷款，并在上一年还清贷款本息。</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（六）以组合贷款方式进行融资的，只计算知识产权质押融资贷款部分；组合贷款中无法计算知识产权质押融资金额的，不予资助。</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val="en-US" w:eastAsia="zh-CN"/>
        </w:rPr>
        <w:t>四</w:t>
      </w:r>
      <w:r>
        <w:rPr>
          <w:rFonts w:ascii="仿宋_GB2312" w:hAnsi="宋体" w:eastAsia="黑体"/>
          <w:bCs/>
          <w:kern w:val="44"/>
          <w:sz w:val="32"/>
          <w:szCs w:val="44"/>
          <w:highlight w:val="none"/>
        </w:rPr>
        <w:t xml:space="preserve">、申请材料 </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申报材料由</w:t>
      </w:r>
      <w:r>
        <w:rPr>
          <w:rFonts w:hint="eastAsia" w:ascii="仿宋_GB2312" w:hAnsi="楷体_GB2312" w:eastAsia="仿宋_GB2312" w:cs="楷体_GB2312"/>
          <w:b/>
          <w:bCs/>
          <w:sz w:val="32"/>
          <w:szCs w:val="32"/>
          <w:highlight w:val="none"/>
        </w:rPr>
        <w:t>基础申报材料</w:t>
      </w:r>
      <w:r>
        <w:rPr>
          <w:rFonts w:hint="eastAsia" w:ascii="仿宋_GB2312" w:hAnsi="楷体_GB2312" w:eastAsia="仿宋_GB2312" w:cs="楷体_GB2312"/>
          <w:sz w:val="32"/>
          <w:szCs w:val="32"/>
          <w:highlight w:val="none"/>
        </w:rPr>
        <w:t>和</w:t>
      </w:r>
      <w:r>
        <w:rPr>
          <w:rFonts w:hint="eastAsia" w:ascii="仿宋_GB2312" w:hAnsi="楷体_GB2312" w:eastAsia="仿宋_GB2312" w:cs="楷体_GB2312"/>
          <w:b/>
          <w:bCs/>
          <w:sz w:val="32"/>
          <w:szCs w:val="32"/>
          <w:highlight w:val="none"/>
        </w:rPr>
        <w:t>专项申报材料</w:t>
      </w:r>
      <w:r>
        <w:rPr>
          <w:rFonts w:hint="eastAsia" w:ascii="仿宋_GB2312" w:hAnsi="楷体_GB2312" w:eastAsia="仿宋_GB2312" w:cs="楷体_GB2312"/>
          <w:sz w:val="32"/>
          <w:szCs w:val="32"/>
          <w:highlight w:val="none"/>
        </w:rPr>
        <w:t>两部分组成。</w:t>
      </w:r>
    </w:p>
    <w:p>
      <w:pPr>
        <w:keepNext w:val="0"/>
        <w:keepLines w:val="0"/>
        <w:pageBreakBefore w:val="0"/>
        <w:kinsoku w:val="0"/>
        <w:wordWrap/>
        <w:overflowPunct w:val="0"/>
        <w:topLinePunct w:val="0"/>
        <w:autoSpaceDE w:val="0"/>
        <w:autoSpaceDN w:val="0"/>
        <w:bidi w:val="0"/>
        <w:adjustRightInd/>
        <w:spacing w:line="560" w:lineRule="exact"/>
        <w:ind w:left="0" w:firstLine="642" w:firstLineChars="200"/>
        <w:textAlignment w:val="auto"/>
        <w:rPr>
          <w:rFonts w:ascii="仿宋_GB2312" w:hAnsi="楷体_GB2312" w:eastAsia="仿宋_GB2312" w:cs="楷体_GB2312"/>
          <w:b/>
          <w:bCs/>
          <w:sz w:val="32"/>
          <w:szCs w:val="32"/>
          <w:highlight w:val="none"/>
        </w:rPr>
      </w:pPr>
      <w:r>
        <w:rPr>
          <w:rFonts w:hint="eastAsia" w:ascii="仿宋_GB2312" w:hAnsi="楷体_GB2312" w:eastAsia="仿宋_GB2312" w:cs="楷体_GB2312"/>
          <w:b/>
          <w:bCs/>
          <w:sz w:val="32"/>
          <w:szCs w:val="32"/>
          <w:highlight w:val="none"/>
        </w:rPr>
        <w:t>基础申报材料：</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eastAsia="仿宋_GB2312"/>
          <w:sz w:val="32"/>
          <w:szCs w:val="32"/>
          <w:highlight w:val="none"/>
          <w:lang w:val="en-US" w:eastAsia="zh-CN"/>
        </w:rPr>
      </w:pPr>
      <w:r>
        <w:rPr>
          <w:rFonts w:hint="eastAsia" w:eastAsia="仿宋_GB2312"/>
          <w:sz w:val="32"/>
          <w:szCs w:val="32"/>
          <w:highlight w:val="none"/>
          <w:lang w:val="en-US" w:eastAsia="zh-CN"/>
        </w:rPr>
        <w:t>（一）</w:t>
      </w:r>
      <w:r>
        <w:rPr>
          <w:rFonts w:hint="eastAsia" w:ascii="方正仿宋_GB2312" w:hAnsi="方正仿宋_GB2312" w:eastAsia="方正仿宋_GB2312" w:cs="方正仿宋_GB2312"/>
          <w:sz w:val="32"/>
          <w:szCs w:val="32"/>
          <w:highlight w:val="none"/>
          <w:lang w:val="en-US" w:eastAsia="zh-CN"/>
        </w:rPr>
        <w:t>2026</w:t>
      </w:r>
      <w:r>
        <w:rPr>
          <w:rFonts w:hint="eastAsia" w:eastAsia="仿宋_GB2312"/>
          <w:sz w:val="32"/>
          <w:szCs w:val="32"/>
          <w:highlight w:val="none"/>
          <w:lang w:val="en-US" w:eastAsia="zh-CN"/>
        </w:rPr>
        <w:t>年度光明区知识产权质押融资项目申请表（系统填报，提供系统打印的申请书纸质文件原件）。</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（二）</w:t>
      </w:r>
      <w:r>
        <w:rPr>
          <w:rFonts w:hint="eastAsia" w:eastAsia="仿宋_GB2312"/>
          <w:sz w:val="32"/>
          <w:szCs w:val="32"/>
          <w:highlight w:val="none"/>
          <w:lang w:val="en-US" w:eastAsia="zh-CN"/>
        </w:rPr>
        <w:t>申请人主体</w:t>
      </w:r>
      <w:r>
        <w:rPr>
          <w:rFonts w:hint="eastAsia" w:ascii="Times New Roman" w:hAnsi="Times New Roman" w:eastAsia="仿宋_GB2312" w:cs="Times New Roman"/>
          <w:sz w:val="32"/>
          <w:szCs w:val="32"/>
          <w:highlight w:val="none"/>
          <w:lang w:val="en-US" w:eastAsia="zh-CN"/>
        </w:rPr>
        <w:t>资格</w:t>
      </w:r>
      <w:r>
        <w:rPr>
          <w:rFonts w:hint="eastAsia" w:eastAsia="仿宋_GB2312"/>
          <w:sz w:val="32"/>
          <w:szCs w:val="32"/>
          <w:highlight w:val="none"/>
          <w:lang w:val="en-US" w:eastAsia="zh-CN"/>
        </w:rPr>
        <w:t>材料（营业执照或主管部门批准成立的文件复印</w:t>
      </w:r>
      <w:r>
        <w:rPr>
          <w:rFonts w:hint="eastAsia" w:ascii="Times New Roman" w:hAnsi="Times New Roman" w:eastAsia="仿宋_GB2312" w:cs="Times New Roman"/>
          <w:sz w:val="32"/>
          <w:szCs w:val="32"/>
          <w:highlight w:val="none"/>
          <w:lang w:val="en-US" w:eastAsia="zh-CN"/>
        </w:rPr>
        <w:t>件）</w:t>
      </w:r>
      <w:r>
        <w:rPr>
          <w:rFonts w:hint="eastAsia" w:ascii="Times New Roman" w:hAnsi="Times New Roman" w:eastAsia="仿宋_GB2312" w:cs="Times New Roman"/>
          <w:sz w:val="32"/>
          <w:szCs w:val="32"/>
          <w:highlight w:val="none"/>
          <w:lang w:eastAsia="zh-CN"/>
        </w:rPr>
        <w:t>、上一年度纳税证明</w:t>
      </w:r>
      <w:r>
        <w:rPr>
          <w:rFonts w:hint="eastAsia" w:ascii="Times New Roman" w:hAnsi="Times New Roman" w:eastAsia="仿宋_GB2312" w:cs="Times New Roman"/>
          <w:sz w:val="32"/>
          <w:szCs w:val="32"/>
          <w:highlight w:val="none"/>
          <w:lang w:val="en-US" w:eastAsia="zh-CN"/>
        </w:rPr>
        <w:t>。</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三</w:t>
      </w:r>
      <w:r>
        <w:rPr>
          <w:rFonts w:hint="eastAsia" w:ascii="仿宋_GB2312" w:hAnsi="楷体_GB2312" w:eastAsia="仿宋_GB2312" w:cs="楷体_GB2312"/>
          <w:sz w:val="32"/>
          <w:szCs w:val="32"/>
          <w:highlight w:val="none"/>
        </w:rPr>
        <w:t>）企业信用报告（通过深圳信用网打印完整版信用报告）。</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四</w:t>
      </w:r>
      <w:r>
        <w:rPr>
          <w:rFonts w:hint="eastAsia" w:ascii="仿宋_GB2312" w:hAnsi="楷体_GB2312" w:eastAsia="仿宋_GB2312" w:cs="楷体_GB2312"/>
          <w:sz w:val="32"/>
          <w:szCs w:val="32"/>
          <w:highlight w:val="none"/>
        </w:rPr>
        <w:t>）法人授权委托书，法定代表人身份证复印件及经办人身份证复印件（法定代表人身份证无须验原件）。</w:t>
      </w:r>
    </w:p>
    <w:p>
      <w:pPr>
        <w:keepNext w:val="0"/>
        <w:keepLines w:val="0"/>
        <w:pageBreakBefore w:val="0"/>
        <w:kinsoku w:val="0"/>
        <w:wordWrap/>
        <w:overflowPunct w:val="0"/>
        <w:topLinePunct w:val="0"/>
        <w:autoSpaceDE w:val="0"/>
        <w:autoSpaceDN w:val="0"/>
        <w:bidi w:val="0"/>
        <w:adjustRightInd/>
        <w:spacing w:line="560" w:lineRule="exact"/>
        <w:ind w:left="0" w:firstLine="642" w:firstLineChars="200"/>
        <w:textAlignment w:val="auto"/>
        <w:rPr>
          <w:rFonts w:hint="eastAsia" w:ascii="仿宋_GB2312" w:hAnsi="楷体_GB2312" w:eastAsia="仿宋_GB2312" w:cs="楷体_GB2312"/>
          <w:b/>
          <w:bCs/>
          <w:sz w:val="32"/>
          <w:szCs w:val="32"/>
          <w:highlight w:val="none"/>
        </w:rPr>
      </w:pPr>
      <w:r>
        <w:rPr>
          <w:rFonts w:hint="eastAsia" w:ascii="仿宋_GB2312" w:hAnsi="楷体_GB2312" w:eastAsia="仿宋_GB2312" w:cs="楷体_GB2312"/>
          <w:b/>
          <w:bCs/>
          <w:sz w:val="32"/>
          <w:szCs w:val="32"/>
          <w:highlight w:val="none"/>
        </w:rPr>
        <w:t>专项申报材料：</w:t>
      </w:r>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left="0" w:leftChars="0" w:firstLine="640" w:firstLineChars="200"/>
        <w:textAlignment w:val="auto"/>
        <w:rPr>
          <w:rFonts w:hint="eastAsia" w:ascii="Times New Roman" w:hAnsi="Times New Roman" w:eastAsia="仿宋_GB2312" w:cs="Times New Roman"/>
          <w:spacing w:val="-6"/>
          <w:sz w:val="32"/>
          <w:szCs w:val="32"/>
          <w:highlight w:val="none"/>
          <w:lang w:val="en-US" w:eastAsia="zh-CN"/>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五</w:t>
      </w:r>
      <w:r>
        <w:rPr>
          <w:rFonts w:hint="eastAsia" w:ascii="仿宋_GB2312" w:hAnsi="楷体_GB2312" w:eastAsia="仿宋_GB2312" w:cs="楷体_GB2312"/>
          <w:sz w:val="32"/>
          <w:szCs w:val="32"/>
          <w:highlight w:val="none"/>
        </w:rPr>
        <w:t>）</w:t>
      </w:r>
      <w:r>
        <w:rPr>
          <w:rFonts w:hint="eastAsia" w:ascii="Times New Roman" w:hAnsi="Times New Roman" w:eastAsia="仿宋_GB2312" w:cs="Times New Roman"/>
          <w:spacing w:val="-6"/>
          <w:sz w:val="32"/>
          <w:szCs w:val="32"/>
          <w:highlight w:val="none"/>
          <w:lang w:val="en-US" w:eastAsia="zh-CN"/>
        </w:rPr>
        <w:t>质押合同、知识产权质押证明（如质权登记证书、质押登记通知书等）。</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Times New Roman" w:hAnsi="Times New Roman" w:eastAsia="仿宋_GB2312" w:cs="Times New Roman"/>
          <w:spacing w:val="-6"/>
          <w:sz w:val="32"/>
          <w:szCs w:val="32"/>
          <w:highlight w:val="none"/>
          <w:lang w:val="en-US" w:eastAsia="zh-CN"/>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val="en-US" w:eastAsia="zh-CN"/>
        </w:rPr>
        <w:t>六</w:t>
      </w:r>
      <w:r>
        <w:rPr>
          <w:rFonts w:hint="eastAsia" w:ascii="仿宋_GB2312" w:hAnsi="楷体_GB2312" w:eastAsia="仿宋_GB2312" w:cs="楷体_GB2312"/>
          <w:sz w:val="32"/>
          <w:szCs w:val="32"/>
          <w:highlight w:val="none"/>
        </w:rPr>
        <w:t>）</w:t>
      </w:r>
      <w:r>
        <w:rPr>
          <w:rFonts w:hint="eastAsia" w:ascii="Times New Roman" w:hAnsi="Times New Roman" w:eastAsia="仿宋_GB2312" w:cs="Times New Roman"/>
          <w:spacing w:val="-6"/>
          <w:sz w:val="32"/>
          <w:szCs w:val="32"/>
          <w:highlight w:val="none"/>
          <w:lang w:val="en-US" w:eastAsia="zh-CN"/>
        </w:rPr>
        <w:t>银行出具的贷款合同、放款凭证、已完成还款付息的凭证（如银行出具的贷款付息凭证等）、实际支付利息清单的情况说明等证明材料。如涉及担保、评估还需提供</w:t>
      </w:r>
      <w:r>
        <w:rPr>
          <w:rFonts w:hint="eastAsia" w:ascii="Times New Roman" w:hAnsi="Times New Roman" w:eastAsia="仿宋_GB2312" w:cs="Times New Roman"/>
          <w:spacing w:val="-6"/>
          <w:sz w:val="32"/>
          <w:szCs w:val="32"/>
          <w:highlight w:val="none"/>
          <w:lang w:eastAsia="zh-CN"/>
        </w:rPr>
        <w:t>担保（或</w:t>
      </w:r>
      <w:r>
        <w:rPr>
          <w:rFonts w:hint="eastAsia" w:ascii="Times New Roman" w:hAnsi="Times New Roman" w:eastAsia="仿宋_GB2312" w:cs="Times New Roman"/>
          <w:spacing w:val="-6"/>
          <w:sz w:val="32"/>
          <w:szCs w:val="32"/>
          <w:highlight w:val="none"/>
        </w:rPr>
        <w:t>反担保</w:t>
      </w:r>
      <w:r>
        <w:rPr>
          <w:rFonts w:hint="eastAsia" w:ascii="Times New Roman" w:hAnsi="Times New Roman" w:eastAsia="仿宋_GB2312" w:cs="Times New Roman"/>
          <w:spacing w:val="-6"/>
          <w:sz w:val="32"/>
          <w:szCs w:val="32"/>
          <w:highlight w:val="none"/>
          <w:lang w:eastAsia="zh-CN"/>
        </w:rPr>
        <w:t>）</w:t>
      </w:r>
      <w:r>
        <w:rPr>
          <w:rFonts w:hint="eastAsia" w:ascii="Times New Roman" w:hAnsi="Times New Roman" w:eastAsia="仿宋_GB2312" w:cs="Times New Roman"/>
          <w:spacing w:val="-6"/>
          <w:sz w:val="32"/>
          <w:szCs w:val="32"/>
          <w:highlight w:val="none"/>
        </w:rPr>
        <w:t>合同</w:t>
      </w:r>
      <w:r>
        <w:rPr>
          <w:rFonts w:hint="eastAsia" w:ascii="Times New Roman" w:hAnsi="Times New Roman" w:eastAsia="仿宋_GB2312" w:cs="Times New Roman"/>
          <w:spacing w:val="-6"/>
          <w:sz w:val="32"/>
          <w:szCs w:val="32"/>
          <w:highlight w:val="none"/>
          <w:lang w:eastAsia="zh-CN"/>
        </w:rPr>
        <w:t>、资产</w:t>
      </w:r>
      <w:r>
        <w:rPr>
          <w:rFonts w:hint="eastAsia" w:ascii="Times New Roman" w:hAnsi="Times New Roman" w:eastAsia="仿宋_GB2312" w:cs="Times New Roman"/>
          <w:spacing w:val="-6"/>
          <w:sz w:val="32"/>
          <w:szCs w:val="32"/>
          <w:highlight w:val="none"/>
          <w:lang w:val="en-US" w:eastAsia="zh-CN"/>
        </w:rPr>
        <w:t>评估合同。</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七</w:t>
      </w:r>
      <w:r>
        <w:rPr>
          <w:rFonts w:hint="eastAsia" w:ascii="仿宋_GB2312" w:hAnsi="楷体_GB2312" w:eastAsia="仿宋_GB2312" w:cs="楷体_GB2312"/>
          <w:sz w:val="32"/>
          <w:szCs w:val="32"/>
          <w:highlight w:val="none"/>
        </w:rPr>
        <w:t>）深圳市市场监督管理局光明监管局要求提交的其他资料或必要说明等。</w:t>
      </w:r>
    </w:p>
    <w:p>
      <w:pPr>
        <w:keepNext w:val="0"/>
        <w:keepLines w:val="0"/>
        <w:pageBreakBefore w:val="0"/>
        <w:kinsoku w:val="0"/>
        <w:wordWrap/>
        <w:overflowPunct w:val="0"/>
        <w:topLinePunct w:val="0"/>
        <w:autoSpaceDE w:val="0"/>
        <w:autoSpaceDN w:val="0"/>
        <w:bidi w:val="0"/>
        <w:adjustRightInd/>
        <w:spacing w:line="560" w:lineRule="exact"/>
        <w:ind w:left="0" w:firstLine="616" w:firstLineChars="200"/>
        <w:textAlignment w:val="auto"/>
        <w:rPr>
          <w:rFonts w:hint="eastAsia" w:ascii="方正仿宋_GB2312" w:hAnsi="方正仿宋_GB2312" w:eastAsia="方正仿宋_GB2312" w:cs="方正仿宋_GB2312"/>
          <w:spacing w:val="-6"/>
          <w:sz w:val="32"/>
          <w:szCs w:val="32"/>
          <w:highlight w:val="none"/>
          <w:lang w:val="en-US" w:eastAsia="zh-CN"/>
        </w:rPr>
      </w:pPr>
      <w:r>
        <w:rPr>
          <w:rFonts w:hint="eastAsia" w:ascii="方正仿宋_GB2312" w:hAnsi="方正仿宋_GB2312" w:eastAsia="方正仿宋_GB2312" w:cs="方正仿宋_GB2312"/>
          <w:spacing w:val="-6"/>
          <w:sz w:val="32"/>
          <w:szCs w:val="32"/>
          <w:highlight w:val="none"/>
          <w:lang w:val="en-US" w:eastAsia="zh-CN"/>
        </w:rPr>
        <w:t>电子材料：第（一）项材料登录深圳市财政专项资金统一管理平台（以下简称财企通平台，https://cqt.szfb.sz.gov.cn/#/home）在线填报，其余材料按要求上传PDF文件至财企通平台（使用帮助：https://cqt.szfb.sz.gov.cn/#/help/guide）。</w:t>
      </w:r>
    </w:p>
    <w:p>
      <w:pPr>
        <w:keepNext w:val="0"/>
        <w:keepLines w:val="0"/>
        <w:pageBreakBefore w:val="0"/>
        <w:kinsoku w:val="0"/>
        <w:wordWrap/>
        <w:overflowPunct w:val="0"/>
        <w:topLinePunct w:val="0"/>
        <w:autoSpaceDE w:val="0"/>
        <w:autoSpaceDN w:val="0"/>
        <w:bidi w:val="0"/>
        <w:adjustRightInd/>
        <w:spacing w:line="560" w:lineRule="exact"/>
        <w:ind w:left="0" w:firstLine="616" w:firstLineChars="200"/>
        <w:textAlignment w:val="auto"/>
        <w:rPr>
          <w:rFonts w:hint="eastAsia" w:ascii="Times New Roman" w:hAnsi="Times New Roman" w:eastAsia="仿宋_GB2312" w:cs="Times New Roman"/>
          <w:spacing w:val="-6"/>
          <w:sz w:val="32"/>
          <w:szCs w:val="32"/>
          <w:highlight w:val="none"/>
          <w:lang w:val="en-US" w:eastAsia="zh-CN"/>
        </w:rPr>
      </w:pPr>
      <w:r>
        <w:rPr>
          <w:rFonts w:hint="eastAsia" w:ascii="Times New Roman" w:hAnsi="Times New Roman" w:eastAsia="仿宋_GB2312" w:cs="Times New Roman"/>
          <w:spacing w:val="-6"/>
          <w:sz w:val="32"/>
          <w:szCs w:val="32"/>
          <w:highlight w:val="none"/>
          <w:lang w:val="en-US" w:eastAsia="zh-CN"/>
        </w:rPr>
        <w:t>纸质材料：电子材料审核通过后，请登录财企通平台，导出带水印编号的所有材料，以上每项材料均需加盖申报单位公章，多页的加盖骑缝公章；壹式壹份，</w:t>
      </w:r>
      <w:r>
        <w:rPr>
          <w:rFonts w:hint="eastAsia" w:ascii="方正仿宋_GB2312" w:hAnsi="方正仿宋_GB2312" w:eastAsia="方正仿宋_GB2312" w:cs="方正仿宋_GB2312"/>
          <w:spacing w:val="-6"/>
          <w:sz w:val="32"/>
          <w:szCs w:val="32"/>
          <w:highlight w:val="none"/>
          <w:lang w:val="en-US" w:eastAsia="zh-CN"/>
        </w:rPr>
        <w:t>A4</w:t>
      </w:r>
      <w:r>
        <w:rPr>
          <w:rFonts w:hint="eastAsia" w:ascii="Times New Roman" w:hAnsi="Times New Roman" w:eastAsia="仿宋_GB2312" w:cs="Times New Roman"/>
          <w:spacing w:val="-6"/>
          <w:sz w:val="32"/>
          <w:szCs w:val="32"/>
          <w:highlight w:val="none"/>
          <w:lang w:val="en-US" w:eastAsia="zh-CN"/>
        </w:rPr>
        <w:t>纸正反面打印，非空白页（含封面）连续编写页码，胶装成册。</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五、业务受理</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（一）网络填报受理时间： 2026年7月20日（星期一）9:00至2026年8月20日（星期四）18:00（注：网上申报在非工作日也可进行。超过网络填报受理的截止时间，不再受理新提交申请。网络填报受理截止前已在线提交申请，但后经初审被退回修改的，应于纸质材料受理截止前再次提交修改后的申请进行初审。所有均需通过网络初审后，方可提交纸质材料）。</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（二）纸质材料受理时间：2026年7月21日（星期二）9:00至2026年9月4日（星期五）18:00（注：请在规定时间内及时提交纸质材料，成功提交纸质材料的项目才算完成申请）。</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纸质材料受理地点：光明科学城知识产权公共服务中心（深圳市光明区新湖街道圳美大道新永丰（美华美）工业区B1栋5楼 ）。</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业务咨询电话：0755-88659552。</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技术支持电话：0755-27038037。</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咨询时间：工作日上午9:00-12:00；下午2:00-6:00。</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六、受理机关</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highlight w:val="none"/>
          <w:lang w:val="en-US" w:eastAsia="zh-CN"/>
        </w:rPr>
      </w:pPr>
      <w:r>
        <w:rPr>
          <w:rFonts w:hint="eastAsia" w:ascii="仿宋_GB2312" w:hAnsi="Calibri" w:eastAsia="仿宋_GB2312"/>
          <w:sz w:val="32"/>
          <w:szCs w:val="32"/>
          <w:highlight w:val="none"/>
          <w:lang w:val="en-US" w:eastAsia="zh-CN"/>
        </w:rPr>
        <w:t>深圳市光明区企业发展服务中心</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val="en-US" w:eastAsia="zh-CN"/>
        </w:rPr>
        <w:t>七</w:t>
      </w:r>
      <w:r>
        <w:rPr>
          <w:rFonts w:hint="eastAsia" w:ascii="仿宋_GB2312" w:hAnsi="宋体" w:eastAsia="黑体"/>
          <w:bCs/>
          <w:kern w:val="44"/>
          <w:sz w:val="32"/>
          <w:szCs w:val="44"/>
          <w:highlight w:val="none"/>
        </w:rPr>
        <w:t>、办理流程</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rPr>
      </w:pPr>
      <w:r>
        <w:rPr>
          <w:rFonts w:hint="eastAsia" w:ascii="仿宋_GB2312" w:hAnsi="Calibri" w:eastAsia="仿宋_GB2312"/>
          <w:sz w:val="32"/>
          <w:szCs w:val="32"/>
          <w:highlight w:val="none"/>
          <w:lang w:val="en-US" w:eastAsia="zh-CN"/>
        </w:rPr>
        <w:t>区企业发展服务中心发布申报指南——申报单位网上提交电子版申报材料——区企业发展服务中心进行形式审核——申报单位提交纸质版申请材料——市市场监督管理局光明监管局进行实质审核，</w:t>
      </w:r>
      <w:r>
        <w:rPr>
          <w:rFonts w:hint="eastAsia" w:ascii="仿宋_GB2312" w:hAnsi="Calibri" w:eastAsia="仿宋_GB2312"/>
          <w:sz w:val="32"/>
          <w:szCs w:val="32"/>
          <w:highlight w:val="none"/>
        </w:rPr>
        <w:t>根据需要组织</w:t>
      </w:r>
      <w:r>
        <w:rPr>
          <w:rFonts w:hint="eastAsia" w:ascii="仿宋_GB2312" w:hAnsi="Calibri" w:eastAsia="仿宋_GB2312"/>
          <w:sz w:val="32"/>
          <w:szCs w:val="32"/>
          <w:highlight w:val="none"/>
          <w:lang w:eastAsia="zh-CN"/>
        </w:rPr>
        <w:t>专业审查</w:t>
      </w:r>
      <w:r>
        <w:rPr>
          <w:rFonts w:hint="eastAsia" w:ascii="仿宋_GB2312" w:hAnsi="Calibri" w:eastAsia="仿宋_GB2312"/>
          <w:sz w:val="32"/>
          <w:szCs w:val="32"/>
          <w:highlight w:val="none"/>
        </w:rPr>
        <w:t>并会同相关部门核查</w:t>
      </w:r>
      <w:r>
        <w:rPr>
          <w:rFonts w:hint="eastAsia" w:ascii="仿宋_GB2312" w:hAnsi="Calibri" w:eastAsia="仿宋_GB2312"/>
          <w:sz w:val="32"/>
          <w:szCs w:val="32"/>
          <w:highlight w:val="none"/>
          <w:lang w:val="en-US" w:eastAsia="zh-CN"/>
        </w:rPr>
        <w:t>——市市场监督管理局光明监管局拟定资助计划——市市场监督管理局光明监管局按程序提请审定资助计划——区企业发展服务中心向社会公示不少于5个工作日——申报单位提交资金拨付材料——市市场监督管理局光明监管局拨付资金。</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eastAsia="zh-CN"/>
        </w:rPr>
        <w:t>八</w:t>
      </w:r>
      <w:r>
        <w:rPr>
          <w:rFonts w:hint="eastAsia" w:ascii="仿宋_GB2312" w:hAnsi="宋体" w:eastAsia="黑体"/>
          <w:bCs/>
          <w:kern w:val="44"/>
          <w:sz w:val="32"/>
          <w:szCs w:val="44"/>
          <w:highlight w:val="none"/>
        </w:rPr>
        <w:t>、注意事项</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rPr>
      </w:pPr>
      <w:r>
        <w:rPr>
          <w:rFonts w:hint="eastAsia" w:ascii="仿宋_GB2312" w:hAnsi="Calibri" w:eastAsia="仿宋_GB2312"/>
          <w:sz w:val="32"/>
          <w:szCs w:val="32"/>
          <w:highlight w:val="none"/>
        </w:rPr>
        <w:t>（一）本指南</w:t>
      </w:r>
      <w:r>
        <w:rPr>
          <w:rFonts w:hint="eastAsia" w:ascii="仿宋_GB2312" w:hAnsi="Calibri" w:eastAsia="仿宋_GB2312"/>
          <w:sz w:val="32"/>
          <w:szCs w:val="32"/>
          <w:highlight w:val="none"/>
          <w:lang w:eastAsia="zh-CN"/>
        </w:rPr>
        <w:t>中提到的“上一年”均指</w:t>
      </w:r>
      <w:r>
        <w:rPr>
          <w:rFonts w:hint="eastAsia" w:ascii="仿宋_GB2312" w:hAnsi="Calibri" w:eastAsia="仿宋_GB2312"/>
          <w:b/>
          <w:bCs/>
          <w:sz w:val="32"/>
          <w:szCs w:val="32"/>
          <w:highlight w:val="none"/>
          <w:lang w:val="en-US" w:eastAsia="zh-CN"/>
        </w:rPr>
        <w:t>2025年</w:t>
      </w:r>
      <w:r>
        <w:rPr>
          <w:rFonts w:hint="eastAsia" w:ascii="仿宋_GB2312" w:hAnsi="Calibri" w:eastAsia="仿宋_GB2312"/>
          <w:sz w:val="32"/>
          <w:szCs w:val="32"/>
          <w:highlight w:val="none"/>
        </w:rPr>
        <w:t>。</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二）申报单位对申报材料的合法性、真实性、准确性和完整性负责。对利用不正当手段骗取或协助骗取专项财政资金情形的，经核实后将按照区政府专项资金有关规定予以处理，并按照有关法律法规的规定追究相应责任。</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三）区企业发展服务中心从未委托任何机构或个人代理本项目的资金申请事宜，请申报单位自主申报项目。我单位将严格按照有关标准和程序受理申请，不收取任何费用。如有任何机构或个人假借工作人员名义向企业收取费用的，请知情者向我单位举报。</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（四）本项目与光明区其他同类别资助项目不重复资助，由申报单位自行选择其中一项政策进行申报；本指南实施期间如遇政策调整、公平竞争审查等情形的，可进行相应调整。</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（五）申报单位应保留所上传资料的原件，对于任何存疑的申请材料，我单位将随时查阅原件。</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（六）杜绝中介，一经发现，拒绝受理；已受理并通过审核的，拒绝发放资金。</w:t>
      </w:r>
    </w:p>
    <w:sectPr>
      <w:footerReference r:id="rId3" w:type="default"/>
      <w:pgSz w:w="11906" w:h="16838"/>
      <w:pgMar w:top="1474" w:right="1416" w:bottom="1474"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PAGE   \* MERGEFORMAT</w:instrText>
    </w:r>
    <w:r>
      <w:rPr>
        <w:rFonts w:hint="eastAsia" w:ascii="仿宋_GB2312" w:eastAsia="仿宋_GB2312"/>
        <w:sz w:val="32"/>
        <w:szCs w:val="32"/>
      </w:rPr>
      <w:fldChar w:fldCharType="separate"/>
    </w:r>
    <w:r>
      <w:rPr>
        <w:rFonts w:ascii="仿宋_GB2312" w:eastAsia="仿宋_GB2312"/>
        <w:sz w:val="32"/>
        <w:szCs w:val="32"/>
        <w:lang w:val="zh-CN"/>
      </w:rPr>
      <w:t>-</w:t>
    </w:r>
    <w:r>
      <w:rPr>
        <w:rFonts w:ascii="仿宋_GB2312" w:eastAsia="仿宋_GB2312"/>
        <w:sz w:val="32"/>
        <w:szCs w:val="32"/>
      </w:rPr>
      <w:t xml:space="preserve"> 16 -</w:t>
    </w:r>
    <w:r>
      <w:rPr>
        <w:rFonts w:hint="eastAsia" w:ascii="仿宋_GB2312" w:eastAsia="仿宋_GB2312"/>
        <w:sz w:val="32"/>
        <w:szCs w:val="32"/>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3F6795"/>
    <w:multiLevelType w:val="singleLevel"/>
    <w:tmpl w:val="393F679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zZmMGI3NDVmYTY3ZjliNDU2NTJhZGE0OTg3MjcifQ=="/>
  </w:docVars>
  <w:rsids>
    <w:rsidRoot w:val="007869BC"/>
    <w:rsid w:val="000060BB"/>
    <w:rsid w:val="00011A37"/>
    <w:rsid w:val="0009137C"/>
    <w:rsid w:val="000A7390"/>
    <w:rsid w:val="000E6923"/>
    <w:rsid w:val="000F7F7C"/>
    <w:rsid w:val="001205D2"/>
    <w:rsid w:val="001D0940"/>
    <w:rsid w:val="001E0C80"/>
    <w:rsid w:val="001E2061"/>
    <w:rsid w:val="001E6AD3"/>
    <w:rsid w:val="002350E1"/>
    <w:rsid w:val="00254317"/>
    <w:rsid w:val="00255DB6"/>
    <w:rsid w:val="002B1CC2"/>
    <w:rsid w:val="002D4B19"/>
    <w:rsid w:val="00310B20"/>
    <w:rsid w:val="0032374A"/>
    <w:rsid w:val="00324BCF"/>
    <w:rsid w:val="00374A1C"/>
    <w:rsid w:val="00381D71"/>
    <w:rsid w:val="003D286C"/>
    <w:rsid w:val="003F54D7"/>
    <w:rsid w:val="00406F2C"/>
    <w:rsid w:val="00417FB9"/>
    <w:rsid w:val="0042422E"/>
    <w:rsid w:val="0042530B"/>
    <w:rsid w:val="00437FAF"/>
    <w:rsid w:val="00445F5C"/>
    <w:rsid w:val="0046233F"/>
    <w:rsid w:val="0046453C"/>
    <w:rsid w:val="004C3241"/>
    <w:rsid w:val="004C36A8"/>
    <w:rsid w:val="00592F20"/>
    <w:rsid w:val="00596668"/>
    <w:rsid w:val="005D45D6"/>
    <w:rsid w:val="00655C57"/>
    <w:rsid w:val="00666612"/>
    <w:rsid w:val="006676AC"/>
    <w:rsid w:val="0069636B"/>
    <w:rsid w:val="006D1316"/>
    <w:rsid w:val="00700A67"/>
    <w:rsid w:val="00702F4A"/>
    <w:rsid w:val="00714E61"/>
    <w:rsid w:val="00717DE8"/>
    <w:rsid w:val="00725CEB"/>
    <w:rsid w:val="007726AC"/>
    <w:rsid w:val="007869BC"/>
    <w:rsid w:val="0079188B"/>
    <w:rsid w:val="007D113C"/>
    <w:rsid w:val="007D25A0"/>
    <w:rsid w:val="007F64C9"/>
    <w:rsid w:val="00837FD1"/>
    <w:rsid w:val="00847DC9"/>
    <w:rsid w:val="008759A2"/>
    <w:rsid w:val="008D3189"/>
    <w:rsid w:val="008D65BE"/>
    <w:rsid w:val="008F0EAF"/>
    <w:rsid w:val="009022DF"/>
    <w:rsid w:val="00913AFE"/>
    <w:rsid w:val="009F2249"/>
    <w:rsid w:val="00A110D0"/>
    <w:rsid w:val="00A32359"/>
    <w:rsid w:val="00A469D2"/>
    <w:rsid w:val="00AD7BF5"/>
    <w:rsid w:val="00B27EAF"/>
    <w:rsid w:val="00B31C26"/>
    <w:rsid w:val="00B40EAB"/>
    <w:rsid w:val="00B65BD6"/>
    <w:rsid w:val="00B86DB4"/>
    <w:rsid w:val="00B91A76"/>
    <w:rsid w:val="00BE4F7C"/>
    <w:rsid w:val="00C3731D"/>
    <w:rsid w:val="00C9640F"/>
    <w:rsid w:val="00CA04A3"/>
    <w:rsid w:val="00CC57C2"/>
    <w:rsid w:val="00CE559E"/>
    <w:rsid w:val="00D02A07"/>
    <w:rsid w:val="00D56171"/>
    <w:rsid w:val="00D964A3"/>
    <w:rsid w:val="00D97888"/>
    <w:rsid w:val="00DC1F3F"/>
    <w:rsid w:val="00E35025"/>
    <w:rsid w:val="00E55523"/>
    <w:rsid w:val="00ED5984"/>
    <w:rsid w:val="00F059BB"/>
    <w:rsid w:val="00F61AEA"/>
    <w:rsid w:val="00F7030D"/>
    <w:rsid w:val="00FC58F4"/>
    <w:rsid w:val="021608E1"/>
    <w:rsid w:val="035064B6"/>
    <w:rsid w:val="03681C3C"/>
    <w:rsid w:val="04E21E5F"/>
    <w:rsid w:val="07243DBF"/>
    <w:rsid w:val="0ABF004E"/>
    <w:rsid w:val="0AF84D17"/>
    <w:rsid w:val="0C0F70F9"/>
    <w:rsid w:val="0C513A88"/>
    <w:rsid w:val="0CB832EC"/>
    <w:rsid w:val="0D325F2D"/>
    <w:rsid w:val="106D0892"/>
    <w:rsid w:val="10754605"/>
    <w:rsid w:val="109024B1"/>
    <w:rsid w:val="1170287E"/>
    <w:rsid w:val="124D44D7"/>
    <w:rsid w:val="12530AB8"/>
    <w:rsid w:val="13C17950"/>
    <w:rsid w:val="13C46041"/>
    <w:rsid w:val="14FA090F"/>
    <w:rsid w:val="16956BC5"/>
    <w:rsid w:val="17301CFA"/>
    <w:rsid w:val="176833EC"/>
    <w:rsid w:val="1865390F"/>
    <w:rsid w:val="186D30FE"/>
    <w:rsid w:val="18C31B6E"/>
    <w:rsid w:val="1BAD1FB6"/>
    <w:rsid w:val="1BC923DA"/>
    <w:rsid w:val="1BE44C1C"/>
    <w:rsid w:val="1C0E2F29"/>
    <w:rsid w:val="1D185152"/>
    <w:rsid w:val="1D5E3A3C"/>
    <w:rsid w:val="1D7338BD"/>
    <w:rsid w:val="1E1B192D"/>
    <w:rsid w:val="1E366767"/>
    <w:rsid w:val="1E604B3F"/>
    <w:rsid w:val="1F0472EE"/>
    <w:rsid w:val="1FDE6F42"/>
    <w:rsid w:val="20515ADA"/>
    <w:rsid w:val="21326193"/>
    <w:rsid w:val="21B100DE"/>
    <w:rsid w:val="228914BF"/>
    <w:rsid w:val="232C6AF6"/>
    <w:rsid w:val="25C150D2"/>
    <w:rsid w:val="2623574F"/>
    <w:rsid w:val="26410880"/>
    <w:rsid w:val="27E2526A"/>
    <w:rsid w:val="288557EA"/>
    <w:rsid w:val="2A181124"/>
    <w:rsid w:val="2A297180"/>
    <w:rsid w:val="2C0529E2"/>
    <w:rsid w:val="2D7367B0"/>
    <w:rsid w:val="2DE57862"/>
    <w:rsid w:val="2ED605FF"/>
    <w:rsid w:val="2FB71E20"/>
    <w:rsid w:val="2FD72021"/>
    <w:rsid w:val="30551017"/>
    <w:rsid w:val="306C1B7D"/>
    <w:rsid w:val="30A27D54"/>
    <w:rsid w:val="30DD4C1E"/>
    <w:rsid w:val="31EA18EB"/>
    <w:rsid w:val="32275720"/>
    <w:rsid w:val="324E7351"/>
    <w:rsid w:val="32B83874"/>
    <w:rsid w:val="347D0DB4"/>
    <w:rsid w:val="351F7AFD"/>
    <w:rsid w:val="35415F83"/>
    <w:rsid w:val="36536B8B"/>
    <w:rsid w:val="365B70E1"/>
    <w:rsid w:val="370229E4"/>
    <w:rsid w:val="375647F4"/>
    <w:rsid w:val="37FBA54D"/>
    <w:rsid w:val="38DD3F57"/>
    <w:rsid w:val="39BA7DF4"/>
    <w:rsid w:val="39F5772D"/>
    <w:rsid w:val="3AC30F2B"/>
    <w:rsid w:val="3AFB388B"/>
    <w:rsid w:val="3C83436B"/>
    <w:rsid w:val="3E3E3CEC"/>
    <w:rsid w:val="3FD12086"/>
    <w:rsid w:val="411062EB"/>
    <w:rsid w:val="41B810BD"/>
    <w:rsid w:val="42BC2E2F"/>
    <w:rsid w:val="456A0F59"/>
    <w:rsid w:val="45C0125A"/>
    <w:rsid w:val="45C066F8"/>
    <w:rsid w:val="461E46EC"/>
    <w:rsid w:val="48024430"/>
    <w:rsid w:val="482F3EE8"/>
    <w:rsid w:val="48706D25"/>
    <w:rsid w:val="48717430"/>
    <w:rsid w:val="48A216B1"/>
    <w:rsid w:val="48E4412C"/>
    <w:rsid w:val="49536469"/>
    <w:rsid w:val="49C306E3"/>
    <w:rsid w:val="4C282587"/>
    <w:rsid w:val="4CB8347F"/>
    <w:rsid w:val="4CCB6691"/>
    <w:rsid w:val="4CFF0DB6"/>
    <w:rsid w:val="4D0915E6"/>
    <w:rsid w:val="4E125FF9"/>
    <w:rsid w:val="4E630603"/>
    <w:rsid w:val="4EAF50F9"/>
    <w:rsid w:val="4EC32979"/>
    <w:rsid w:val="4EE72FE2"/>
    <w:rsid w:val="4F0D7FC7"/>
    <w:rsid w:val="4FC6615D"/>
    <w:rsid w:val="4FD244A3"/>
    <w:rsid w:val="515A6EDA"/>
    <w:rsid w:val="521B4FA9"/>
    <w:rsid w:val="523B1EEE"/>
    <w:rsid w:val="5479292E"/>
    <w:rsid w:val="55CE0F0C"/>
    <w:rsid w:val="55DB13C7"/>
    <w:rsid w:val="564A30B5"/>
    <w:rsid w:val="565B5006"/>
    <w:rsid w:val="568E6619"/>
    <w:rsid w:val="56D4712F"/>
    <w:rsid w:val="5735EB94"/>
    <w:rsid w:val="57487A8C"/>
    <w:rsid w:val="57CC0FC7"/>
    <w:rsid w:val="580C13CB"/>
    <w:rsid w:val="59957B52"/>
    <w:rsid w:val="59A029E0"/>
    <w:rsid w:val="59B85CA7"/>
    <w:rsid w:val="59C06B4D"/>
    <w:rsid w:val="5BE11D53"/>
    <w:rsid w:val="5C1133F9"/>
    <w:rsid w:val="5C142195"/>
    <w:rsid w:val="5C311D40"/>
    <w:rsid w:val="5C366FAA"/>
    <w:rsid w:val="5D887B53"/>
    <w:rsid w:val="5F9D9909"/>
    <w:rsid w:val="60B5441C"/>
    <w:rsid w:val="61B0127A"/>
    <w:rsid w:val="62255EA3"/>
    <w:rsid w:val="62557F41"/>
    <w:rsid w:val="63610D97"/>
    <w:rsid w:val="648A1A8D"/>
    <w:rsid w:val="657257F0"/>
    <w:rsid w:val="670C5799"/>
    <w:rsid w:val="676F0077"/>
    <w:rsid w:val="680A5F81"/>
    <w:rsid w:val="6A197339"/>
    <w:rsid w:val="6AE3680B"/>
    <w:rsid w:val="6CB70040"/>
    <w:rsid w:val="6D176D30"/>
    <w:rsid w:val="6DA57B0C"/>
    <w:rsid w:val="6DBB8FA8"/>
    <w:rsid w:val="707029DF"/>
    <w:rsid w:val="70CC2F58"/>
    <w:rsid w:val="718379A0"/>
    <w:rsid w:val="72100309"/>
    <w:rsid w:val="72B833E8"/>
    <w:rsid w:val="73182E18"/>
    <w:rsid w:val="733F1B9F"/>
    <w:rsid w:val="745A2518"/>
    <w:rsid w:val="74DF1F32"/>
    <w:rsid w:val="76561BC4"/>
    <w:rsid w:val="7685067F"/>
    <w:rsid w:val="76D55E75"/>
    <w:rsid w:val="777161B8"/>
    <w:rsid w:val="77720685"/>
    <w:rsid w:val="77CBE40D"/>
    <w:rsid w:val="78947487"/>
    <w:rsid w:val="79200294"/>
    <w:rsid w:val="793E115E"/>
    <w:rsid w:val="7991214A"/>
    <w:rsid w:val="79C1030D"/>
    <w:rsid w:val="7A3E2CEF"/>
    <w:rsid w:val="7A870405"/>
    <w:rsid w:val="7B6273C9"/>
    <w:rsid w:val="7C352D2F"/>
    <w:rsid w:val="7CF7BCCA"/>
    <w:rsid w:val="7DCE5232"/>
    <w:rsid w:val="7E634C51"/>
    <w:rsid w:val="7E71525D"/>
    <w:rsid w:val="7EBF27E1"/>
    <w:rsid w:val="7F6D6098"/>
    <w:rsid w:val="7F776E24"/>
    <w:rsid w:val="7FD14B1D"/>
    <w:rsid w:val="7FF833F1"/>
    <w:rsid w:val="979F8F54"/>
    <w:rsid w:val="AAABDE38"/>
    <w:rsid w:val="B5F988AE"/>
    <w:rsid w:val="BBFB0E03"/>
    <w:rsid w:val="DFDFC0E7"/>
    <w:rsid w:val="E7FB5DF8"/>
    <w:rsid w:val="F7F7695C"/>
    <w:rsid w:val="FB2D2973"/>
    <w:rsid w:val="FBFF16A3"/>
    <w:rsid w:val="FDFD30E7"/>
    <w:rsid w:val="FE6F3C23"/>
    <w:rsid w:val="FFDFF52C"/>
    <w:rsid w:val="FFEA9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9"/>
    <w:pPr>
      <w:spacing w:before="100" w:beforeAutospacing="1" w:after="100" w:afterAutospacing="1"/>
      <w:jc w:val="left"/>
      <w:outlineLvl w:val="0"/>
    </w:pPr>
    <w:rPr>
      <w:rFonts w:hint="eastAsia" w:ascii="宋体" w:hAnsi="宋体"/>
      <w:b/>
      <w:bCs/>
      <w:kern w:val="44"/>
      <w:sz w:val="48"/>
      <w:szCs w:val="4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106"/>
    </w:pPr>
    <w:rPr>
      <w:rFonts w:ascii="宋体" w:hAnsi="宋体" w:cs="宋体"/>
      <w:sz w:val="32"/>
      <w:szCs w:val="32"/>
      <w:lang w:val="zh-CN" w:bidi="zh-CN"/>
    </w:rPr>
  </w:style>
  <w:style w:type="paragraph" w:styleId="4">
    <w:name w:val="annotation text"/>
    <w:basedOn w:val="1"/>
    <w:link w:val="15"/>
    <w:unhideWhenUsed/>
    <w:qFormat/>
    <w:uiPriority w:val="99"/>
    <w:pPr>
      <w:jc w:val="left"/>
    </w:pPr>
  </w:style>
  <w:style w:type="paragraph" w:styleId="5">
    <w:name w:val="Balloon Text"/>
    <w:basedOn w:val="1"/>
    <w:link w:val="16"/>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9">
    <w:name w:val="Title"/>
    <w:basedOn w:val="1"/>
    <w:next w:val="1"/>
    <w:qFormat/>
    <w:uiPriority w:val="0"/>
    <w:pPr>
      <w:jc w:val="center"/>
      <w:outlineLvl w:val="0"/>
    </w:pPr>
    <w:rPr>
      <w:rFonts w:ascii="Arial" w:hAnsi="Arial"/>
      <w:b/>
      <w:sz w:val="32"/>
    </w:rPr>
  </w:style>
  <w:style w:type="paragraph" w:styleId="10">
    <w:name w:val="annotation subject"/>
    <w:basedOn w:val="4"/>
    <w:next w:val="4"/>
    <w:link w:val="19"/>
    <w:unhideWhenUsed/>
    <w:qFormat/>
    <w:uiPriority w:val="99"/>
    <w:rPr>
      <w:b/>
      <w:bCs/>
    </w:rPr>
  </w:style>
  <w:style w:type="paragraph" w:styleId="11">
    <w:name w:val="Body Text First Indent"/>
    <w:basedOn w:val="2"/>
    <w:unhideWhenUsed/>
    <w:qFormat/>
    <w:uiPriority w:val="99"/>
    <w:pPr>
      <w:ind w:firstLine="420" w:firstLineChars="100"/>
    </w:pPr>
  </w:style>
  <w:style w:type="character" w:styleId="14">
    <w:name w:val="annotation reference"/>
    <w:basedOn w:val="13"/>
    <w:unhideWhenUsed/>
    <w:qFormat/>
    <w:uiPriority w:val="99"/>
    <w:rPr>
      <w:sz w:val="21"/>
      <w:szCs w:val="21"/>
    </w:rPr>
  </w:style>
  <w:style w:type="character" w:customStyle="1" w:styleId="15">
    <w:name w:val="批注文字 字符"/>
    <w:basedOn w:val="13"/>
    <w:link w:val="4"/>
    <w:semiHidden/>
    <w:qFormat/>
    <w:uiPriority w:val="99"/>
    <w:rPr>
      <w:kern w:val="2"/>
      <w:sz w:val="21"/>
      <w:szCs w:val="22"/>
    </w:rPr>
  </w:style>
  <w:style w:type="character" w:customStyle="1" w:styleId="16">
    <w:name w:val="批注框文本 字符"/>
    <w:basedOn w:val="13"/>
    <w:link w:val="5"/>
    <w:semiHidden/>
    <w:qFormat/>
    <w:uiPriority w:val="99"/>
    <w:rPr>
      <w:kern w:val="2"/>
      <w:sz w:val="18"/>
      <w:szCs w:val="18"/>
    </w:rPr>
  </w:style>
  <w:style w:type="character" w:customStyle="1" w:styleId="17">
    <w:name w:val="页脚 字符"/>
    <w:link w:val="6"/>
    <w:qFormat/>
    <w:uiPriority w:val="99"/>
    <w:rPr>
      <w:kern w:val="2"/>
      <w:sz w:val="18"/>
      <w:szCs w:val="18"/>
    </w:rPr>
  </w:style>
  <w:style w:type="character" w:customStyle="1" w:styleId="18">
    <w:name w:val="页眉 字符"/>
    <w:link w:val="7"/>
    <w:qFormat/>
    <w:uiPriority w:val="99"/>
    <w:rPr>
      <w:kern w:val="2"/>
      <w:sz w:val="18"/>
      <w:szCs w:val="18"/>
    </w:rPr>
  </w:style>
  <w:style w:type="character" w:customStyle="1" w:styleId="19">
    <w:name w:val="批注主题 字符"/>
    <w:basedOn w:val="15"/>
    <w:link w:val="10"/>
    <w:semiHidden/>
    <w:qFormat/>
    <w:uiPriority w:val="99"/>
    <w:rPr>
      <w:b/>
      <w:bCs/>
      <w:kern w:val="2"/>
      <w:sz w:val="21"/>
      <w:szCs w:val="22"/>
    </w:rPr>
  </w:style>
  <w:style w:type="paragraph" w:customStyle="1" w:styleId="20">
    <w:name w:val="Revision"/>
    <w:hidden/>
    <w:semiHidden/>
    <w:qFormat/>
    <w:uiPriority w:val="99"/>
    <w:rPr>
      <w:rFonts w:ascii="Times New Roman" w:hAnsi="Times New Roman" w:eastAsia="宋体" w:cs="Times New Roman"/>
      <w:kern w:val="2"/>
      <w:sz w:val="21"/>
      <w:szCs w:val="22"/>
      <w:lang w:val="en-US" w:eastAsia="zh-CN" w:bidi="ar-SA"/>
    </w:rPr>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1420</Words>
  <Characters>1475</Characters>
  <Lines>63</Lines>
  <Paragraphs>17</Paragraphs>
  <TotalTime>6</TotalTime>
  <ScaleCrop>false</ScaleCrop>
  <LinksUpToDate>false</LinksUpToDate>
  <CharactersWithSpaces>1481</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2021-05-29T16:16:00Z</dcterms:created>
  <dc:creator>740095076@qq.com</dc:creator>
  <cp:lastModifiedBy>王舒婷</cp:lastModifiedBy>
  <cp:lastPrinted>2022-10-16T09:54:00Z</cp:lastPrinted>
  <dcterms:modified xsi:type="dcterms:W3CDTF">2026-07-17T10:26:23Z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B0407ACE618A4D0E9A74B56F698D7A6A</vt:lpwstr>
  </property>
  <property fmtid="{D5CDD505-2E9C-101B-9397-08002B2CF9AE}" pid="4" name="KSOTemplateDocerSaveRecord">
    <vt:lpwstr>eyJoZGlkIjoiNjRiYWViZWM1Mzg5ZjdlOWM1OWM3MTU2YWM1MDg2NWEiLCJ1c2VySWQiOiIyNTk1NDM5MDcifQ==</vt:lpwstr>
  </property>
</Properties>
</file>