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widowControl/>
        <w:suppressLineNumbers w:val="0"/>
        <w:wordWrap/>
        <w:topLinePunct w:val="0"/>
        <w:bidi w:val="0"/>
        <w:adjustRightInd/>
        <w:spacing w:before="0" w:beforeAutospacing="0" w:after="0" w:afterAutospacing="0" w:line="560" w:lineRule="exact"/>
        <w:ind w:left="0" w:right="0" w:firstLine="0"/>
        <w:jc w:val="left"/>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附件1-</w:t>
      </w:r>
      <w:r>
        <w:rPr>
          <w:rFonts w:hint="default" w:ascii="仿宋_GB2312" w:hAnsi="仿宋_GB2312" w:eastAsia="仿宋_GB2312" w:cs="仿宋_GB2312"/>
          <w:kern w:val="2"/>
          <w:sz w:val="32"/>
          <w:szCs w:val="32"/>
          <w:highlight w:val="none"/>
          <w:lang w:val="en-US" w:eastAsia="zh-CN" w:bidi="ar-SA"/>
        </w:rPr>
        <w:t>5</w:t>
      </w:r>
      <w:r>
        <w:rPr>
          <w:rFonts w:hint="eastAsia" w:ascii="仿宋_GB2312" w:hAnsi="仿宋_GB2312" w:eastAsia="仿宋_GB2312" w:cs="仿宋_GB2312"/>
          <w:kern w:val="2"/>
          <w:sz w:val="32"/>
          <w:szCs w:val="32"/>
          <w:highlight w:val="none"/>
          <w:lang w:val="en-US" w:eastAsia="zh-CN" w:bidi="ar-SA"/>
        </w:rPr>
        <w:t>：</w:t>
      </w:r>
    </w:p>
    <w:p>
      <w:pPr>
        <w:keepNext w:val="0"/>
        <w:keepLines w:val="0"/>
        <w:pageBreakBefore w:val="0"/>
        <w:wordWrap/>
        <w:topLinePunct w:val="0"/>
        <w:bidi w:val="0"/>
        <w:snapToGrid w:val="0"/>
        <w:spacing w:line="560" w:lineRule="exact"/>
        <w:ind w:left="0"/>
        <w:jc w:val="center"/>
        <w:textAlignment w:val="auto"/>
        <w:rPr>
          <w:rFonts w:hint="eastAsia" w:ascii="方正小标宋_GBK" w:hAnsi="方正小标宋_GBK" w:eastAsia="方正小标宋_GBK" w:cs="Times New Roman"/>
          <w:w w:val="95"/>
          <w:sz w:val="44"/>
          <w:szCs w:val="44"/>
          <w:highlight w:val="none"/>
          <w:lang w:val="en-US" w:eastAsia="zh-CN"/>
        </w:rPr>
      </w:pPr>
    </w:p>
    <w:p>
      <w:pPr>
        <w:keepNext w:val="0"/>
        <w:keepLines w:val="0"/>
        <w:pageBreakBefore w:val="0"/>
        <w:wordWrap/>
        <w:topLinePunct w:val="0"/>
        <w:bidi w:val="0"/>
        <w:snapToGrid w:val="0"/>
        <w:spacing w:line="560" w:lineRule="exact"/>
        <w:ind w:left="0"/>
        <w:jc w:val="center"/>
        <w:textAlignment w:val="auto"/>
        <w:rPr>
          <w:rFonts w:hint="eastAsia" w:ascii="方正小标宋_GBK" w:hAnsi="方正小标宋_GBK" w:eastAsia="方正小标宋_GBK" w:cs="Times New Roman"/>
          <w:w w:val="95"/>
          <w:sz w:val="44"/>
          <w:szCs w:val="44"/>
          <w:highlight w:val="none"/>
          <w:lang w:val="en-US" w:eastAsia="zh-CN"/>
        </w:rPr>
      </w:pPr>
      <w:r>
        <w:rPr>
          <w:rFonts w:hint="eastAsia" w:ascii="方正小标宋_GBK" w:hAnsi="方正小标宋_GBK" w:eastAsia="方正小标宋_GBK" w:cs="Times New Roman"/>
          <w:w w:val="95"/>
          <w:sz w:val="44"/>
          <w:szCs w:val="44"/>
          <w:highlight w:val="none"/>
          <w:lang w:val="en-US" w:eastAsia="zh-CN"/>
        </w:rPr>
        <w:t>2026年度光明区知识产权领军企业（单位）</w:t>
      </w:r>
    </w:p>
    <w:p>
      <w:pPr>
        <w:keepNext w:val="0"/>
        <w:keepLines w:val="0"/>
        <w:pageBreakBefore w:val="0"/>
        <w:wordWrap/>
        <w:topLinePunct w:val="0"/>
        <w:bidi w:val="0"/>
        <w:snapToGrid w:val="0"/>
        <w:spacing w:line="560" w:lineRule="exact"/>
        <w:ind w:left="0"/>
        <w:jc w:val="center"/>
        <w:textAlignment w:val="auto"/>
        <w:rPr>
          <w:rFonts w:hint="eastAsia" w:ascii="方正小标宋_GBK" w:hAnsi="方正小标宋_GBK" w:eastAsia="方正小标宋_GBK" w:cs="Times New Roman"/>
          <w:sz w:val="44"/>
          <w:szCs w:val="44"/>
          <w:highlight w:val="none"/>
          <w:lang w:val="en-US" w:eastAsia="zh-CN"/>
        </w:rPr>
      </w:pPr>
      <w:r>
        <w:rPr>
          <w:rFonts w:hint="eastAsia" w:ascii="方正小标宋_GBK" w:hAnsi="方正小标宋_GBK" w:eastAsia="方正小标宋_GBK" w:cs="Times New Roman"/>
          <w:sz w:val="44"/>
          <w:szCs w:val="44"/>
          <w:highlight w:val="none"/>
          <w:lang w:val="en-US" w:eastAsia="zh-CN"/>
        </w:rPr>
        <w:t>项目申报指南</w:t>
      </w:r>
    </w:p>
    <w:p>
      <w:pPr>
        <w:pStyle w:val="2"/>
        <w:rPr>
          <w:rFonts w:hint="eastAsia"/>
          <w:lang w:val="en-US" w:eastAsia="zh-CN"/>
        </w:rPr>
      </w:pPr>
      <w:bookmarkStart w:id="0" w:name="_GoBack"/>
      <w:bookmarkEnd w:id="0"/>
    </w:p>
    <w:p>
      <w:pPr>
        <w:keepNext w:val="0"/>
        <w:keepLines w:val="0"/>
        <w:pageBreakBefore w:val="0"/>
        <w:widowControl/>
        <w:numPr>
          <w:ilvl w:val="0"/>
          <w:numId w:val="0"/>
        </w:numPr>
        <w:wordWrap/>
        <w:topLinePunct w:val="0"/>
        <w:bidi w:val="0"/>
        <w:spacing w:line="560" w:lineRule="exact"/>
        <w:ind w:left="0" w:firstLine="640" w:firstLineChars="200"/>
        <w:jc w:val="left"/>
        <w:textAlignment w:val="auto"/>
        <w:outlineLvl w:val="0"/>
        <w:rPr>
          <w:rFonts w:hint="eastAsia" w:ascii="仿宋_GB2312" w:hAnsi="宋体" w:eastAsia="黑体"/>
          <w:bCs/>
          <w:kern w:val="44"/>
          <w:sz w:val="32"/>
          <w:szCs w:val="44"/>
          <w:highlight w:val="none"/>
          <w:lang w:val="en-US" w:eastAsia="zh-CN"/>
        </w:rPr>
      </w:pPr>
      <w:r>
        <w:rPr>
          <w:rFonts w:hint="eastAsia" w:ascii="仿宋_GB2312" w:hAnsi="宋体" w:eastAsia="黑体"/>
          <w:bCs/>
          <w:kern w:val="44"/>
          <w:sz w:val="32"/>
          <w:szCs w:val="44"/>
          <w:highlight w:val="none"/>
          <w:lang w:val="en-US" w:eastAsia="zh-CN"/>
        </w:rPr>
        <w:t>一、 政策依据</w:t>
      </w:r>
    </w:p>
    <w:p>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（一）《光明区经济发展专项资金管理办法》（深光工信规〔2026〕1号）</w:t>
      </w:r>
    </w:p>
    <w:p>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（二）《深圳市光明区关于促进质量标准知识产权发展的若干措施》（深市监光规〔2026〕1号）</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（三）《深圳市光明区关于促进质量标准知识产权发展的若干措施操作规程》（深市监光规〔2026〕2号）</w:t>
      </w:r>
    </w:p>
    <w:p>
      <w:pPr>
        <w:keepNext w:val="0"/>
        <w:keepLines w:val="0"/>
        <w:pageBreakBefore w:val="0"/>
        <w:widowControl/>
        <w:numPr>
          <w:ilvl w:val="0"/>
          <w:numId w:val="0"/>
        </w:numPr>
        <w:wordWrap/>
        <w:topLinePunct w:val="0"/>
        <w:bidi w:val="0"/>
        <w:spacing w:line="560" w:lineRule="exact"/>
        <w:ind w:left="0" w:firstLine="640" w:firstLineChars="200"/>
        <w:jc w:val="left"/>
        <w:textAlignment w:val="auto"/>
        <w:outlineLvl w:val="0"/>
        <w:rPr>
          <w:rFonts w:hint="eastAsia" w:ascii="仿宋_GB2312" w:hAnsi="宋体" w:eastAsia="仿宋_GB2312" w:cs="宋体"/>
          <w:kern w:val="2"/>
          <w:sz w:val="32"/>
          <w:szCs w:val="32"/>
          <w:highlight w:val="none"/>
          <w:lang w:val="en-US" w:eastAsia="zh-CN" w:bidi="zh-CN"/>
        </w:rPr>
      </w:pPr>
      <w:r>
        <w:rPr>
          <w:rFonts w:hint="eastAsia" w:ascii="仿宋_GB2312" w:eastAsia="黑体" w:cs="Times New Roman"/>
          <w:bCs/>
          <w:kern w:val="44"/>
          <w:sz w:val="32"/>
          <w:szCs w:val="44"/>
          <w:highlight w:val="none"/>
          <w:lang w:val="en-US" w:eastAsia="zh-CN"/>
        </w:rPr>
        <w:t>二、知识产权领军企业（单位）项目支持对象、资助标准、支持方式</w:t>
      </w:r>
    </w:p>
    <w:p>
      <w:pPr>
        <w:pStyle w:val="2"/>
        <w:keepNext w:val="0"/>
        <w:keepLines w:val="0"/>
        <w:pageBreakBefore w:val="0"/>
        <w:widowControl w:val="0"/>
        <w:tabs>
          <w:tab w:val="left" w:pos="0"/>
          <w:tab w:val="center" w:pos="4422"/>
        </w:tabs>
        <w:kinsoku/>
        <w:wordWrap/>
        <w:overflowPunct/>
        <w:topLinePunct w:val="0"/>
        <w:autoSpaceDE/>
        <w:autoSpaceDN/>
        <w:bidi w:val="0"/>
        <w:adjustRightInd w:val="0"/>
        <w:snapToGrid w:val="0"/>
        <w:spacing w:after="0" w:line="560" w:lineRule="exact"/>
        <w:ind w:left="0" w:firstLine="640" w:firstLineChars="200"/>
        <w:jc w:val="both"/>
        <w:textAlignment w:val="auto"/>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鼓励企业、科研机构提升知识产权创造、运用、管理、保护能力，经评审在知识产权创造布局、转化运用、管理保护等方面取得较好成效的，给予最高10万元资助。已获得市级同类项目资助的不予重复资助，本项目每年资助不超过10家，同一单位累计资助不超过1次。</w:t>
      </w:r>
    </w:p>
    <w:p>
      <w:pPr>
        <w:pStyle w:val="2"/>
        <w:keepNext w:val="0"/>
        <w:keepLines w:val="0"/>
        <w:pageBreakBefore w:val="0"/>
        <w:wordWrap/>
        <w:topLinePunct w:val="0"/>
        <w:bidi w:val="0"/>
        <w:adjustRightInd/>
        <w:spacing w:line="560" w:lineRule="exact"/>
        <w:ind w:left="0" w:leftChars="0" w:firstLine="640" w:firstLineChars="200"/>
        <w:textAlignment w:val="auto"/>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本项目属于评审类项目，采用事后资助方式。</w:t>
      </w:r>
    </w:p>
    <w:p>
      <w:pPr>
        <w:keepNext w:val="0"/>
        <w:keepLines w:val="0"/>
        <w:pageBreakBefore w:val="0"/>
        <w:wordWrap/>
        <w:topLinePunct w:val="0"/>
        <w:bidi w:val="0"/>
        <w:adjustRightInd/>
        <w:spacing w:line="560" w:lineRule="exact"/>
        <w:ind w:left="0" w:firstLine="640" w:firstLineChars="200"/>
        <w:textAlignment w:val="auto"/>
        <w:rPr>
          <w:rFonts w:hint="eastAsia"/>
          <w:b/>
          <w:bCs/>
          <w:highlight w:val="none"/>
          <w:lang w:eastAsia="zh-CN"/>
        </w:rPr>
      </w:pPr>
      <w:r>
        <w:rPr>
          <w:rFonts w:hint="eastAsia" w:ascii="仿宋_GB2312" w:hAnsi="宋体" w:eastAsia="仿宋_GB2312" w:cs="宋体"/>
          <w:kern w:val="2"/>
          <w:sz w:val="32"/>
          <w:szCs w:val="32"/>
          <w:highlight w:val="none"/>
          <w:lang w:val="en-US" w:eastAsia="zh-CN" w:bidi="zh-CN"/>
        </w:rPr>
        <w:t>上述资助项目从光明区经济发展专项资金中列支，资助资金根据当年度区经济发展专项资金预算安排和申报情况，对资助金额、支持比例和拨付进度等进行统一调整，申报主体应无条件同意调整结果。</w:t>
      </w:r>
      <w:r>
        <w:rPr>
          <w:rFonts w:hint="eastAsia" w:ascii="仿宋_GB2312" w:hAnsi="宋体" w:eastAsia="仿宋_GB2312" w:cs="宋体"/>
          <w:b/>
          <w:bCs/>
          <w:kern w:val="2"/>
          <w:sz w:val="32"/>
          <w:szCs w:val="32"/>
          <w:highlight w:val="none"/>
          <w:lang w:val="en-US" w:eastAsia="zh-CN" w:bidi="zh-CN"/>
        </w:rPr>
        <w:t>上述项目在后续兑现拨付环节，如遇国家、省、市有关政策规定调整的，一律按照资金兑付节点现行有效的政策规定作为执行依据。</w:t>
      </w:r>
    </w:p>
    <w:p>
      <w:pPr>
        <w:keepNext w:val="0"/>
        <w:keepLines w:val="0"/>
        <w:pageBreakBefore w:val="0"/>
        <w:widowControl/>
        <w:wordWrap/>
        <w:topLinePunct w:val="0"/>
        <w:bidi w:val="0"/>
        <w:spacing w:line="560" w:lineRule="exact"/>
        <w:ind w:left="0" w:firstLine="640" w:firstLineChars="200"/>
        <w:jc w:val="left"/>
        <w:textAlignment w:val="auto"/>
        <w:outlineLvl w:val="0"/>
        <w:rPr>
          <w:rFonts w:ascii="仿宋_GB2312" w:hAnsi="宋体" w:eastAsia="黑体"/>
          <w:bCs/>
          <w:kern w:val="44"/>
          <w:sz w:val="32"/>
          <w:szCs w:val="44"/>
          <w:highlight w:val="none"/>
        </w:rPr>
      </w:pPr>
      <w:r>
        <w:rPr>
          <w:rFonts w:hint="eastAsia" w:ascii="仿宋_GB2312" w:hAnsi="宋体" w:eastAsia="黑体"/>
          <w:bCs/>
          <w:kern w:val="44"/>
          <w:sz w:val="32"/>
          <w:szCs w:val="44"/>
          <w:highlight w:val="none"/>
          <w:lang w:val="en-US" w:eastAsia="zh-CN"/>
        </w:rPr>
        <w:t>三</w:t>
      </w:r>
      <w:r>
        <w:rPr>
          <w:rFonts w:ascii="仿宋_GB2312" w:hAnsi="宋体" w:eastAsia="黑体"/>
          <w:bCs/>
          <w:kern w:val="44"/>
          <w:sz w:val="32"/>
          <w:szCs w:val="44"/>
          <w:highlight w:val="none"/>
        </w:rPr>
        <w:t>、申报条件</w:t>
      </w:r>
    </w:p>
    <w:p>
      <w:pPr>
        <w:keepNext w:val="0"/>
        <w:keepLines w:val="0"/>
        <w:pageBreakBefore w:val="0"/>
        <w:widowControl w:val="0"/>
        <w:wordWrap/>
        <w:topLinePunct w:val="0"/>
        <w:bidi w:val="0"/>
        <w:snapToGrid w:val="0"/>
        <w:spacing w:line="560" w:lineRule="exact"/>
        <w:ind w:left="0" w:firstLine="640"/>
        <w:jc w:val="both"/>
        <w:textAlignment w:val="auto"/>
        <w:rPr>
          <w:rFonts w:hint="eastAsia" w:ascii="仿宋_GB2312" w:eastAsia="仿宋_GB2312" w:cs="宋体"/>
          <w:kern w:val="2"/>
          <w:sz w:val="32"/>
          <w:szCs w:val="32"/>
          <w:highlight w:val="none"/>
        </w:rPr>
      </w:pPr>
      <w:r>
        <w:rPr>
          <w:rFonts w:hint="eastAsia" w:ascii="仿宋_GB2312" w:eastAsia="仿宋_GB2312" w:cs="宋体"/>
          <w:kern w:val="2"/>
          <w:sz w:val="32"/>
          <w:szCs w:val="32"/>
          <w:highlight w:val="none"/>
          <w:lang w:eastAsia="zh-CN"/>
        </w:rPr>
        <w:t>（一）</w:t>
      </w:r>
      <w:r>
        <w:rPr>
          <w:rFonts w:hint="eastAsia" w:ascii="仿宋_GB2312" w:hAnsi="宋体" w:eastAsia="仿宋_GB2312" w:cs="宋体"/>
          <w:kern w:val="2"/>
          <w:sz w:val="32"/>
          <w:szCs w:val="32"/>
          <w:highlight w:val="none"/>
          <w:lang w:val="en-US" w:eastAsia="zh-CN" w:bidi="zh-CN"/>
        </w:rPr>
        <w:t>依法登记注册的企事业单位、社会组织或其他机构，在光明区从事经营、运营、研发等活动</w:t>
      </w:r>
      <w:r>
        <w:rPr>
          <w:rFonts w:hint="eastAsia" w:ascii="仿宋_GB2312" w:eastAsia="仿宋_GB2312" w:cs="宋体"/>
          <w:kern w:val="2"/>
          <w:sz w:val="32"/>
          <w:szCs w:val="32"/>
          <w:highlight w:val="none"/>
          <w:lang w:eastAsia="zh-CN"/>
        </w:rPr>
        <w:t>。</w:t>
      </w:r>
    </w:p>
    <w:p>
      <w:pPr>
        <w:keepNext w:val="0"/>
        <w:keepLines w:val="0"/>
        <w:pageBreakBefore w:val="0"/>
        <w:widowControl w:val="0"/>
        <w:wordWrap/>
        <w:topLinePunct w:val="0"/>
        <w:bidi w:val="0"/>
        <w:snapToGrid w:val="0"/>
        <w:spacing w:line="560" w:lineRule="exact"/>
        <w:ind w:left="0" w:firstLine="640"/>
        <w:jc w:val="both"/>
        <w:textAlignment w:val="auto"/>
        <w:rPr>
          <w:rFonts w:hint="eastAsia" w:ascii="仿宋_GB2312" w:hAnsi="仿宋_GB2312" w:eastAsia="仿宋_GB2312" w:cs="仿宋_GB2312"/>
          <w:kern w:val="2"/>
          <w:sz w:val="32"/>
          <w:szCs w:val="32"/>
          <w:highlight w:val="none"/>
          <w:lang w:bidi="ar"/>
        </w:rPr>
      </w:pPr>
      <w:r>
        <w:rPr>
          <w:rFonts w:hint="eastAsia" w:ascii="仿宋_GB2312" w:eastAsia="仿宋_GB2312" w:cs="宋体"/>
          <w:kern w:val="2"/>
          <w:sz w:val="32"/>
          <w:szCs w:val="32"/>
          <w:highlight w:val="none"/>
          <w:lang w:eastAsia="zh-CN"/>
        </w:rPr>
        <w:t>（二）</w:t>
      </w:r>
      <w:r>
        <w:rPr>
          <w:rFonts w:hint="eastAsia" w:ascii="仿宋_GB2312" w:eastAsia="仿宋_GB2312" w:cs="宋体"/>
          <w:kern w:val="2"/>
          <w:sz w:val="32"/>
          <w:szCs w:val="32"/>
          <w:highlight w:val="none"/>
        </w:rPr>
        <w:t>有规范健全的财务管理制度，依法履行统计数据</w:t>
      </w:r>
      <w:r>
        <w:rPr>
          <w:rFonts w:hint="eastAsia" w:ascii="仿宋_GB2312" w:eastAsia="仿宋_GB2312" w:cs="宋体"/>
          <w:kern w:val="2"/>
          <w:sz w:val="32"/>
          <w:szCs w:val="32"/>
          <w:highlight w:val="none"/>
          <w:lang w:eastAsia="zh-CN"/>
        </w:rPr>
        <w:t>申报</w:t>
      </w:r>
      <w:r>
        <w:rPr>
          <w:rFonts w:hint="eastAsia" w:ascii="仿宋_GB2312" w:eastAsia="仿宋_GB2312" w:cs="宋体"/>
          <w:kern w:val="2"/>
          <w:sz w:val="32"/>
          <w:szCs w:val="32"/>
          <w:highlight w:val="none"/>
        </w:rPr>
        <w:t>义务。</w:t>
      </w:r>
    </w:p>
    <w:p>
      <w:pPr>
        <w:keepNext w:val="0"/>
        <w:keepLines w:val="0"/>
        <w:pageBreakBefore w:val="0"/>
        <w:widowControl w:val="0"/>
        <w:wordWrap/>
        <w:topLinePunct w:val="0"/>
        <w:bidi w:val="0"/>
        <w:snapToGrid w:val="0"/>
        <w:spacing w:line="560" w:lineRule="exact"/>
        <w:ind w:left="0" w:firstLine="640"/>
        <w:jc w:val="both"/>
        <w:textAlignment w:val="auto"/>
        <w:rPr>
          <w:rFonts w:hint="eastAsia" w:ascii="仿宋_GB2312" w:eastAsia="仿宋_GB2312" w:cs="宋体"/>
          <w:kern w:val="2"/>
          <w:sz w:val="32"/>
          <w:szCs w:val="32"/>
          <w:highlight w:val="none"/>
        </w:rPr>
      </w:pPr>
      <w:r>
        <w:rPr>
          <w:rFonts w:hint="eastAsia" w:ascii="仿宋_GB2312" w:eastAsia="仿宋_GB2312" w:cs="宋体"/>
          <w:kern w:val="2"/>
          <w:sz w:val="32"/>
          <w:szCs w:val="32"/>
          <w:highlight w:val="none"/>
          <w:lang w:eastAsia="zh-CN"/>
        </w:rPr>
        <w:t>（三）</w:t>
      </w:r>
      <w:r>
        <w:rPr>
          <w:rFonts w:hint="eastAsia" w:ascii="仿宋_GB2312" w:eastAsia="仿宋_GB2312" w:cs="宋体"/>
          <w:kern w:val="2"/>
          <w:sz w:val="32"/>
          <w:szCs w:val="32"/>
          <w:highlight w:val="none"/>
        </w:rPr>
        <w:t>守法守信规范经营，</w:t>
      </w:r>
      <w:r>
        <w:rPr>
          <w:rFonts w:hint="eastAsia" w:ascii="仿宋_GB2312" w:eastAsia="仿宋_GB2312" w:cs="宋体"/>
          <w:kern w:val="2"/>
          <w:sz w:val="32"/>
          <w:szCs w:val="32"/>
          <w:highlight w:val="none"/>
          <w:lang w:eastAsia="zh-CN"/>
        </w:rPr>
        <w:t>不存在违反失信惩戒措施基础清单相关规定的情形</w:t>
      </w:r>
      <w:r>
        <w:rPr>
          <w:rFonts w:hint="eastAsia" w:ascii="仿宋_GB2312" w:eastAsia="仿宋_GB2312" w:cs="宋体"/>
          <w:kern w:val="2"/>
          <w:sz w:val="32"/>
          <w:szCs w:val="32"/>
          <w:highlight w:val="none"/>
        </w:rPr>
        <w:t>。</w:t>
      </w:r>
    </w:p>
    <w:p>
      <w:pPr>
        <w:keepNext w:val="0"/>
        <w:keepLines w:val="0"/>
        <w:pageBreakBefore w:val="0"/>
        <w:widowControl w:val="0"/>
        <w:wordWrap/>
        <w:topLinePunct w:val="0"/>
        <w:bidi w:val="0"/>
        <w:snapToGrid w:val="0"/>
        <w:spacing w:line="560" w:lineRule="exact"/>
        <w:ind w:left="0" w:firstLine="640"/>
        <w:jc w:val="both"/>
        <w:textAlignment w:val="auto"/>
        <w:rPr>
          <w:rFonts w:hint="eastAsia" w:ascii="FangSong_GB2312" w:hAnsi="FangSong_GB2312" w:eastAsia="FangSong_GB2312"/>
          <w:sz w:val="32"/>
          <w:szCs w:val="32"/>
          <w:highlight w:val="none"/>
        </w:rPr>
      </w:pPr>
      <w:r>
        <w:rPr>
          <w:rFonts w:hint="eastAsia" w:ascii="仿宋_GB2312" w:eastAsia="仿宋_GB2312" w:cs="宋体"/>
          <w:kern w:val="2"/>
          <w:sz w:val="32"/>
          <w:szCs w:val="32"/>
          <w:highlight w:val="none"/>
          <w:lang w:eastAsia="zh-CN"/>
        </w:rPr>
        <w:t>（四）</w:t>
      </w:r>
      <w:r>
        <w:rPr>
          <w:rFonts w:hint="eastAsia" w:ascii="FangSong_GB2312" w:hAnsi="FangSong_GB2312" w:eastAsia="FangSong_GB2312"/>
          <w:sz w:val="32"/>
          <w:szCs w:val="32"/>
          <w:highlight w:val="none"/>
        </w:rPr>
        <w:t>符合有关产业政策文件及</w:t>
      </w:r>
      <w:r>
        <w:rPr>
          <w:rFonts w:hint="eastAsia" w:ascii="FangSong_GB2312" w:hAnsi="FangSong_GB2312" w:eastAsia="FangSong_GB2312"/>
          <w:sz w:val="32"/>
          <w:szCs w:val="32"/>
          <w:highlight w:val="none"/>
          <w:lang w:eastAsia="zh-CN"/>
        </w:rPr>
        <w:t>申请</w:t>
      </w:r>
      <w:r>
        <w:rPr>
          <w:rFonts w:hint="eastAsia" w:ascii="FangSong_GB2312" w:hAnsi="FangSong_GB2312" w:eastAsia="FangSong_GB2312"/>
          <w:sz w:val="32"/>
          <w:szCs w:val="32"/>
          <w:highlight w:val="none"/>
        </w:rPr>
        <w:t>指南规定的其他条件。</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（五）成立2年以上且在光明区连续运营一年以上，在光明区拥有稳定的办公场所。</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（六）未获得过深圳市知识产权优势示范单位（企业）、深圳市知识产权领军企业（单位）资助。</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highlight w:val="none"/>
          <w:lang w:val="en-US" w:eastAsia="zh-CN"/>
        </w:rPr>
      </w:pPr>
      <w:r>
        <w:rPr>
          <w:rFonts w:hint="eastAsia" w:ascii="仿宋_GB2312" w:hAnsi="仿宋_GB2312" w:eastAsia="仿宋_GB2312" w:cs="仿宋_GB2312"/>
          <w:color w:val="auto"/>
          <w:sz w:val="32"/>
          <w:szCs w:val="32"/>
          <w:highlight w:val="none"/>
          <w:lang w:val="en-US" w:eastAsia="zh-CN"/>
        </w:rPr>
        <w:t>（七）未获得过本条规定的资助。</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（八）具有知识产权管理部门和专职工作人员，建立较完善的知识产权管理体系。上年度知识产权创造布局、转化运用、管理保护等方面取得较好成效。</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highlight w:val="none"/>
          <w:lang w:val="en-US" w:eastAsia="zh-CN"/>
        </w:rPr>
      </w:pPr>
      <w:r>
        <w:rPr>
          <w:rFonts w:hint="eastAsia" w:ascii="仿宋_GB2312" w:hAnsi="仿宋_GB2312" w:eastAsia="仿宋_GB2312" w:cs="仿宋_GB2312"/>
          <w:color w:val="auto"/>
          <w:sz w:val="32"/>
          <w:szCs w:val="32"/>
          <w:highlight w:val="none"/>
          <w:lang w:val="en-US" w:eastAsia="zh-CN"/>
        </w:rPr>
        <w:t>（九）申报单位已通过《创新管理-知识产权管理指南（ISO56005）》国际标准国际化专业评价的，予以优先考虑。</w:t>
      </w:r>
    </w:p>
    <w:p>
      <w:pPr>
        <w:keepNext w:val="0"/>
        <w:keepLines w:val="0"/>
        <w:pageBreakBefore w:val="0"/>
        <w:widowControl/>
        <w:wordWrap/>
        <w:topLinePunct w:val="0"/>
        <w:bidi w:val="0"/>
        <w:spacing w:line="560" w:lineRule="exact"/>
        <w:ind w:left="0" w:firstLine="640" w:firstLineChars="200"/>
        <w:jc w:val="left"/>
        <w:textAlignment w:val="auto"/>
        <w:outlineLvl w:val="0"/>
        <w:rPr>
          <w:rFonts w:ascii="仿宋_GB2312" w:hAnsi="宋体" w:eastAsia="黑体"/>
          <w:bCs/>
          <w:kern w:val="44"/>
          <w:sz w:val="32"/>
          <w:szCs w:val="44"/>
          <w:highlight w:val="none"/>
        </w:rPr>
      </w:pPr>
      <w:r>
        <w:rPr>
          <w:rFonts w:hint="eastAsia" w:ascii="仿宋_GB2312" w:hAnsi="宋体" w:eastAsia="黑体"/>
          <w:bCs/>
          <w:kern w:val="44"/>
          <w:sz w:val="32"/>
          <w:szCs w:val="44"/>
          <w:highlight w:val="none"/>
          <w:lang w:val="en-US" w:eastAsia="zh-CN"/>
        </w:rPr>
        <w:t>四</w:t>
      </w:r>
      <w:r>
        <w:rPr>
          <w:rFonts w:ascii="仿宋_GB2312" w:hAnsi="宋体" w:eastAsia="黑体"/>
          <w:bCs/>
          <w:kern w:val="44"/>
          <w:sz w:val="32"/>
          <w:szCs w:val="44"/>
          <w:highlight w:val="none"/>
        </w:rPr>
        <w:t xml:space="preserve">、申请材料 </w:t>
      </w:r>
    </w:p>
    <w:p>
      <w:pPr>
        <w:keepNext w:val="0"/>
        <w:keepLines w:val="0"/>
        <w:pageBreakBefore w:val="0"/>
        <w:kinsoku w:val="0"/>
        <w:wordWrap/>
        <w:overflowPunct w:val="0"/>
        <w:topLinePunct w:val="0"/>
        <w:autoSpaceDE w:val="0"/>
        <w:autoSpaceDN w:val="0"/>
        <w:bidi w:val="0"/>
        <w:spacing w:line="560" w:lineRule="exact"/>
        <w:ind w:left="0" w:firstLine="640" w:firstLineChars="200"/>
        <w:textAlignment w:val="auto"/>
        <w:rPr>
          <w:rFonts w:ascii="仿宋_GB2312" w:hAnsi="楷体_GB2312" w:eastAsia="仿宋_GB2312" w:cs="楷体_GB2312"/>
          <w:sz w:val="32"/>
          <w:szCs w:val="32"/>
          <w:highlight w:val="none"/>
        </w:rPr>
      </w:pPr>
      <w:r>
        <w:rPr>
          <w:rFonts w:hint="eastAsia" w:ascii="仿宋_GB2312" w:hAnsi="楷体_GB2312" w:eastAsia="仿宋_GB2312" w:cs="楷体_GB2312"/>
          <w:sz w:val="32"/>
          <w:szCs w:val="32"/>
          <w:highlight w:val="none"/>
        </w:rPr>
        <w:t>申报材料由</w:t>
      </w:r>
      <w:r>
        <w:rPr>
          <w:rFonts w:hint="eastAsia" w:ascii="仿宋_GB2312" w:hAnsi="楷体_GB2312" w:eastAsia="仿宋_GB2312" w:cs="楷体_GB2312"/>
          <w:b/>
          <w:bCs/>
          <w:sz w:val="32"/>
          <w:szCs w:val="32"/>
          <w:highlight w:val="none"/>
        </w:rPr>
        <w:t>基础申报材料</w:t>
      </w:r>
      <w:r>
        <w:rPr>
          <w:rFonts w:hint="eastAsia" w:ascii="仿宋_GB2312" w:hAnsi="楷体_GB2312" w:eastAsia="仿宋_GB2312" w:cs="楷体_GB2312"/>
          <w:sz w:val="32"/>
          <w:szCs w:val="32"/>
          <w:highlight w:val="none"/>
        </w:rPr>
        <w:t>和</w:t>
      </w:r>
      <w:r>
        <w:rPr>
          <w:rFonts w:hint="eastAsia" w:ascii="仿宋_GB2312" w:hAnsi="楷体_GB2312" w:eastAsia="仿宋_GB2312" w:cs="楷体_GB2312"/>
          <w:b/>
          <w:bCs/>
          <w:sz w:val="32"/>
          <w:szCs w:val="32"/>
          <w:highlight w:val="none"/>
        </w:rPr>
        <w:t>专项申报材料</w:t>
      </w:r>
      <w:r>
        <w:rPr>
          <w:rFonts w:hint="eastAsia" w:ascii="仿宋_GB2312" w:hAnsi="楷体_GB2312" w:eastAsia="仿宋_GB2312" w:cs="楷体_GB2312"/>
          <w:sz w:val="32"/>
          <w:szCs w:val="32"/>
          <w:highlight w:val="none"/>
        </w:rPr>
        <w:t>两部分组成。</w:t>
      </w:r>
    </w:p>
    <w:p>
      <w:pPr>
        <w:keepNext w:val="0"/>
        <w:keepLines w:val="0"/>
        <w:pageBreakBefore w:val="0"/>
        <w:kinsoku w:val="0"/>
        <w:wordWrap/>
        <w:overflowPunct w:val="0"/>
        <w:topLinePunct w:val="0"/>
        <w:autoSpaceDE w:val="0"/>
        <w:autoSpaceDN w:val="0"/>
        <w:bidi w:val="0"/>
        <w:spacing w:line="560" w:lineRule="exact"/>
        <w:ind w:left="0" w:firstLine="642" w:firstLineChars="200"/>
        <w:textAlignment w:val="auto"/>
        <w:rPr>
          <w:rFonts w:ascii="仿宋_GB2312" w:hAnsi="楷体_GB2312" w:eastAsia="仿宋_GB2312" w:cs="楷体_GB2312"/>
          <w:b/>
          <w:bCs/>
          <w:sz w:val="32"/>
          <w:szCs w:val="32"/>
          <w:highlight w:val="none"/>
        </w:rPr>
      </w:pPr>
      <w:r>
        <w:rPr>
          <w:rFonts w:hint="eastAsia" w:ascii="仿宋_GB2312" w:hAnsi="楷体_GB2312" w:eastAsia="仿宋_GB2312" w:cs="楷体_GB2312"/>
          <w:b/>
          <w:bCs/>
          <w:sz w:val="32"/>
          <w:szCs w:val="32"/>
          <w:highlight w:val="none"/>
        </w:rPr>
        <w:t>基础申报材料：</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（一）2026年度光明区知识产权领军企业（单位）项目申请表（系统填报，提供系统打印的申请书纸质文件原件）。</w:t>
      </w:r>
      <w:r>
        <w:rPr>
          <w:rFonts w:hint="eastAsia" w:ascii="仿宋_GB2312" w:hAnsi="仿宋_GB2312" w:eastAsia="仿宋_GB2312" w:cs="仿宋_GB2312"/>
          <w:sz w:val="32"/>
          <w:szCs w:val="32"/>
          <w:highlight w:val="none"/>
        </w:rPr>
        <w:t xml:space="preserve"> </w:t>
      </w:r>
    </w:p>
    <w:p>
      <w:pPr>
        <w:keepNext w:val="0"/>
        <w:keepLines w:val="0"/>
        <w:pageBreakBefore w:val="0"/>
        <w:kinsoku w:val="0"/>
        <w:wordWrap/>
        <w:overflowPunct w:val="0"/>
        <w:topLinePunct w:val="0"/>
        <w:autoSpaceDE w:val="0"/>
        <w:autoSpaceDN w:val="0"/>
        <w:bidi w:val="0"/>
        <w:spacing w:line="560" w:lineRule="exact"/>
        <w:ind w:lef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（二）</w:t>
      </w:r>
      <w:r>
        <w:rPr>
          <w:rFonts w:hint="eastAsia" w:ascii="仿宋_GB2312" w:hAnsi="仿宋_GB2312" w:eastAsia="仿宋_GB2312" w:cs="仿宋_GB2312"/>
          <w:sz w:val="32"/>
          <w:szCs w:val="32"/>
          <w:highlight w:val="none"/>
          <w:lang w:val="en-US" w:eastAsia="zh-CN"/>
        </w:rPr>
        <w:t>申请人主体资格材料（营业执照或主管部门批准成立的文件复印件）</w:t>
      </w:r>
      <w:r>
        <w:rPr>
          <w:rFonts w:hint="eastAsia" w:ascii="仿宋_GB2312" w:hAnsi="仿宋_GB2312" w:eastAsia="仿宋_GB2312" w:cs="仿宋_GB2312"/>
          <w:sz w:val="32"/>
          <w:szCs w:val="32"/>
          <w:highlight w:val="none"/>
          <w:lang w:eastAsia="zh-CN"/>
        </w:rPr>
        <w:t>、上一年度纳税证明</w:t>
      </w:r>
      <w:r>
        <w:rPr>
          <w:rFonts w:hint="eastAsia" w:ascii="仿宋_GB2312" w:hAnsi="仿宋_GB2312" w:eastAsia="仿宋_GB2312" w:cs="仿宋_GB2312"/>
          <w:sz w:val="32"/>
          <w:szCs w:val="32"/>
          <w:highlight w:val="none"/>
          <w:lang w:val="en-US" w:eastAsia="zh-CN"/>
        </w:rPr>
        <w:t>。</w:t>
      </w:r>
    </w:p>
    <w:p>
      <w:pPr>
        <w:keepNext w:val="0"/>
        <w:keepLines w:val="0"/>
        <w:pageBreakBefore w:val="0"/>
        <w:kinsoku w:val="0"/>
        <w:wordWrap/>
        <w:overflowPunct w:val="0"/>
        <w:topLinePunct w:val="0"/>
        <w:autoSpaceDE w:val="0"/>
        <w:autoSpaceDN w:val="0"/>
        <w:bidi w:val="0"/>
        <w:spacing w:line="560" w:lineRule="exact"/>
        <w:ind w:lef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三</w:t>
      </w:r>
      <w:r>
        <w:rPr>
          <w:rFonts w:hint="eastAsia" w:ascii="仿宋_GB2312" w:hAnsi="仿宋_GB2312" w:eastAsia="仿宋_GB2312" w:cs="仿宋_GB2312"/>
          <w:sz w:val="32"/>
          <w:szCs w:val="32"/>
          <w:highlight w:val="none"/>
        </w:rPr>
        <w:t>）企业信用报告（通过深圳信用网打印完整版信用报告）。</w:t>
      </w:r>
    </w:p>
    <w:p>
      <w:pPr>
        <w:keepNext w:val="0"/>
        <w:keepLines w:val="0"/>
        <w:pageBreakBefore w:val="0"/>
        <w:kinsoku w:val="0"/>
        <w:wordWrap/>
        <w:overflowPunct w:val="0"/>
        <w:topLinePunct w:val="0"/>
        <w:autoSpaceDE w:val="0"/>
        <w:autoSpaceDN w:val="0"/>
        <w:bidi w:val="0"/>
        <w:spacing w:line="560" w:lineRule="exact"/>
        <w:ind w:lef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四</w:t>
      </w:r>
      <w:r>
        <w:rPr>
          <w:rFonts w:hint="eastAsia" w:ascii="仿宋_GB2312" w:hAnsi="仿宋_GB2312" w:eastAsia="仿宋_GB2312" w:cs="仿宋_GB2312"/>
          <w:sz w:val="32"/>
          <w:szCs w:val="32"/>
          <w:highlight w:val="none"/>
        </w:rPr>
        <w:t>）法人授权委托书，法定代表人身份证复印件及经办人身份证复印件（法定代表人身份证无须验原件）。</w:t>
      </w:r>
    </w:p>
    <w:p>
      <w:pPr>
        <w:pStyle w:val="2"/>
        <w:keepNext w:val="0"/>
        <w:keepLines w:val="0"/>
        <w:pageBreakBefore w:val="0"/>
        <w:wordWrap/>
        <w:topLinePunct w:val="0"/>
        <w:bidi w:val="0"/>
        <w:spacing w:line="560" w:lineRule="exact"/>
        <w:ind w:left="0" w:firstLine="642" w:firstLineChars="200"/>
        <w:textAlignment w:val="auto"/>
        <w:rPr>
          <w:rFonts w:hint="eastAsia" w:ascii="仿宋_GB2312" w:hAnsi="楷体_GB2312" w:eastAsia="仿宋_GB2312" w:cs="楷体_GB2312"/>
          <w:b/>
          <w:bCs/>
          <w:sz w:val="32"/>
          <w:szCs w:val="32"/>
          <w:highlight w:val="none"/>
          <w:lang w:eastAsia="zh-CN"/>
        </w:rPr>
      </w:pPr>
      <w:r>
        <w:rPr>
          <w:rFonts w:hint="eastAsia" w:ascii="仿宋_GB2312" w:hAnsi="楷体_GB2312" w:eastAsia="仿宋_GB2312" w:cs="楷体_GB2312"/>
          <w:b/>
          <w:bCs/>
          <w:sz w:val="32"/>
          <w:szCs w:val="32"/>
          <w:highlight w:val="none"/>
        </w:rPr>
        <w:t>专项申报材料</w:t>
      </w:r>
      <w:r>
        <w:rPr>
          <w:rFonts w:hint="eastAsia" w:ascii="仿宋_GB2312" w:hAnsi="楷体_GB2312" w:eastAsia="仿宋_GB2312" w:cs="楷体_GB2312"/>
          <w:b/>
          <w:bCs/>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（五）申请单位近两年知识产权台账，专利运用情况台账及相关介绍。</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（六）知识产权专职人员团队、专业人才信息，如：人员名册、聘用关系证明（如：纳税证明、劳动合同、社保缴纳证明）等。</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（七）知识产权管理制度及人才培养成效相关证明材料。</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（八）知识产权</w:t>
      </w:r>
      <w:r>
        <w:rPr>
          <w:rFonts w:hint="eastAsia" w:ascii="仿宋_GB2312" w:hAnsi="仿宋_GB2312" w:eastAsia="仿宋_GB2312" w:cs="仿宋_GB2312"/>
          <w:snapToGrid/>
          <w:color w:val="auto"/>
          <w:kern w:val="2"/>
          <w:sz w:val="32"/>
          <w:szCs w:val="32"/>
          <w:highlight w:val="none"/>
          <w:u w:val="none"/>
          <w:shd w:val="clear" w:color="auto" w:fill="auto"/>
          <w:lang w:val="en-US" w:eastAsia="zh-CN" w:bidi="ar"/>
        </w:rPr>
        <w:t>创造布局、转化运用、管理保护等方面工作成效的相关材料</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（九）经营状况良好证明材料。如：近两年财务审计报告或财务报表等。</w:t>
      </w:r>
    </w:p>
    <w:p>
      <w:pPr>
        <w:keepNext w:val="0"/>
        <w:keepLines w:val="0"/>
        <w:pageBreakBefore w:val="0"/>
        <w:widowControl w:val="0"/>
        <w:kinsoku/>
        <w:wordWrap/>
        <w:overflowPunct/>
        <w:topLinePunct w:val="0"/>
        <w:autoSpaceDE/>
        <w:autoSpaceDN/>
        <w:bidi w:val="0"/>
        <w:spacing w:line="560" w:lineRule="exact"/>
        <w:ind w:left="0" w:firstLine="640" w:firstLineChars="200"/>
        <w:jc w:val="both"/>
        <w:textAlignment w:val="auto"/>
        <w:rPr>
          <w:rFonts w:hint="eastAsia" w:ascii="仿宋_GB2312" w:hAnsi="楷体_GB2312" w:eastAsia="仿宋_GB2312" w:cs="楷体_GB2312"/>
          <w:color w:val="auto"/>
          <w:sz w:val="32"/>
          <w:szCs w:val="32"/>
          <w:highlight w:val="none"/>
          <w:lang w:val="zh-CN" w:bidi="zh-CN"/>
        </w:rPr>
      </w:pPr>
      <w:r>
        <w:rPr>
          <w:rFonts w:hint="eastAsia" w:ascii="仿宋_GB2312" w:hAnsi="楷体_GB2312" w:eastAsia="仿宋_GB2312" w:cs="楷体_GB2312"/>
          <w:color w:val="auto"/>
          <w:sz w:val="32"/>
          <w:szCs w:val="32"/>
          <w:highlight w:val="none"/>
          <w:lang w:val="zh-CN" w:bidi="zh-CN"/>
        </w:rPr>
        <w:t>（</w:t>
      </w:r>
      <w:r>
        <w:rPr>
          <w:rFonts w:hint="eastAsia" w:ascii="仿宋_GB2312" w:hAnsi="楷体_GB2312" w:eastAsia="仿宋_GB2312" w:cs="楷体_GB2312"/>
          <w:color w:val="auto"/>
          <w:sz w:val="32"/>
          <w:szCs w:val="32"/>
          <w:highlight w:val="none"/>
          <w:lang w:val="en-US" w:bidi="zh-CN"/>
        </w:rPr>
        <w:t>十</w:t>
      </w:r>
      <w:r>
        <w:rPr>
          <w:rFonts w:hint="eastAsia" w:ascii="仿宋_GB2312" w:hAnsi="楷体_GB2312" w:eastAsia="仿宋_GB2312" w:cs="楷体_GB2312"/>
          <w:color w:val="auto"/>
          <w:sz w:val="32"/>
          <w:szCs w:val="32"/>
          <w:highlight w:val="none"/>
          <w:lang w:val="zh-CN" w:bidi="zh-CN"/>
        </w:rPr>
        <w:t>）申请单位未获得过</w:t>
      </w:r>
      <w:r>
        <w:rPr>
          <w:rFonts w:hint="eastAsia" w:ascii="仿宋_GB2312" w:hAnsi="仿宋_GB2312" w:eastAsia="仿宋_GB2312" w:cs="仿宋_GB2312"/>
          <w:b w:val="0"/>
          <w:bCs w:val="0"/>
          <w:snapToGrid/>
          <w:color w:val="auto"/>
          <w:kern w:val="2"/>
          <w:sz w:val="32"/>
          <w:szCs w:val="32"/>
          <w:highlight w:val="none"/>
          <w:u w:val="none"/>
          <w:shd w:val="clear" w:color="auto" w:fill="auto"/>
          <w:lang w:val="en-US" w:eastAsia="zh-CN" w:bidi="ar"/>
        </w:rPr>
        <w:t>深圳市知识产权优势示范单位（企业）或深圳市知识产权领军企业（单位）</w:t>
      </w:r>
      <w:r>
        <w:rPr>
          <w:rFonts w:hint="eastAsia" w:ascii="仿宋_GB2312" w:hAnsi="楷体_GB2312" w:eastAsia="仿宋_GB2312" w:cs="楷体_GB2312"/>
          <w:color w:val="auto"/>
          <w:sz w:val="32"/>
          <w:szCs w:val="32"/>
          <w:highlight w:val="none"/>
          <w:lang w:val="zh-CN" w:bidi="zh-CN"/>
        </w:rPr>
        <w:t>，且本年度不重复申报市级同类项目资助的承诺书。</w:t>
      </w:r>
    </w:p>
    <w:p>
      <w:pPr>
        <w:keepNext w:val="0"/>
        <w:keepLines w:val="0"/>
        <w:pageBreakBefore w:val="0"/>
        <w:widowControl w:val="0"/>
        <w:kinsoku/>
        <w:wordWrap/>
        <w:overflowPunct/>
        <w:topLinePunct w:val="0"/>
        <w:autoSpaceDE/>
        <w:autoSpaceDN/>
        <w:bidi w:val="0"/>
        <w:spacing w:line="560" w:lineRule="exact"/>
        <w:ind w:left="0" w:firstLine="640" w:firstLineChars="200"/>
        <w:jc w:val="both"/>
        <w:textAlignment w:val="auto"/>
        <w:rPr>
          <w:rFonts w:hint="eastAsia" w:ascii="仿宋_GB2312" w:hAnsi="楷体_GB2312" w:eastAsia="仿宋_GB2312" w:cs="楷体_GB2312"/>
          <w:color w:val="auto"/>
          <w:sz w:val="32"/>
          <w:szCs w:val="32"/>
          <w:highlight w:val="none"/>
          <w:lang w:val="zh-CN" w:eastAsia="zh-CN" w:bidi="zh-CN"/>
        </w:rPr>
      </w:pPr>
      <w:r>
        <w:rPr>
          <w:rFonts w:hint="eastAsia" w:ascii="仿宋_GB2312" w:hAnsi="楷体_GB2312" w:eastAsia="仿宋_GB2312" w:cs="楷体_GB2312"/>
          <w:color w:val="auto"/>
          <w:sz w:val="32"/>
          <w:szCs w:val="32"/>
          <w:highlight w:val="none"/>
          <w:lang w:val="zh-CN" w:bidi="zh-CN"/>
        </w:rPr>
        <w:t>（</w:t>
      </w:r>
      <w:r>
        <w:rPr>
          <w:rFonts w:hint="eastAsia" w:ascii="仿宋_GB2312" w:hAnsi="楷体_GB2312" w:eastAsia="仿宋_GB2312" w:cs="楷体_GB2312"/>
          <w:color w:val="auto"/>
          <w:sz w:val="32"/>
          <w:szCs w:val="32"/>
          <w:highlight w:val="none"/>
          <w:lang w:val="en-US" w:bidi="zh-CN"/>
        </w:rPr>
        <w:t>十一</w:t>
      </w:r>
      <w:r>
        <w:rPr>
          <w:rFonts w:hint="eastAsia" w:ascii="仿宋_GB2312" w:hAnsi="楷体_GB2312" w:eastAsia="仿宋_GB2312" w:cs="楷体_GB2312"/>
          <w:color w:val="auto"/>
          <w:sz w:val="32"/>
          <w:szCs w:val="32"/>
          <w:highlight w:val="none"/>
          <w:lang w:val="zh-CN" w:bidi="zh-CN"/>
        </w:rPr>
        <w:t>）申请单位若已通过《创新管理 - 知识产权管理指南（ISO56005）》国际标准国际化专业评价，则</w:t>
      </w:r>
      <w:r>
        <w:rPr>
          <w:rFonts w:hint="eastAsia" w:ascii="仿宋_GB2312" w:hAnsi="楷体_GB2312" w:eastAsia="仿宋_GB2312" w:cs="楷体_GB2312"/>
          <w:color w:val="auto"/>
          <w:sz w:val="32"/>
          <w:szCs w:val="32"/>
          <w:highlight w:val="none"/>
          <w:lang w:val="zh-CN" w:eastAsia="zh-CN" w:bidi="zh-CN"/>
        </w:rPr>
        <w:t>请</w:t>
      </w:r>
      <w:r>
        <w:rPr>
          <w:rFonts w:hint="eastAsia" w:ascii="仿宋_GB2312" w:hAnsi="楷体_GB2312" w:eastAsia="仿宋_GB2312" w:cs="楷体_GB2312"/>
          <w:color w:val="auto"/>
          <w:sz w:val="32"/>
          <w:szCs w:val="32"/>
          <w:highlight w:val="none"/>
          <w:lang w:val="zh-CN" w:bidi="zh-CN"/>
        </w:rPr>
        <w:t>提供相应佐证材料（如证书等）</w:t>
      </w:r>
      <w:r>
        <w:rPr>
          <w:rFonts w:hint="eastAsia" w:ascii="仿宋_GB2312" w:hAnsi="楷体_GB2312" w:eastAsia="仿宋_GB2312" w:cs="楷体_GB2312"/>
          <w:color w:val="auto"/>
          <w:sz w:val="32"/>
          <w:szCs w:val="32"/>
          <w:highlight w:val="none"/>
          <w:lang w:val="zh-CN" w:eastAsia="zh-CN" w:bidi="zh-CN"/>
        </w:rPr>
        <w:t>。</w:t>
      </w:r>
    </w:p>
    <w:p>
      <w:pPr>
        <w:keepNext w:val="0"/>
        <w:keepLines w:val="0"/>
        <w:pageBreakBefore w:val="0"/>
        <w:kinsoku w:val="0"/>
        <w:wordWrap/>
        <w:overflowPunct w:val="0"/>
        <w:topLinePunct w:val="0"/>
        <w:autoSpaceDE w:val="0"/>
        <w:autoSpaceDN w:val="0"/>
        <w:bidi w:val="0"/>
        <w:spacing w:line="560" w:lineRule="exact"/>
        <w:ind w:left="0" w:firstLine="640" w:firstLineChars="200"/>
        <w:textAlignment w:val="auto"/>
        <w:rPr>
          <w:rFonts w:hint="eastAsia" w:ascii="仿宋_GB2312" w:hAnsi="楷体_GB2312" w:eastAsia="仿宋_GB2312" w:cs="楷体_GB2312"/>
          <w:sz w:val="32"/>
          <w:szCs w:val="32"/>
          <w:highlight w:val="none"/>
        </w:rPr>
      </w:pPr>
      <w:r>
        <w:rPr>
          <w:rFonts w:hint="eastAsia" w:ascii="仿宋_GB2312" w:hAnsi="楷体_GB2312" w:eastAsia="仿宋_GB2312" w:cs="楷体_GB2312"/>
          <w:sz w:val="32"/>
          <w:szCs w:val="32"/>
          <w:highlight w:val="none"/>
        </w:rPr>
        <w:t>（</w:t>
      </w:r>
      <w:r>
        <w:rPr>
          <w:rFonts w:hint="eastAsia" w:ascii="仿宋_GB2312" w:hAnsi="楷体_GB2312" w:eastAsia="仿宋_GB2312" w:cs="楷体_GB2312"/>
          <w:sz w:val="32"/>
          <w:szCs w:val="32"/>
          <w:highlight w:val="none"/>
          <w:lang w:val="en-US" w:eastAsia="zh-CN"/>
        </w:rPr>
        <w:t>十二</w:t>
      </w:r>
      <w:r>
        <w:rPr>
          <w:rFonts w:hint="eastAsia" w:ascii="仿宋_GB2312" w:hAnsi="楷体_GB2312" w:eastAsia="仿宋_GB2312" w:cs="楷体_GB2312"/>
          <w:sz w:val="32"/>
          <w:szCs w:val="32"/>
          <w:highlight w:val="none"/>
        </w:rPr>
        <w:t>）深圳市市场监督管理局光明监管局要求提交的其他资料或必要说明等。</w:t>
      </w:r>
    </w:p>
    <w:p>
      <w:pPr>
        <w:keepNext w:val="0"/>
        <w:keepLines w:val="0"/>
        <w:pageBreakBefore w:val="0"/>
        <w:kinsoku w:val="0"/>
        <w:wordWrap/>
        <w:overflowPunct w:val="0"/>
        <w:topLinePunct w:val="0"/>
        <w:autoSpaceDE w:val="0"/>
        <w:autoSpaceDN w:val="0"/>
        <w:bidi w:val="0"/>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电子材料：第（一）项材料登录深圳市财政专项资金统一管理平台（以下简称财企通平台，https://cqt.szfb.sz.gov.cn/#/home）在线填报，其余材料按要求上传PDF文件至财企通平台（使用帮助：https://cqt.szfb.sz.gov.cn/#/help/guide）。</w:t>
      </w:r>
    </w:p>
    <w:p>
      <w:pPr>
        <w:keepNext w:val="0"/>
        <w:keepLines w:val="0"/>
        <w:pageBreakBefore w:val="0"/>
        <w:kinsoku w:val="0"/>
        <w:wordWrap/>
        <w:overflowPunct w:val="0"/>
        <w:topLinePunct w:val="0"/>
        <w:autoSpaceDE w:val="0"/>
        <w:autoSpaceDN w:val="0"/>
        <w:bidi w:val="0"/>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纸质材料：电子材料审核通过后，请登录财企通平台，导出带水印编号的所有材料，以上每项材料均需加盖申报单位公章，多页的加盖骑缝公章；壹式两份，A4纸正反面打印，非空白页（含封面）连续编写页码，胶装成册。</w:t>
      </w:r>
    </w:p>
    <w:p>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hint="eastAsia" w:ascii="仿宋_GB2312" w:hAnsi="宋体" w:eastAsia="黑体"/>
          <w:bCs/>
          <w:kern w:val="44"/>
          <w:sz w:val="32"/>
          <w:szCs w:val="44"/>
          <w:highlight w:val="none"/>
          <w:lang w:val="en-US" w:eastAsia="zh-CN"/>
        </w:rPr>
      </w:pPr>
      <w:r>
        <w:rPr>
          <w:rFonts w:hint="eastAsia" w:ascii="仿宋_GB2312" w:hAnsi="宋体" w:eastAsia="黑体"/>
          <w:bCs/>
          <w:kern w:val="44"/>
          <w:sz w:val="32"/>
          <w:szCs w:val="44"/>
          <w:highlight w:val="none"/>
          <w:lang w:val="en-US" w:eastAsia="zh-CN"/>
        </w:rPr>
        <w:t>五、业务受理</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一）网络填报受理时间：2026年7月20日（星期一）9:00至2026年8月20日（星期四）18:00（注：网上申报在非工作日也可进行。超过网络填报受理的截止时间，不再受理新提交申请。网络填报受理截止前已在线提交申请，但后经初审被退回修改的，应于纸质材料受理截止前再次提交修改后的申请进行初审。所有均需通过网络初审后，方可提交纸质材料）。</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（二）纸质材料受理时间：2026年7月21日（星期二）9:00至2026年9月4日（星期五）18:00（注：请在规定时间内及时提交纸质材料，成功提交纸质材料的项目才算完成申请）。</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纸质材料受理地点：光明科学城知识产权公共服务中心（深圳市光明区新湖街道圳美大道新永丰（美华美）工业区B1栋5楼 ）。</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业务咨询电话：0755-88659552。</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技术支持电话：0755-27038037。</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highlight w:val="none"/>
          <w:lang w:eastAsia="zh-CN"/>
        </w:rPr>
      </w:pPr>
      <w:r>
        <w:rPr>
          <w:rFonts w:hint="eastAsia" w:ascii="仿宋_GB2312" w:hAnsi="楷体_GB2312" w:eastAsia="仿宋_GB2312" w:cs="楷体_GB2312"/>
          <w:sz w:val="32"/>
          <w:szCs w:val="32"/>
          <w:highlight w:val="none"/>
          <w:lang w:val="en-US" w:eastAsia="zh-CN"/>
        </w:rPr>
        <w:t>咨询时间：工作日上午9:00-12:00；下午2:00-6:00。</w:t>
      </w:r>
    </w:p>
    <w:p>
      <w:pPr>
        <w:keepNext w:val="0"/>
        <w:keepLines w:val="0"/>
        <w:pageBreakBefore w:val="0"/>
        <w:widowControl/>
        <w:wordWrap/>
        <w:topLinePunct w:val="0"/>
        <w:bidi w:val="0"/>
        <w:spacing w:line="560" w:lineRule="exact"/>
        <w:ind w:left="0" w:firstLine="640" w:firstLineChars="200"/>
        <w:jc w:val="left"/>
        <w:textAlignment w:val="auto"/>
        <w:outlineLvl w:val="0"/>
        <w:rPr>
          <w:rFonts w:hint="eastAsia" w:ascii="仿宋_GB2312" w:hAnsi="宋体" w:eastAsia="黑体"/>
          <w:bCs/>
          <w:kern w:val="44"/>
          <w:sz w:val="32"/>
          <w:szCs w:val="44"/>
          <w:highlight w:val="none"/>
          <w:lang w:eastAsia="zh-CN"/>
        </w:rPr>
      </w:pPr>
      <w:r>
        <w:rPr>
          <w:rFonts w:hint="eastAsia" w:ascii="仿宋_GB2312" w:hAnsi="宋体" w:eastAsia="黑体"/>
          <w:bCs/>
          <w:kern w:val="44"/>
          <w:sz w:val="32"/>
          <w:szCs w:val="44"/>
          <w:highlight w:val="none"/>
          <w:lang w:eastAsia="zh-CN"/>
        </w:rPr>
        <w:t>六、受理机关</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深圳市光明区企业发展服务中心</w:t>
      </w:r>
    </w:p>
    <w:p>
      <w:pPr>
        <w:keepNext w:val="0"/>
        <w:keepLines w:val="0"/>
        <w:pageBreakBefore w:val="0"/>
        <w:widowControl/>
        <w:wordWrap/>
        <w:topLinePunct w:val="0"/>
        <w:bidi w:val="0"/>
        <w:spacing w:line="560" w:lineRule="exact"/>
        <w:ind w:left="0" w:firstLine="640" w:firstLineChars="200"/>
        <w:jc w:val="left"/>
        <w:textAlignment w:val="auto"/>
        <w:outlineLvl w:val="0"/>
        <w:rPr>
          <w:rFonts w:hint="eastAsia" w:ascii="仿宋_GB2312" w:hAnsi="宋体" w:eastAsia="黑体"/>
          <w:bCs/>
          <w:kern w:val="44"/>
          <w:sz w:val="32"/>
          <w:szCs w:val="44"/>
          <w:highlight w:val="none"/>
          <w:lang w:eastAsia="zh-CN"/>
        </w:rPr>
      </w:pPr>
      <w:r>
        <w:rPr>
          <w:rFonts w:hint="eastAsia" w:ascii="仿宋_GB2312" w:hAnsi="宋体" w:eastAsia="黑体"/>
          <w:bCs/>
          <w:kern w:val="44"/>
          <w:sz w:val="32"/>
          <w:szCs w:val="44"/>
          <w:highlight w:val="none"/>
          <w:lang w:eastAsia="zh-CN"/>
        </w:rPr>
        <w:t>七、办理流程</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区企业发展服务中心发布申报指南——申报单位网上提交电子版申报材料——区企业发展服务中心进行形式审核——申报单位提交纸质版申请材料——市市场监督管理局光明监管局进行实质审核，根据需要组织专家评审并会同相关部门核查——市市场监督管理局光明监管局拟定资助计划——市市场监督管理局光明监管局按程序提请审定资助计划——区企业发展服务中心向社会公示不少于5个工作日——申报单位提交资金拨付材料——市市场监督管理局光明监管局拨付资金。</w:t>
      </w:r>
    </w:p>
    <w:p>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ascii="仿宋_GB2312" w:hAnsi="宋体" w:eastAsia="黑体"/>
          <w:bCs/>
          <w:kern w:val="44"/>
          <w:sz w:val="32"/>
          <w:szCs w:val="44"/>
          <w:highlight w:val="none"/>
        </w:rPr>
      </w:pPr>
      <w:r>
        <w:rPr>
          <w:rFonts w:hint="eastAsia" w:ascii="仿宋_GB2312" w:hAnsi="宋体" w:eastAsia="黑体"/>
          <w:bCs/>
          <w:kern w:val="44"/>
          <w:sz w:val="32"/>
          <w:szCs w:val="44"/>
          <w:highlight w:val="none"/>
          <w:lang w:eastAsia="zh-CN"/>
        </w:rPr>
        <w:t>八</w:t>
      </w:r>
      <w:r>
        <w:rPr>
          <w:rFonts w:hint="eastAsia" w:ascii="仿宋_GB2312" w:hAnsi="宋体" w:eastAsia="黑体"/>
          <w:bCs/>
          <w:kern w:val="44"/>
          <w:sz w:val="32"/>
          <w:szCs w:val="44"/>
          <w:highlight w:val="none"/>
        </w:rPr>
        <w:t>、注意事项</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rPr>
      </w:pPr>
      <w:r>
        <w:rPr>
          <w:rFonts w:hint="eastAsia" w:ascii="仿宋_GB2312" w:hAnsi="Calibri" w:eastAsia="仿宋_GB2312"/>
          <w:sz w:val="32"/>
          <w:szCs w:val="32"/>
          <w:highlight w:val="none"/>
        </w:rPr>
        <w:t>（一）本指南</w:t>
      </w:r>
      <w:r>
        <w:rPr>
          <w:rFonts w:hint="eastAsia" w:ascii="仿宋_GB2312" w:hAnsi="Calibri" w:eastAsia="仿宋_GB2312"/>
          <w:sz w:val="32"/>
          <w:szCs w:val="32"/>
          <w:highlight w:val="none"/>
          <w:lang w:eastAsia="zh-CN"/>
        </w:rPr>
        <w:t>中提到的“上一年”均指</w:t>
      </w:r>
      <w:r>
        <w:rPr>
          <w:rFonts w:hint="eastAsia" w:ascii="仿宋_GB2312" w:hAnsi="Calibri" w:eastAsia="仿宋_GB2312"/>
          <w:b/>
          <w:bCs/>
          <w:sz w:val="32"/>
          <w:szCs w:val="32"/>
          <w:highlight w:val="none"/>
          <w:lang w:val="en-US" w:eastAsia="zh-CN"/>
        </w:rPr>
        <w:t>2025年</w:t>
      </w:r>
      <w:r>
        <w:rPr>
          <w:rFonts w:hint="eastAsia" w:ascii="仿宋_GB2312" w:hAnsi="Calibri" w:eastAsia="仿宋_GB2312"/>
          <w:sz w:val="32"/>
          <w:szCs w:val="32"/>
          <w:highlight w:val="none"/>
        </w:rPr>
        <w:t>。</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lang w:val="en-US" w:eastAsia="zh-CN"/>
        </w:rPr>
      </w:pPr>
      <w:r>
        <w:rPr>
          <w:rFonts w:hint="eastAsia" w:ascii="仿宋_GB2312" w:hAnsi="Calibri" w:eastAsia="仿宋_GB2312"/>
          <w:sz w:val="32"/>
          <w:szCs w:val="32"/>
          <w:highlight w:val="none"/>
          <w:lang w:val="en-US" w:eastAsia="zh-CN"/>
        </w:rPr>
        <w:t>（二）申报单位对申报材料的合法性、真实性、准确性和完整性负责。对利用不正当手段骗取或协助骗取专项财政资金情形的，经核实后将按照区政府专项资金有关规定予以处理，并按照有关法律法规的规定追究相应责任。</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lang w:val="en-US" w:eastAsia="zh-CN"/>
        </w:rPr>
      </w:pPr>
      <w:r>
        <w:rPr>
          <w:rFonts w:hint="eastAsia" w:ascii="仿宋_GB2312" w:hAnsi="Calibri" w:eastAsia="仿宋_GB2312"/>
          <w:sz w:val="32"/>
          <w:szCs w:val="32"/>
          <w:highlight w:val="none"/>
          <w:lang w:val="en-US" w:eastAsia="zh-CN"/>
        </w:rPr>
        <w:t>（三）</w:t>
      </w:r>
      <w:r>
        <w:rPr>
          <w:rFonts w:hint="eastAsia" w:ascii="仿宋_GB2312" w:hAnsi="楷体_GB2312" w:eastAsia="仿宋_GB2312" w:cs="楷体_GB2312"/>
          <w:sz w:val="32"/>
          <w:szCs w:val="32"/>
          <w:highlight w:val="none"/>
          <w:lang w:val="en-US" w:eastAsia="zh-CN"/>
        </w:rPr>
        <w:t>区企业发展服务中心</w:t>
      </w:r>
      <w:r>
        <w:rPr>
          <w:rFonts w:hint="eastAsia" w:ascii="仿宋_GB2312" w:hAnsi="Calibri" w:eastAsia="仿宋_GB2312"/>
          <w:sz w:val="32"/>
          <w:szCs w:val="32"/>
          <w:highlight w:val="none"/>
          <w:lang w:val="en-US" w:eastAsia="zh-CN"/>
        </w:rPr>
        <w:t>从未委托任何机构或个人代理本项目的资金申请事宜，请申报单位自主申报项目。我单位将严格按照有关标准和程序受理申请，不收取任何费用。如有任何机构或个人假借工作人员名义向企业收取费用的，请知情者向我单位举报。</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lang w:val="en-US" w:eastAsia="zh-CN"/>
        </w:rPr>
      </w:pPr>
      <w:r>
        <w:rPr>
          <w:rFonts w:hint="eastAsia" w:ascii="仿宋_GB2312" w:hAnsi="Calibri" w:eastAsia="仿宋_GB2312"/>
          <w:sz w:val="32"/>
          <w:szCs w:val="32"/>
          <w:highlight w:val="none"/>
          <w:lang w:val="en-US" w:eastAsia="zh-CN"/>
        </w:rPr>
        <w:t>（四）本项目与光明区其他同类别资助项目不重复资助，由申报单位自行选择其中一项政策进行申报；本指南实施期间如遇政策调整、公平竞争审查等情形的，可进行相应调整。</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lang w:val="en-US" w:eastAsia="zh-CN"/>
        </w:rPr>
      </w:pPr>
      <w:r>
        <w:rPr>
          <w:rFonts w:hint="eastAsia" w:ascii="仿宋_GB2312" w:hAnsi="Calibri" w:eastAsia="仿宋_GB2312"/>
          <w:sz w:val="32"/>
          <w:szCs w:val="32"/>
          <w:highlight w:val="none"/>
          <w:lang w:val="en-US" w:eastAsia="zh-CN"/>
        </w:rPr>
        <w:t>（五）申报单位应保留所上传资料的原件，对于任何存疑的申请材料，我单位将随时查阅原件。</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lang w:val="en-US" w:eastAsia="zh-CN"/>
        </w:rPr>
      </w:pPr>
      <w:r>
        <w:rPr>
          <w:rFonts w:hint="eastAsia" w:ascii="仿宋_GB2312" w:hAnsi="Calibri" w:eastAsia="仿宋_GB2312"/>
          <w:sz w:val="32"/>
          <w:szCs w:val="32"/>
          <w:highlight w:val="none"/>
          <w:lang w:val="en-US" w:eastAsia="zh-CN"/>
        </w:rPr>
        <w:t>（六）杜绝中介，一经发现，拒绝受理；已受理并通过审核的，拒绝发放资金。</w:t>
      </w:r>
    </w:p>
    <w:p>
      <w:pPr>
        <w:keepNext w:val="0"/>
        <w:keepLines w:val="0"/>
        <w:pageBreakBefore w:val="0"/>
        <w:widowControl w:val="0"/>
        <w:kinsoku/>
        <w:wordWrap/>
        <w:overflowPunct/>
        <w:topLinePunct w:val="0"/>
        <w:autoSpaceDE/>
        <w:autoSpaceDN/>
        <w:bidi w:val="0"/>
        <w:adjustRightInd/>
        <w:snapToGrid/>
        <w:spacing w:afterAutospacing="0" w:line="560" w:lineRule="exact"/>
        <w:ind w:left="0" w:firstLine="420" w:firstLineChars="200"/>
        <w:jc w:val="both"/>
        <w:textAlignment w:val="auto"/>
        <w:rPr>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FangSong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4637AD"/>
    <w:rsid w:val="6EDD8D13"/>
    <w:rsid w:val="6F776394"/>
    <w:rsid w:val="737F1664"/>
    <w:rsid w:val="759F63C9"/>
    <w:rsid w:val="774637AD"/>
    <w:rsid w:val="7FFFAAFE"/>
    <w:rsid w:val="9E7F7B5F"/>
    <w:rsid w:val="AFBF3DB6"/>
    <w:rsid w:val="AFFDB722"/>
    <w:rsid w:val="BBF37F74"/>
    <w:rsid w:val="D9FFDB7F"/>
    <w:rsid w:val="DB6F24C1"/>
    <w:rsid w:val="DC7CB626"/>
    <w:rsid w:val="EFCD23B8"/>
    <w:rsid w:val="EFFFA068"/>
    <w:rsid w:val="FDBC512C"/>
    <w:rsid w:val="FE7DB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unhideWhenUsed/>
    <w:qFormat/>
    <w:uiPriority w:val="0"/>
    <w:pPr>
      <w:ind w:firstLine="880" w:firstLineChars="200"/>
      <w:outlineLvl w:val="1"/>
    </w:pPr>
    <w:rPr>
      <w:rFonts w:hint="eastAsia" w:ascii="Times New Roman" w:hAnsi="Times New Roman" w:eastAsia="楷体"/>
      <w:b/>
      <w:kern w:val="0"/>
      <w:szCs w:val="36"/>
    </w:rPr>
  </w:style>
  <w:style w:type="paragraph" w:styleId="4">
    <w:name w:val="heading 3"/>
    <w:basedOn w:val="1"/>
    <w:next w:val="1"/>
    <w:qFormat/>
    <w:uiPriority w:val="0"/>
    <w:pPr>
      <w:widowControl/>
      <w:spacing w:before="100" w:beforeAutospacing="1" w:after="100" w:afterAutospacing="1"/>
      <w:jc w:val="left"/>
      <w:outlineLvl w:val="2"/>
    </w:pPr>
    <w:rPr>
      <w:rFonts w:hint="eastAsia" w:ascii="宋体" w:hAnsi="宋体"/>
      <w:b/>
      <w:sz w:val="27"/>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ind w:left="106"/>
    </w:pPr>
    <w:rPr>
      <w:rFonts w:ascii="宋体" w:hAnsi="宋体" w:cs="宋体"/>
      <w:sz w:val="32"/>
      <w:szCs w:val="32"/>
      <w:lang w:val="zh-CN" w:bidi="zh-CN"/>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2026-05-12T01:38:00Z</dcterms:created>
  <dc:creator>pc-jhchan</dc:creator>
  <cp:lastModifiedBy>王舒婷</cp:lastModifiedBy>
  <cp:lastPrinted>2026-06-06T15:28:00Z</cp:lastPrinted>
  <dcterms:modified xsi:type="dcterms:W3CDTF">2026-07-17T10:26:03Z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7E54BCF991CF4A3A9704B9D3E97D536C_11</vt:lpwstr>
  </property>
  <property fmtid="{D5CDD505-2E9C-101B-9397-08002B2CF9AE}" pid="4" name="KSOTemplateDocerSaveRecord">
    <vt:lpwstr>eyJoZGlkIjoiNjRiYWViZWM1Mzg5ZjdlOWM1OWM3MTU2YWM1MDg2NWEiLCJ1c2VySWQiOiIyNTk1NDM5MDcifQ==</vt:lpwstr>
  </property>
</Properties>
</file>