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72B0">
      <w:pPr>
        <w:spacing w:line="560" w:lineRule="exact"/>
        <w:rPr>
          <w:rFonts w:hint="eastAsia" w:ascii="仿宋_GB2312" w:hAnsi="仿宋_GB2312" w:cs="仿宋_GB2312"/>
          <w:szCs w:val="32"/>
        </w:rPr>
      </w:pPr>
      <w:bookmarkStart w:id="0" w:name="_GoBack"/>
      <w:bookmarkEnd w:id="0"/>
      <w:r>
        <w:rPr>
          <w:rFonts w:hint="eastAsia" w:ascii="黑体" w:hAnsi="黑体" w:eastAsia="黑体" w:cs="黑体"/>
          <w:szCs w:val="32"/>
        </w:rPr>
        <w:t>附件2</w:t>
      </w:r>
    </w:p>
    <w:p w14:paraId="2074EFE9">
      <w:pPr>
        <w:spacing w:line="560" w:lineRule="exact"/>
        <w:jc w:val="center"/>
        <w:rPr>
          <w:rFonts w:hint="eastAsia" w:ascii="方正小标宋简体" w:hAnsi="方正小标宋简体" w:eastAsia="方正小标宋简体" w:cs="方正小标宋简体"/>
          <w:sz w:val="44"/>
          <w:szCs w:val="44"/>
        </w:rPr>
      </w:pPr>
    </w:p>
    <w:p w14:paraId="7375763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深圳市科技创新局2026年度科技战略研究</w:t>
      </w:r>
    </w:p>
    <w:p w14:paraId="4D3F794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项目申报选题</w:t>
      </w:r>
    </w:p>
    <w:p w14:paraId="03F79561">
      <w:pPr>
        <w:spacing w:line="560" w:lineRule="exact"/>
        <w:ind w:firstLine="624" w:firstLineChars="200"/>
        <w:rPr>
          <w:rFonts w:hint="eastAsia" w:ascii="黑体" w:hAnsi="黑体" w:eastAsia="黑体" w:cs="黑体"/>
          <w:szCs w:val="32"/>
        </w:rPr>
      </w:pPr>
    </w:p>
    <w:p w14:paraId="0FA9039F">
      <w:pPr>
        <w:spacing w:line="560" w:lineRule="exact"/>
        <w:ind w:firstLine="624" w:firstLineChars="200"/>
        <w:rPr>
          <w:rFonts w:hint="eastAsia" w:ascii="黑体" w:hAnsi="黑体" w:eastAsia="黑体" w:cs="黑体"/>
          <w:szCs w:val="32"/>
        </w:rPr>
      </w:pPr>
      <w:r>
        <w:rPr>
          <w:rFonts w:hint="eastAsia" w:ascii="黑体" w:hAnsi="黑体" w:eastAsia="黑体" w:cs="黑体"/>
          <w:szCs w:val="32"/>
        </w:rPr>
        <w:t>一、重点项目</w:t>
      </w:r>
    </w:p>
    <w:p w14:paraId="35977C9A">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1.项目名称：</w:t>
      </w:r>
      <w:r>
        <w:rPr>
          <w:rFonts w:hint="eastAsia" w:ascii="仿宋_GB2312" w:hAnsi="仿宋_GB2312" w:cs="仿宋_GB2312"/>
          <w:szCs w:val="32"/>
        </w:rPr>
        <w:t>深圳打造应用牵引型世界科学中心城市的路径研究</w:t>
      </w:r>
    </w:p>
    <w:p w14:paraId="1FD384F3">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明确“世界科学中心城市”单一城市尺度的概念边界，对比其与“国家科学中心”的核心差异，研判深圳相较于北京、上海的差异化发展基础与比较优势。聚焦“应用牵引＋企业主导＋制度型开放”新范式，系统论证深圳建设世界科学中心城市的差异化发展路径，制定5—10年能级提升的落地路径与可量化指标体系。形成《“应用牵引型”科学中心城市：理论框架与深圳路径》《深圳科学中心城市能级评估指标体系（2026—2035）》等研究报告。</w:t>
      </w:r>
    </w:p>
    <w:p w14:paraId="594AF044">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2.项目名称：</w:t>
      </w:r>
      <w:r>
        <w:rPr>
          <w:rFonts w:hint="eastAsia" w:ascii="仿宋_GB2312" w:hAnsi="仿宋_GB2312" w:cs="仿宋_GB2312"/>
          <w:szCs w:val="32"/>
        </w:rPr>
        <w:t>深圳企业牵引型基础研究供给模式机制研究</w:t>
      </w:r>
    </w:p>
    <w:p w14:paraId="0489A48A">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针对深圳基础研究投入结构优化需求，明确市级财政科技研发资金30%投向基础研究的落地实施路径。梳理分析华为、比亚迪、腾讯等龙头企业基础研究与财政资金资助协同发力机制，构建“政府＋龙头企业＋社会资本”三方共担的基础研究新供给模式，设计产业需</w:t>
      </w:r>
      <w:r>
        <w:rPr>
          <w:rFonts w:hint="eastAsia" w:ascii="仿宋_GB2312" w:hAnsi="仿宋_GB2312" w:cs="仿宋_GB2312"/>
          <w:kern w:val="0"/>
          <w:szCs w:val="32"/>
          <w:shd w:val="clear" w:color="auto" w:fill="FFFFFF"/>
          <w:lang w:bidi="ar"/>
        </w:rPr>
        <w:t>求反</w:t>
      </w:r>
      <w:r>
        <w:rPr>
          <w:rFonts w:hint="eastAsia" w:ascii="仿宋_GB2312" w:hAnsi="仿宋_GB2312" w:cs="仿宋_GB2312"/>
          <w:kern w:val="0"/>
          <w:szCs w:val="32"/>
          <w:lang w:bidi="ar"/>
        </w:rPr>
        <w:t>向牵引原始创新的制度路径，完善非共识项目识别标准、容错机制与长周期稳定支持体系。形成《深圳基础研究投入结构优化与三方共担机制研究报告》《深圳市非共识科技项目遴选管理模式构建》等研究报告。</w:t>
      </w:r>
    </w:p>
    <w:p w14:paraId="61A8D123">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3.项目名称</w:t>
      </w:r>
      <w:r>
        <w:rPr>
          <w:rFonts w:hint="eastAsia" w:ascii="仿宋_GB2312" w:hAnsi="仿宋_GB2312" w:cs="仿宋_GB2312"/>
          <w:szCs w:val="32"/>
        </w:rPr>
        <w:t>：构建具有深圳特色的教育科技人才一体发展综合评价体系研究</w:t>
      </w:r>
    </w:p>
    <w:p w14:paraId="568FBF4A">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全面梳理国家教育科技人才一体发展的战略要求，借鉴中央科技办及北京、上海、浙江、广东等先进地区的评价、监测、考核相关经验，聚焦人才培养质量、科技创新贡献、人才集聚效能、资源投入产出等核心维度，设置可量化、可比较、可考核、可应用的综合评价指标体系，明确指标内涵、数据来源、权重方法与评价标准。建立指标动态监测与评估机制，综合研判深圳教育科技人才一体化发展进程，制定评价结果与政策优化、资源配置、资金投向、绩效考核、激励约束挂钩的实施路径，提出可落地的评价制度与操作规范，形成系统性研究报告。</w:t>
      </w:r>
    </w:p>
    <w:p w14:paraId="3FAB6F88">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4.项目名称：</w:t>
      </w:r>
      <w:r>
        <w:rPr>
          <w:rFonts w:hint="eastAsia" w:ascii="仿宋_GB2312" w:hAnsi="仿宋_GB2312" w:cs="仿宋_GB2312"/>
          <w:szCs w:val="32"/>
        </w:rPr>
        <w:t>深圳高层次科技人才“破四唯”与全球引才互认机制研究</w:t>
      </w:r>
    </w:p>
    <w:p w14:paraId="03889630">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落实人才评价“破四唯”改革要求，针对基础研究、应用研究、产业化人才设计差异化分类评价标准，适配“一人公司”、零工经济、跨学科协作等新人才形态的评价需求，构建深圳</w:t>
      </w:r>
      <w:r>
        <w:rPr>
          <w:rFonts w:hint="eastAsia" w:ascii="仿宋_GB2312" w:hAnsi="仿宋_GB2312" w:cs="仿宋_GB2312"/>
          <w:kern w:val="0"/>
          <w:szCs w:val="32"/>
          <w:shd w:val="clear" w:color="auto" w:fill="FFFFFF"/>
          <w:lang w:bidi="ar"/>
        </w:rPr>
        <w:t>与香港、新加坡</w:t>
      </w:r>
      <w:r>
        <w:rPr>
          <w:rFonts w:hint="eastAsia" w:ascii="仿宋_GB2312" w:hAnsi="仿宋_GB2312" w:cs="仿宋_GB2312"/>
          <w:kern w:val="0"/>
          <w:szCs w:val="32"/>
          <w:lang w:bidi="ar"/>
        </w:rPr>
        <w:t>、伦敦、东京等全球重点城市的人才资质互认机制，完善长周期考核、成果赋权、拨投结合等创新激励制度，建立适配AI时代的多元化科技人才评价体系。形成《深圳高层次科技人才分类评价标准》《全球引才互认清单与实施方案》等研究报告。</w:t>
      </w:r>
    </w:p>
    <w:p w14:paraId="449A8EAF">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5.项目名称：</w:t>
      </w:r>
      <w:r>
        <w:rPr>
          <w:rFonts w:hint="eastAsia" w:ascii="仿宋_GB2312" w:hAnsi="仿宋_GB2312" w:cs="仿宋_GB2312"/>
          <w:szCs w:val="32"/>
        </w:rPr>
        <w:t>全球算力升维竞争下深圳战略路径研究</w:t>
      </w:r>
    </w:p>
    <w:p w14:paraId="26132B13">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研判全球算力升维竞争的整体态势与格局，对比中美算力基础条件的核心差异，系统评估深圳算力建设的现有优势、核心短板与多元路径选择。论证深圳在全球算力升维竞争中的差异化发展路径，研判太空算力的技术经济逻辑与战略方向，明确招商、自建、连接、综合等算力建设模式的实施策略。形成《全球算力升维竞争态势研判报告》《深圳算力发展战略路径研究（2026—2030）》等研究报告。</w:t>
      </w:r>
    </w:p>
    <w:p w14:paraId="2950B5E9">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6.项目名称：</w:t>
      </w:r>
      <w:r>
        <w:rPr>
          <w:rFonts w:hint="eastAsia" w:ascii="仿宋_GB2312" w:hAnsi="仿宋_GB2312" w:cs="仿宋_GB2312"/>
          <w:szCs w:val="32"/>
        </w:rPr>
        <w:t>智能经济新形态下深圳生产关系重构与治理机制创新</w:t>
      </w:r>
    </w:p>
    <w:p w14:paraId="4E37A317">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szCs w:val="32"/>
        </w:rPr>
        <w:t>深入</w:t>
      </w:r>
      <w:r>
        <w:rPr>
          <w:rFonts w:hint="eastAsia" w:ascii="仿宋_GB2312" w:hAnsi="仿宋_GB2312" w:cs="仿宋_GB2312"/>
          <w:kern w:val="0"/>
          <w:szCs w:val="32"/>
          <w:lang w:bidi="ar"/>
        </w:rPr>
        <w:t>剖析AI对劳动者形态、劳动力市场组织、就业结构、收入分配的根本性影响，厘清智能与人类、智能与制度、智能与文明的深层互动关系。聚焦深圳中国特色社会主义先行示范区定位，探索“AI红利全民共享”的制度安排，设计机器人税、资产增值收益公共化、国有资本优先参与等试点方案，构建适配智能经济的新型社保体系、终身学习公共账户与算法管理下的劳动权益保护机制。形成《AI驱动下生产关系变革：全球趋势与深圳治理模式探索》《深圳市“AI红利共享”试点方案（建议稿）》等研究报告。</w:t>
      </w:r>
    </w:p>
    <w:p w14:paraId="0F908BFA">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7.项目名称：</w:t>
      </w:r>
      <w:r>
        <w:rPr>
          <w:rFonts w:hint="eastAsia" w:ascii="仿宋_GB2312" w:hAnsi="仿宋_GB2312" w:cs="仿宋_GB2312"/>
          <w:szCs w:val="32"/>
        </w:rPr>
        <w:t>AI for Science科研范式跃迁与鹏城科学智能枢纽建设研究</w:t>
      </w:r>
    </w:p>
    <w:p w14:paraId="3A81D684">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研判全球AI for Science 发展趋势与核心布局方向，明确其相较于传统非共识研究的紧迫性与必要性。结合深圳鹏城云脑Ⅲ、超算中心等现有重大科技基础设施和大科学装置，论证AI for Science 与重大科技基础设施深度融合的路径，明确深圳优先布局的AI＋生物医药、新材料、具</w:t>
      </w:r>
      <w:r>
        <w:rPr>
          <w:rFonts w:hint="eastAsia" w:ascii="仿宋_GB2312" w:hAnsi="仿宋_GB2312" w:cs="仿宋_GB2312"/>
          <w:kern w:val="0"/>
          <w:szCs w:val="32"/>
          <w:shd w:val="clear" w:color="auto" w:fill="FFFFFF"/>
          <w:lang w:bidi="ar"/>
        </w:rPr>
        <w:t>身智</w:t>
      </w:r>
      <w:r>
        <w:rPr>
          <w:rFonts w:hint="eastAsia" w:ascii="仿宋_GB2312" w:hAnsi="仿宋_GB2312" w:cs="仿宋_GB2312"/>
          <w:kern w:val="0"/>
          <w:szCs w:val="32"/>
          <w:lang w:bidi="ar"/>
        </w:rPr>
        <w:t>能、量子科技等重点学科领域，对标国际先进经验制定鹏城科学智能枢纽建设方案。形成《AI for Science科研范式跃迁：全球趋势与深圳布局》《鹏城科学智能枢纽建设方案（2026—2030）》等研究报告。</w:t>
      </w:r>
    </w:p>
    <w:p w14:paraId="1F5B436F">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8.项目名称：</w:t>
      </w:r>
      <w:r>
        <w:rPr>
          <w:rFonts w:hint="eastAsia" w:ascii="仿宋_GB2312" w:hAnsi="仿宋_GB2312" w:cs="仿宋_GB2312"/>
          <w:szCs w:val="32"/>
        </w:rPr>
        <w:t>APEC框架下深圳科技合作能力建设与策略研究</w:t>
      </w:r>
    </w:p>
    <w:p w14:paraId="67BB3F09">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color w:val="000000"/>
          <w:kern w:val="0"/>
          <w:szCs w:val="32"/>
          <w:lang w:bidi="ar"/>
        </w:rPr>
        <w:t>抢抓2026年11月APEC第三十三次领导人非正式会议在深圳举办的重大机遇，系统梳理APEC框架下科技合作的发展趋势与核心机制，评估深圳国际科技合作的现有基础与能力，明确深圳可主导的数字经济、AI治理、跨境数据流通、绿色科技等核心科技议题，系统构建深圳面向全球的科技合作网络与议题设置能力，提出深圳强化科技外交能力建设策略。形成《APEC框架下深圳国际科技合作战略研究报告》《深圳以APEC为契机提升科技外交能力行动方案（建议稿）》等研究报告。</w:t>
      </w:r>
    </w:p>
    <w:p w14:paraId="2BEC6CA4">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9.项目名称：</w:t>
      </w:r>
      <w:r>
        <w:rPr>
          <w:rFonts w:hint="eastAsia" w:ascii="仿宋_GB2312" w:hAnsi="仿宋_GB2312" w:cs="仿宋_GB2312"/>
          <w:szCs w:val="32"/>
        </w:rPr>
        <w:t>OR（OpenHarmony+RISC-V）</w:t>
      </w:r>
      <w:r>
        <w:rPr>
          <w:rFonts w:hint="eastAsia" w:ascii="仿宋_GB2312" w:hAnsi="仿宋_GB2312" w:cs="仿宋_GB2312"/>
          <w:szCs w:val="32"/>
          <w:shd w:val="clear" w:color="auto" w:fill="FFFFFF"/>
        </w:rPr>
        <w:t>双</w:t>
      </w:r>
      <w:r>
        <w:rPr>
          <w:rFonts w:hint="eastAsia" w:ascii="仿宋_GB2312" w:hAnsi="仿宋_GB2312" w:cs="仿宋_GB2312"/>
          <w:szCs w:val="32"/>
        </w:rPr>
        <w:t>开源策略下深圳开放创新合作研究</w:t>
      </w:r>
    </w:p>
    <w:p w14:paraId="48094132">
      <w:pPr>
        <w:widowControl/>
        <w:spacing w:line="560" w:lineRule="exact"/>
        <w:ind w:firstLine="624" w:firstLineChars="200"/>
        <w:rPr>
          <w:rFonts w:hint="eastAsia" w:ascii="仿宋_GB2312" w:hAnsi="仿宋_GB2312" w:cs="仿宋_GB2312"/>
          <w:b/>
          <w:bCs/>
          <w:color w:val="000000"/>
          <w:kern w:val="0"/>
          <w:szCs w:val="32"/>
          <w:lang w:bidi="ar"/>
        </w:rPr>
      </w:pPr>
      <w:r>
        <w:rPr>
          <w:rFonts w:hint="eastAsia" w:ascii="仿宋_GB2312" w:hAnsi="仿宋_GB2312" w:cs="仿宋_GB2312"/>
          <w:b/>
          <w:bCs/>
          <w:szCs w:val="32"/>
        </w:rPr>
        <w:t>研究内容：</w:t>
      </w:r>
      <w:r>
        <w:rPr>
          <w:rFonts w:hint="eastAsia" w:ascii="仿宋_GB2312" w:hAnsi="仿宋_GB2312" w:cs="仿宋_GB2312"/>
          <w:color w:val="000000"/>
          <w:kern w:val="0"/>
          <w:szCs w:val="32"/>
          <w:lang w:bidi="ar"/>
        </w:rPr>
        <w:t>聚焦OpenHarmony操作系统与RISC-V芯片架构双开源技术体系的深度融合，系统研判全球“芯片—操作系统”双开源协同的技术演进逻辑、开源生态格局、产业竞争态势与标准治理规则，形成年度技术趋势观察与重点议题研判。全面梳理我国及深圳在RISC-V底层芯片设计、IP核、开发工具链，OpenHarmony开源基座、基础软件，以及双开源适配终端应用、开源社区建设和复合型人才供给等全链条的发展基础，围绕RISC-V开源开放生态、人工智能与高性能计算</w:t>
      </w:r>
      <w:r>
        <w:rPr>
          <w:rFonts w:hint="eastAsia" w:ascii="仿宋_GB2312" w:hAnsi="仿宋_GB2312" w:cs="仿宋_GB2312"/>
          <w:color w:val="000000"/>
          <w:kern w:val="0"/>
          <w:szCs w:val="32"/>
          <w:lang w:eastAsia="zh-CN" w:bidi="ar"/>
        </w:rPr>
        <w:t>、</w:t>
      </w:r>
      <w:r>
        <w:rPr>
          <w:rFonts w:hint="eastAsia" w:ascii="仿宋_GB2312" w:hAnsi="仿宋_GB2312" w:cs="仿宋_GB2312"/>
          <w:color w:val="000000"/>
          <w:kern w:val="0"/>
          <w:szCs w:val="32"/>
          <w:lang w:bidi="ar"/>
        </w:rPr>
        <w:t>人才培养与生态建设等重点方向，形成产业链图谱。围绕双开源深度融合的“国际开源基座+开源社区+产业联盟+创新平台+应用场景”五位一体创新体系，研究国际协作、开源治理、标准协同、产业合作、人才培养和场景开放机制，提出系统性政策建议，形成综合研究报告及相关专题成果。</w:t>
      </w:r>
    </w:p>
    <w:p w14:paraId="04DF61A2">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10.项目名称：</w:t>
      </w:r>
      <w:r>
        <w:rPr>
          <w:rFonts w:hint="eastAsia" w:ascii="仿宋_GB2312" w:hAnsi="仿宋_GB2312" w:cs="仿宋_GB2312"/>
          <w:szCs w:val="32"/>
        </w:rPr>
        <w:t>深圳科技金融深度融合与“拨投结合”耐心资本培育研究</w:t>
      </w:r>
    </w:p>
    <w:p w14:paraId="6CA34932">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评估深圳科技金融体系发展现状，全面梳理创投基金、政府引导基金、科技信贷、知识产权质押融资等领域的发展成效与核心短板，破解“投早投小投硬科技”力度不足、耐心资本培育机制不健全等核心问题。设计“拨投结合”模式的全链条实施机制，明确政府科研项目支持、成功转股权、失败容错的全流程管理规则，构建耐心资本培育体系，制定长周期考核、国资基金让利、容错免责清单等配套机制创新方案。形成《深圳科技金融深度融合评估报告》《“拨投结合”与耐心资本培育机制创新建议》等研究报告。</w:t>
      </w:r>
    </w:p>
    <w:p w14:paraId="244789E2">
      <w:pPr>
        <w:spacing w:line="560" w:lineRule="exact"/>
        <w:ind w:firstLine="624" w:firstLineChars="200"/>
        <w:rPr>
          <w:rFonts w:hint="eastAsia" w:ascii="黑体" w:hAnsi="黑体" w:eastAsia="黑体" w:cs="黑体"/>
          <w:b/>
          <w:bCs/>
          <w:szCs w:val="32"/>
        </w:rPr>
      </w:pPr>
      <w:r>
        <w:rPr>
          <w:rFonts w:hint="eastAsia" w:ascii="黑体" w:hAnsi="黑体" w:eastAsia="黑体" w:cs="黑体"/>
          <w:szCs w:val="32"/>
        </w:rPr>
        <w:t>二、一般项目</w:t>
      </w:r>
    </w:p>
    <w:p w14:paraId="7636346D">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11.项目名称：</w:t>
      </w:r>
      <w:r>
        <w:rPr>
          <w:rFonts w:hint="eastAsia" w:ascii="仿宋_GB2312" w:hAnsi="仿宋_GB2312" w:cs="仿宋_GB2312"/>
          <w:szCs w:val="32"/>
        </w:rPr>
        <w:t>深圳促进多元主体投入基础研究的机制与政策研究</w:t>
      </w:r>
    </w:p>
    <w:p w14:paraId="313D1DE0">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梳理典型国家（地区）多元主体支持基础研究的先进经验、实施机制与政策措施，全面分析深圳基础研究经费投入现状与发展需求。聚焦企业、科研机构、高校、社会组织、个人等多元主体，研究提出鼓励和引导各类主体加大基础研究投入的总体思路、机制设计与配套政策建议，形成系统性研究报告，并按研发投入相关时间节点输出统计分析报告与决策参考。</w:t>
      </w:r>
    </w:p>
    <w:p w14:paraId="6158056D">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12.项目名称：</w:t>
      </w:r>
      <w:r>
        <w:rPr>
          <w:rFonts w:hint="eastAsia" w:ascii="仿宋_GB2312" w:hAnsi="仿宋_GB2312" w:cs="仿宋_GB2312"/>
          <w:szCs w:val="32"/>
        </w:rPr>
        <w:t>深圳高水平科技期刊开放建设模式研究</w:t>
      </w:r>
    </w:p>
    <w:p w14:paraId="12665BEB">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聚焦科技期刊在学术成果传播、学术话语权构建、科技软实力彰显中的核心作用，详细梳理深圳科技期刊建设的基本情况，聚焦半导体与集成电路、生物医药等深圳优势产业领域，深入分析期刊布局、开放程度、国际传播力等方面的短板弱项。对标国际顶级开源期刊提炼可复制、可落地的运营经验，提出适配深圳发展的高水平科技期刊开放建设模式，助力提升深圳在前沿基础研究领域的学术话语权与标准制定权，形成研究报告。</w:t>
      </w:r>
    </w:p>
    <w:p w14:paraId="78F53DE8">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13.项目名称：</w:t>
      </w:r>
      <w:r>
        <w:rPr>
          <w:rFonts w:hint="eastAsia" w:ascii="仿宋_GB2312" w:hAnsi="仿宋_GB2312" w:cs="仿宋_GB2312"/>
          <w:szCs w:val="32"/>
        </w:rPr>
        <w:t>新型研发机构基础研究公益性与科研机构活力平衡路径研究</w:t>
      </w:r>
    </w:p>
    <w:p w14:paraId="4E0D68C4">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针对新型研发机构基础研究公益性定位与市场化运营活力的平衡难题，全面梳理深圳新型研发机构的发展现状、运行模式与核心痛点，对标国内外先进地区新型研发机构管理的先进经验，系统分析公益性职能与市场化活力的内在协同逻辑，提出公益性定位与市场化运营协同发展的平衡路径，完善考核评价、激励约束、容错免责等配套管理机制，激发新型研发机构原始创新与产业服务活力，形成系统性研究报告与政策建议。</w:t>
      </w:r>
    </w:p>
    <w:p w14:paraId="07B9A94F">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14.项目名称：</w:t>
      </w:r>
      <w:r>
        <w:rPr>
          <w:rFonts w:hint="eastAsia" w:ascii="仿宋_GB2312" w:hAnsi="仿宋_GB2312" w:cs="仿宋_GB2312"/>
          <w:szCs w:val="32"/>
        </w:rPr>
        <w:t>AI时代深圳拔尖创新人才贯通式培养路径研究</w:t>
      </w:r>
    </w:p>
    <w:p w14:paraId="6BF26AA2">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详细梳理深圳科技赋能基础教育的现状，以及创新潜力学生的评价、选拔与培养工作成效，结合国内外先进城市拔尖创新人才培养的先进经验，立足深圳产业科技创新优势与基础教育综合改革试点定位，建立深圳拔尖创新人才“基础教育→高等教育→产业使用”全链条发现、培养、激励、使用机制，适配AI时代人才培养体系重构的核心需求，针对性提出深圳科技赋能基础教育、拔尖创新人才早期识别与贯通式培养的策略建议。形成《AI时代拔尖创新人才贯通式培养深圳方案》《基础教育阶段拔尖人才早期识别与培养指南》等研究报告。</w:t>
      </w:r>
    </w:p>
    <w:p w14:paraId="1B3CEE6E">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15.项目名称：</w:t>
      </w:r>
      <w:r>
        <w:rPr>
          <w:rFonts w:hint="eastAsia" w:ascii="仿宋_GB2312" w:hAnsi="仿宋_GB2312" w:cs="仿宋_GB2312"/>
          <w:szCs w:val="32"/>
        </w:rPr>
        <w:t>深圳“产教评”生态融合与高等职业教育特色化路径研究</w:t>
      </w:r>
    </w:p>
    <w:p w14:paraId="067A7781">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梳理深圳产教融合的现有模式、运行机制与典型案例，详细分析高校、科研机构与产业创新主体在科研攻关、成果转化、人才培养、平台建设等方面的职责分工、发展成效与难点堵点。聚焦深圳“高等职业教育＋产业”双轮驱动特色，论证“产教评”生态融合的制度设计，构建“产业需求→教育培养→评价反馈”的闭环机制，提出深圳高等职业教育特色化发展的实施路径与举措。形成《深圳“产教评”生态融合模式研究报告》《“20＋8”战略性新兴产业集群和未来产业人才支撑体系建设研究》等研究报告。</w:t>
      </w:r>
    </w:p>
    <w:p w14:paraId="47D39BD1">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16.项目名称：</w:t>
      </w:r>
      <w:r>
        <w:rPr>
          <w:rFonts w:hint="eastAsia" w:ascii="仿宋_GB2312" w:hAnsi="仿宋_GB2312" w:cs="仿宋_GB2312"/>
          <w:szCs w:val="32"/>
        </w:rPr>
        <w:t>深圳青年科技人才“引育留用服”全链条政策优化整合研究</w:t>
      </w:r>
    </w:p>
    <w:p w14:paraId="5F838FA4">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梳理深圳市级、各区青年科技人才在引进、培养、留存、使用、服务各环节的政策供给与实施成效，厘清“引育留用服”的内在逻辑、协同机制与现存问题。对标国内外先进城市青年科技人才全周期支持经验，围绕破除政策碎片化、提升协同效能、强化长周期稳定支持、完善分类评价、优化科教协同、畅通成果转化、强化服务便利化等核心方向，构建精准引才、潜心育才、安心留才、高效用才、暖心服务一体化的政策优化框架，提出全链条政策整合、机制创新与落地举措，形成系统性研究报告。</w:t>
      </w:r>
    </w:p>
    <w:p w14:paraId="46362415">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17.项目名称：</w:t>
      </w:r>
      <w:r>
        <w:rPr>
          <w:rFonts w:hint="eastAsia" w:ascii="仿宋_GB2312" w:hAnsi="仿宋_GB2312" w:cs="仿宋_GB2312"/>
          <w:szCs w:val="32"/>
        </w:rPr>
        <w:t>AI时代深圳就业结构转型预警与“再技能化”体系建设研究</w:t>
      </w:r>
    </w:p>
    <w:p w14:paraId="0C040CE1">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构建AI对深圳就业结构冲击的量化评估模型与中长期预警机制，对AI替代岗位、新增岗位、技能需求变化开展5年、10年维度的中长期预测，研判就业结构转型的核心趋势与关键节点。设计“创造性破坏”过渡窗口期的技能转型培训体系，构建终身学习公共账户、再就业缓冲机制的制度安排，完善灵活就业、零工经济、“一人公司”的社保覆盖路径，构建适配AI时代的“再技能化”应对体系。形成《AI对深圳就业结构影响评估与预警报告（2026—2035）》《深圳“再技能化”体系建设方案（建议稿）》等研究报告。</w:t>
      </w:r>
    </w:p>
    <w:p w14:paraId="6B7DA4A1">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18.项目名称：</w:t>
      </w:r>
      <w:r>
        <w:rPr>
          <w:rFonts w:hint="eastAsia" w:ascii="仿宋_GB2312" w:hAnsi="仿宋_GB2312" w:cs="仿宋_GB2312"/>
          <w:szCs w:val="32"/>
        </w:rPr>
        <w:t>深圳人工智能科技伦理风险监测预警机制及工具研究</w:t>
      </w:r>
    </w:p>
    <w:p w14:paraId="74F38429">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立足深圳AI产业治理需求，聚焦生成式AI、智能体引发的算法歧视、深度伪造、隐私侵蚀等高频伦理风险，针对医疗、金融、教育等重点应用场景，梳理AI全生命周期风险类型，构建风险分类分级谱系。提出完善人工智能科技伦理风险防范的系统性政策建议，研发自动化监测预警工具与态势感知模型，实现多领域AI科技伦理风险事件的实时搜集、自动分类、风险预判，形成风险月度、季度、年度报告机制，输出研究报告。</w:t>
      </w:r>
    </w:p>
    <w:p w14:paraId="6338F73B">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19.项目名称：</w:t>
      </w:r>
      <w:r>
        <w:rPr>
          <w:rFonts w:hint="eastAsia" w:ascii="仿宋_GB2312" w:hAnsi="仿宋_GB2312" w:cs="仿宋_GB2312"/>
          <w:szCs w:val="32"/>
        </w:rPr>
        <w:t>深圳面向东盟国家打造城市科技创新品牌路径研究</w:t>
      </w:r>
    </w:p>
    <w:p w14:paraId="68F62C26">
      <w:pPr>
        <w:widowControl/>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结合中国—东盟自贸区3.0版建设</w:t>
      </w:r>
      <w:r>
        <w:rPr>
          <w:rFonts w:hint="eastAsia" w:ascii="仿宋_GB2312" w:hAnsi="仿宋_GB2312" w:cs="仿宋_GB2312"/>
          <w:kern w:val="0"/>
          <w:szCs w:val="32"/>
          <w:shd w:val="clear" w:color="auto" w:fill="FFFFFF"/>
          <w:lang w:bidi="ar"/>
        </w:rPr>
        <w:t>与2026年</w:t>
      </w:r>
      <w:r>
        <w:rPr>
          <w:rFonts w:hint="eastAsia" w:ascii="仿宋_GB2312" w:hAnsi="仿宋_GB2312" w:cs="仿宋_GB2312"/>
          <w:kern w:val="0"/>
          <w:szCs w:val="32"/>
          <w:lang w:bidi="ar"/>
        </w:rPr>
        <w:t>APEC“深圳年”重大机遇，系统梳理深圳面向东盟打造科技创新品牌的现状，全面评估现有宣传推广成效。借鉴全球标杆科技城市国际品牌打造、跨文化传播、价值转化的先进经验范式，研究提出深圳面向东盟打造城市科技创新品牌的针对性、可落地的实施路径与对策建议，助力深圳科技企业深耕东盟市场、深化区域科技经贸合作、提升城市国际竞争力，形成系统性研究报告与系列宣传方案。</w:t>
      </w:r>
    </w:p>
    <w:p w14:paraId="25E0F9C8">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20.项目名称：</w:t>
      </w:r>
      <w:r>
        <w:rPr>
          <w:rFonts w:hint="eastAsia" w:ascii="仿宋_GB2312" w:hAnsi="仿宋_GB2312" w:cs="仿宋_GB2312"/>
          <w:szCs w:val="32"/>
        </w:rPr>
        <w:t>河套深港“制度型开放”重大改革突破与跨境科技合作研究</w:t>
      </w:r>
    </w:p>
    <w:p w14:paraId="5DFC0D8B">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紧扣河套深港科技创新合作区依托“一国两制”推进科技领域制度型开放核心命题，立足合作区专项条例法定支撑，深入分析跨境科研规则差异带来的合作堵点，搭建适配河套区位特征的制度型开放完整理论框架与分层落地实施路径。围绕跨境科研全链条制度改革攻坚，系统研究科研物资便捷通关、跨境科研资金自由拨付、科研数据安全有序流通、两地知识产权协同保护互认等关键领域规则重塑方案，以系统性制度衔接实现跨境深度协同创新。形成《河套合作区制度型开放路径研究报告》《深港科技合作规则衔接清单与实施方案（建议稿）》等研究报告。</w:t>
      </w:r>
    </w:p>
    <w:p w14:paraId="2B1D277C">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21.项目名称：</w:t>
      </w:r>
      <w:r>
        <w:rPr>
          <w:rFonts w:hint="eastAsia" w:ascii="仿宋_GB2312" w:hAnsi="仿宋_GB2312" w:cs="仿宋_GB2312"/>
          <w:szCs w:val="32"/>
        </w:rPr>
        <w:t>科技领军企业培育机制与产业链生态构建研究</w:t>
      </w:r>
    </w:p>
    <w:p w14:paraId="3BB2317D">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对</w:t>
      </w:r>
      <w:r>
        <w:rPr>
          <w:rFonts w:hint="eastAsia" w:ascii="仿宋_GB2312" w:hAnsi="仿宋_GB2312" w:cs="仿宋_GB2312"/>
          <w:kern w:val="0"/>
          <w:szCs w:val="32"/>
          <w:shd w:val="clear" w:color="auto" w:fill="FFFFFF"/>
          <w:lang w:bidi="ar"/>
        </w:rPr>
        <w:t>标</w:t>
      </w:r>
      <w:r>
        <w:rPr>
          <w:rFonts w:hint="eastAsia" w:ascii="仿宋_GB2312" w:hAnsi="仿宋_GB2312" w:cs="仿宋_GB2312"/>
          <w:kern w:val="0"/>
          <w:szCs w:val="32"/>
          <w:lang w:bidi="ar"/>
        </w:rPr>
        <w:t>科技领军企业核心内涵，系统梳理国内多地区“雏鹰—瞪羚—专精特新—科技领军”企业梯度培育实践与全球标杆领军企业成长演化规律，研判当前科技领军企业培育、产业链融通、协同创新体系存在的深层次短板，构建全国通用、分层分类的科技领军企业长效培育体系，明晰遴选标准、动态管理、梯度扶持全流程机制。围绕科技领军企业牵头攻关要求，搭建以科技领军企业为核心、高校科研院所支撑、大中小企业融通的任务型创新联合体运行模式，完善产业链技术共研、资源共享、场景开放、标准共建协同机制，打造</w:t>
      </w:r>
      <w:r>
        <w:rPr>
          <w:rFonts w:hint="eastAsia" w:ascii="仿宋_GB2312" w:hAnsi="仿宋_GB2312" w:cs="仿宋_GB2312"/>
          <w:kern w:val="0"/>
          <w:szCs w:val="32"/>
          <w:shd w:val="clear" w:color="auto" w:fill="FFFFFF"/>
          <w:lang w:bidi="ar"/>
        </w:rPr>
        <w:t>链</w:t>
      </w:r>
      <w:r>
        <w:rPr>
          <w:rFonts w:hint="eastAsia" w:ascii="仿宋_GB2312" w:hAnsi="仿宋_GB2312" w:cs="仿宋_GB2312"/>
          <w:kern w:val="0"/>
          <w:szCs w:val="32"/>
          <w:lang w:bidi="ar"/>
        </w:rPr>
        <w:t>主牵引、多元主体共生、自主可控的现代化产业链创新生态，形成研究报告。</w:t>
      </w:r>
    </w:p>
    <w:p w14:paraId="74D5E50A">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22.项目名称：</w:t>
      </w:r>
      <w:r>
        <w:rPr>
          <w:rFonts w:hint="eastAsia" w:ascii="仿宋_GB2312" w:hAnsi="仿宋_GB2312" w:cs="仿宋_GB2312"/>
          <w:szCs w:val="32"/>
        </w:rPr>
        <w:t>深圳量子科技培育区2.0与“标准话语权”抢占研究</w:t>
      </w:r>
    </w:p>
    <w:p w14:paraId="548539DA">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把握国家量子信息标准化技术委员会成立的重大机遇，系统研判全球量子科技发展趋势与竞争格局，梳理深圳在超导、光量、硅基、中性原子、拓扑、离子阱六大技术路线的发展基础与布局现状，明确未来5年量子科技可能带来的突破性进展。制定深圳量子科技培育区2.0建设方案，打造适宜量子科技企业快速成长的创新生态，前瞻谋划量子科技标准话语权抢占的行动路径与配套政策。形成《深圳量子科技培育区2.0建设方案》《深圳抢抓量子标准话语权行动方案（建议稿）》等研究报告。</w:t>
      </w:r>
    </w:p>
    <w:p w14:paraId="606A92F3">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23.项目名称：</w:t>
      </w:r>
      <w:r>
        <w:rPr>
          <w:rFonts w:hint="eastAsia" w:ascii="仿宋_GB2312" w:hAnsi="仿宋_GB2312" w:cs="仿宋_GB2312"/>
          <w:szCs w:val="32"/>
        </w:rPr>
        <w:t>深圳第四代半导体未来产业培育机制研究</w:t>
      </w:r>
    </w:p>
    <w:p w14:paraId="087ACD6A">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研判全球第四代半导体产业发展趋势与竞争格局，对标上海、杭州、郑州等地区第四代半导体产业布局，分析深圳在氧化镓、金刚石、氮化铝、锑化物等核心技术方向的产业基础与差异化竞争优势。聚焦“应用牵引＋系统集成”的差异化培育路径，制定深圳第四代半导体未来产业培育方案，提出特色园区布局建议，助力深圳抢占第四代半导体产业赛道。形成《深圳第四代半导体未来产业培育方案（2026—2030）》《深圳第四代半导体特色园区布局建议》等研究报告。</w:t>
      </w:r>
    </w:p>
    <w:p w14:paraId="0F6105C8">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24.项目名称：</w:t>
      </w:r>
      <w:r>
        <w:rPr>
          <w:rFonts w:hint="eastAsia" w:ascii="仿宋_GB2312" w:hAnsi="仿宋_GB2312" w:cs="仿宋_GB2312"/>
          <w:szCs w:val="32"/>
        </w:rPr>
        <w:t>深圳“AI+具身智能”产业跃升路径研究</w:t>
      </w:r>
    </w:p>
    <w:p w14:paraId="498DE7E7">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结合深圳机器人产业雄厚基础与龙头企业发展优势，系统梳理具身智能、人形机器人产业链核心环节的发展现状，剖析伺服电机、减速器、控制器、传感器等核心部件的产业优势与短板，研判深圳具身智能产业发展的核心机遇与挑战，制定产业跃升路径与产业链</w:t>
      </w:r>
      <w:r>
        <w:rPr>
          <w:rFonts w:hint="eastAsia" w:ascii="仿宋_GB2312" w:hAnsi="仿宋_GB2312" w:cs="仿宋_GB2312"/>
          <w:kern w:val="0"/>
          <w:szCs w:val="32"/>
          <w:shd w:val="clear" w:color="auto" w:fill="FFFFFF"/>
          <w:lang w:bidi="ar"/>
        </w:rPr>
        <w:t>卡位</w:t>
      </w:r>
      <w:r>
        <w:rPr>
          <w:rFonts w:hint="eastAsia" w:ascii="仿宋_GB2312" w:hAnsi="仿宋_GB2312" w:cs="仿宋_GB2312"/>
          <w:kern w:val="0"/>
          <w:szCs w:val="32"/>
          <w:lang w:bidi="ar"/>
        </w:rPr>
        <w:t>策略。形成《深圳“AI＋具身智能”产业跃升路径研究报告》《深圳人形机器人产业链</w:t>
      </w:r>
      <w:r>
        <w:rPr>
          <w:rFonts w:hint="eastAsia" w:ascii="仿宋_GB2312" w:hAnsi="仿宋_GB2312" w:cs="仿宋_GB2312"/>
          <w:kern w:val="0"/>
          <w:szCs w:val="32"/>
          <w:shd w:val="clear" w:color="auto" w:fill="FFFFFF"/>
          <w:lang w:bidi="ar"/>
        </w:rPr>
        <w:t>卡</w:t>
      </w:r>
      <w:r>
        <w:rPr>
          <w:rFonts w:hint="eastAsia" w:ascii="仿宋_GB2312" w:hAnsi="仿宋_GB2312" w:cs="仿宋_GB2312"/>
          <w:kern w:val="0"/>
          <w:szCs w:val="32"/>
          <w:lang w:bidi="ar"/>
        </w:rPr>
        <w:t>位分析》等研究报告。</w:t>
      </w:r>
    </w:p>
    <w:p w14:paraId="6CD5110E">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25.项目名称：</w:t>
      </w:r>
      <w:r>
        <w:rPr>
          <w:rFonts w:hint="eastAsia" w:ascii="仿宋_GB2312" w:hAnsi="仿宋_GB2312" w:cs="仿宋_GB2312"/>
          <w:szCs w:val="32"/>
        </w:rPr>
        <w:t>深圳科技服务业与制造业深度融合协同发展路径研究</w:t>
      </w:r>
    </w:p>
    <w:p w14:paraId="721605E1">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系统梳理国家及广东省推动科技服务业与制造业深度融合的工作部署与政策要求，全面分析深圳科技服务业发展现状，及其在创新链、产业链各环节中的支撑作用，厘清深圳“两业”融合发展的制度障碍与生态短板，对标国内城市“两业”融合的先进经验，针对性提出“两业”深度融合协同发展的实施路径、重点任务与政策建议，形成系统性研究报告。</w:t>
      </w:r>
    </w:p>
    <w:p w14:paraId="15450100">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26.项目名称：</w:t>
      </w:r>
      <w:r>
        <w:rPr>
          <w:rFonts w:hint="eastAsia" w:ascii="仿宋_GB2312" w:hAnsi="仿宋_GB2312" w:cs="仿宋_GB2312"/>
          <w:szCs w:val="32"/>
        </w:rPr>
        <w:t>深圳重点产业科技安全风险识别评估与应对机制研究</w:t>
      </w:r>
    </w:p>
    <w:p w14:paraId="7938FF8E">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立足深圳对外开放与国际竞争合作前沿定位，系统梳理科技安全的内涵、外延与分类，围绕深圳战略性新兴产业与未来产业，开展全维度科技安全风险摸排，识别关键核心技术、供应链、产业链等领域的薄弱环节与风险点。借鉴国内外科技安全治理的先进机制与应对策略，构建深圳科技安全风险评估指标体系，提出风险监测预警、应急响应与制度保障机制，对5个以上重点产业的科技安全风险开展量化评估，形成分产业的指标体系与研究报告。</w:t>
      </w:r>
    </w:p>
    <w:p w14:paraId="7BDA64F5">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27.项目名称：</w:t>
      </w:r>
      <w:r>
        <w:rPr>
          <w:rFonts w:hint="eastAsia" w:ascii="仿宋_GB2312" w:hAnsi="仿宋_GB2312" w:cs="仿宋_GB2312"/>
          <w:szCs w:val="32"/>
        </w:rPr>
        <w:t>深圳“科创—产业”融合新生态与多主体竞争机制研究</w:t>
      </w:r>
    </w:p>
    <w:p w14:paraId="5E7348B8">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立足深圳创新生态建设需求，系统梳理深圳企业主体创新活力的核心来源与发展规律，围绕深圳独角兽、专精特新企业的规模优势，制定新竞争主体的培育机制，破解创新过度押注单一龙头的潜在风险。构建“政府—企业—科研机构—资本”四方协同的“科创—产业”融合新生态框架，完善多主体创新竞争机制，打造良性循环创新发展格局。形成《深圳“科创—产业”融合新生态研究报告》《深圳多主体创新竞争机制建设方案（建议稿）》等研究报告。</w:t>
      </w:r>
    </w:p>
    <w:p w14:paraId="252E143A">
      <w:pPr>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28.项目名称：</w:t>
      </w:r>
      <w:r>
        <w:rPr>
          <w:rFonts w:hint="eastAsia" w:ascii="仿宋_GB2312" w:hAnsi="仿宋_GB2312" w:cs="仿宋_GB2312"/>
          <w:szCs w:val="32"/>
        </w:rPr>
        <w:t>适配AI快速迭代研发特征的深圳科技项目资助和科研评价体系重构策略研究</w:t>
      </w:r>
    </w:p>
    <w:p w14:paraId="6E7371B4">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面向科技强国建设与粤港澳大湾区国际科技创新中心核心引擎定位要求，系统梳理国家相关部委、广东省及北京、上海等先进地区科技计划体系建设的先进经验，全面分析深圳现有科技计划体系在战略定位、结构布局、资源配置、管理机制等方面的现状、成效与短板。针对AI技术快速迭代的研发特征，提出深圳科技项目资助模式与科研评价体系的重构策略，完善分类评价、长周期考核、容错支持等配套机制，形成系统性研究报告与框架方案。</w:t>
      </w:r>
    </w:p>
    <w:p w14:paraId="3BF52DEA">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29.项目名称：</w:t>
      </w:r>
      <w:r>
        <w:rPr>
          <w:rFonts w:hint="eastAsia" w:ascii="仿宋_GB2312" w:hAnsi="仿宋_GB2312" w:cs="仿宋_GB2312"/>
          <w:szCs w:val="32"/>
        </w:rPr>
        <w:t>深圳全市域科创资源空间要素统筹及时空知识图谱构建研究</w:t>
      </w:r>
    </w:p>
    <w:p w14:paraId="1CB3FFD9">
      <w:pPr>
        <w:widowControl/>
        <w:spacing w:line="560" w:lineRule="exact"/>
        <w:ind w:firstLine="624" w:firstLineChars="200"/>
        <w:rPr>
          <w:rFonts w:hint="eastAsia" w:ascii="仿宋_GB2312" w:hAnsi="仿宋_GB2312" w:cs="仿宋_GB2312"/>
          <w:b/>
          <w:bCs/>
          <w:szCs w:val="32"/>
        </w:rPr>
      </w:pPr>
      <w:r>
        <w:rPr>
          <w:rFonts w:hint="eastAsia" w:ascii="仿宋_GB2312" w:hAnsi="仿宋_GB2312" w:cs="仿宋_GB2312"/>
          <w:b/>
          <w:bCs/>
          <w:szCs w:val="32"/>
        </w:rPr>
        <w:t>研究内容：</w:t>
      </w:r>
      <w:r>
        <w:rPr>
          <w:rFonts w:hint="eastAsia" w:ascii="仿宋_GB2312" w:hAnsi="仿宋_GB2312" w:cs="仿宋_GB2312"/>
          <w:kern w:val="0"/>
          <w:szCs w:val="32"/>
          <w:lang w:bidi="ar"/>
        </w:rPr>
        <w:t>聚焦深圳超大城市科创资源空间要素统筹与空间治理难点，针对科创数据多源异构、语义割裂、空间匹配失衡等核心问题，依托空间智能计算与时序知识图谱耦合方法开展体系化研究。整合创新主体、人才、载体、科研成果、财政科创投入等全域异构数据，攻克非结构化地址精准定位难题，完成科创实体语义信息与空间信息一体化标准化表达。搭建深圳全域科创资源时空知识图谱，构建多维融合知识体系，挖掘科创资源隐性关联及时空演化机制，研发科创资源空间分布态势模型，实现科创资源全景可视化、布局优化推演等管控应用，形成一套应用展示系统。</w:t>
      </w:r>
    </w:p>
    <w:p w14:paraId="4324F32F">
      <w:pPr>
        <w:spacing w:line="560" w:lineRule="exact"/>
        <w:ind w:firstLine="624" w:firstLineChars="200"/>
        <w:rPr>
          <w:rFonts w:hint="eastAsia" w:ascii="仿宋_GB2312" w:hAnsi="仿宋_GB2312" w:cs="仿宋_GB2312"/>
          <w:szCs w:val="32"/>
        </w:rPr>
      </w:pPr>
      <w:r>
        <w:rPr>
          <w:rFonts w:hint="eastAsia" w:ascii="仿宋_GB2312" w:hAnsi="仿宋_GB2312" w:cs="仿宋_GB2312"/>
          <w:b/>
          <w:bCs/>
          <w:szCs w:val="32"/>
        </w:rPr>
        <w:t>30.项目名称：</w:t>
      </w:r>
      <w:r>
        <w:rPr>
          <w:rFonts w:hint="eastAsia" w:ascii="仿宋_GB2312" w:hAnsi="仿宋_GB2312" w:cs="仿宋_GB2312"/>
          <w:szCs w:val="32"/>
        </w:rPr>
        <w:t>深圳加强科技创新与标准化协同发展策略研究</w:t>
      </w:r>
    </w:p>
    <w:p w14:paraId="21D57522">
      <w:pPr>
        <w:widowControl/>
        <w:spacing w:line="560" w:lineRule="exact"/>
        <w:ind w:firstLine="624" w:firstLineChars="200"/>
      </w:pPr>
      <w:r>
        <w:rPr>
          <w:rFonts w:hint="eastAsia" w:ascii="仿宋_GB2312" w:hAnsi="仿宋_GB2312" w:cs="仿宋_GB2312"/>
          <w:b/>
          <w:bCs/>
          <w:szCs w:val="32"/>
        </w:rPr>
        <w:t>研究内容：</w:t>
      </w:r>
      <w:r>
        <w:rPr>
          <w:rFonts w:hint="eastAsia" w:ascii="仿宋_GB2312" w:hAnsi="仿宋_GB2312" w:cs="仿宋_GB2312"/>
          <w:kern w:val="0"/>
          <w:szCs w:val="32"/>
          <w:lang w:bidi="ar"/>
        </w:rPr>
        <w:t>聚焦深圳关键新兴领域与核心技术，对</w:t>
      </w:r>
      <w:r>
        <w:rPr>
          <w:rFonts w:hint="eastAsia" w:ascii="仿宋_GB2312" w:hAnsi="仿宋_GB2312" w:cs="仿宋_GB2312"/>
          <w:kern w:val="0"/>
          <w:szCs w:val="32"/>
          <w:shd w:val="clear" w:color="auto" w:fill="FFFFFF"/>
          <w:lang w:bidi="ar"/>
        </w:rPr>
        <w:t>标</w:t>
      </w:r>
      <w:r>
        <w:rPr>
          <w:rFonts w:hint="eastAsia" w:ascii="仿宋_GB2312" w:hAnsi="仿宋_GB2312" w:cs="仿宋_GB2312"/>
          <w:kern w:val="0"/>
          <w:szCs w:val="32"/>
          <w:lang w:bidi="ar"/>
        </w:rPr>
        <w:t>ISO、IEC、ITU等国际标准化组织，系统梳理国内外产业科技领域标准化发展现状，结合深圳标准产出情况，分析深圳标准产出的短板与瓶颈。探索科技创新与标准化协同发展的互动机制，提出以科技创新助力标准化、以标准化引领产业创新的策略建议，形成系统性研究报告，并在3个以上科技创新领域形成标准化参考文件。</w:t>
      </w:r>
    </w:p>
    <w:sectPr>
      <w:footerReference r:id="rId5" w:type="first"/>
      <w:footerReference r:id="rId3" w:type="default"/>
      <w:footerReference r:id="rId4" w:type="even"/>
      <w:pgSz w:w="11906" w:h="16838"/>
      <w:pgMar w:top="2098" w:right="1474" w:bottom="1985" w:left="1588" w:header="851" w:footer="992" w:gutter="0"/>
      <w:pgNumType w:start="1"/>
      <w:cols w:space="720" w:num="1"/>
      <w:titlePg/>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A0F0">
    <w:pPr>
      <w:pStyle w:val="2"/>
      <w:ind w:right="280"/>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E310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0E310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5B38B">
    <w:pPr>
      <w:pStyle w:val="2"/>
      <w:spacing w:line="480" w:lineRule="auto"/>
      <w:ind w:firstLine="2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03D8">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534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2534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B5887"/>
    <w:rsid w:val="00554F95"/>
    <w:rsid w:val="00AA0B3E"/>
    <w:rsid w:val="00BD3AFD"/>
    <w:rsid w:val="00FF453D"/>
    <w:rsid w:val="36C934B0"/>
    <w:rsid w:val="39944691"/>
    <w:rsid w:val="4AB44B5B"/>
    <w:rsid w:val="57FB4ABE"/>
    <w:rsid w:val="7BFD3732"/>
    <w:rsid w:val="7D2B5887"/>
    <w:rsid w:val="7FF95A08"/>
    <w:rsid w:val="FDFFE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Revision"/>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7339</Words>
  <Characters>7581</Characters>
  <Lines>55</Lines>
  <Paragraphs>15</Paragraphs>
  <TotalTime>18</TotalTime>
  <ScaleCrop>false</ScaleCrop>
  <LinksUpToDate>false</LinksUpToDate>
  <CharactersWithSpaces>7591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2026-07-18T14:09:00Z</dcterms:created>
  <dc:creator>GMC</dc:creator>
  <cp:lastModifiedBy>Jun</cp:lastModifiedBy>
  <dcterms:modified xsi:type="dcterms:W3CDTF">2026-07-20T10:24:56Z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FC73E6A933074901ABBD9DEC424B9353_13</vt:lpwstr>
  </property>
  <property fmtid="{D5CDD505-2E9C-101B-9397-08002B2CF9AE}" pid="4" name="KSOTemplateDocerSaveRecord">
    <vt:lpwstr>eyJoZGlkIjoiYjk5ODM0YmMxOWJiYWQyNDU4MGIzYWRmYTA0ZmI5NDciLCJ1c2VySWQiOiIzMTM4Mjg3MzUifQ==</vt:lpwstr>
  </property>
</Properties>
</file>