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bookmarkStart w:id="0" w:name="_GoBack"/>
      <w:bookmarkEnd w:id="0"/>
      <w:r>
        <w:rPr>
          <w:rFonts w:hint="eastAsia" w:ascii="黑体" w:hAnsi="黑体" w:eastAsia="黑体" w:cs="黑体"/>
          <w:sz w:val="32"/>
          <w:szCs w:val="32"/>
        </w:rPr>
        <w:t>附件</w:t>
      </w:r>
      <w:r>
        <w:rPr>
          <w:rFonts w:hint="default" w:ascii="黑体" w:hAnsi="黑体" w:eastAsia="黑体" w:cs="黑体"/>
          <w:sz w:val="32"/>
          <w:szCs w:val="32"/>
          <w:lang w:val="en-US"/>
        </w:rPr>
        <w:t>1</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CESI黑体-GB2312" w:hAnsi="CESI黑体-GB2312" w:eastAsia="CESI黑体-GB2312" w:cs="CESI黑体-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rPr>
        <w:t>202</w:t>
      </w:r>
      <w:r>
        <w:rPr>
          <w:rFonts w:hint="eastAsia" w:ascii="方正小标宋简体" w:hAnsi="方正小标宋简体" w:eastAsia="方正小标宋简体" w:cs="方正小标宋简体"/>
          <w:sz w:val="44"/>
          <w:szCs w:val="52"/>
          <w:lang w:val="en-US" w:eastAsia="zh-CN"/>
        </w:rPr>
        <w:t>6</w:t>
      </w:r>
      <w:r>
        <w:rPr>
          <w:rFonts w:hint="eastAsia" w:ascii="方正小标宋简体" w:hAnsi="方正小标宋简体" w:eastAsia="方正小标宋简体" w:cs="方正小标宋简体"/>
          <w:sz w:val="44"/>
          <w:szCs w:val="52"/>
        </w:rPr>
        <w:t>年深圳市</w:t>
      </w:r>
      <w:r>
        <w:rPr>
          <w:rFonts w:hint="eastAsia" w:ascii="方正小标宋简体" w:hAnsi="方正小标宋简体" w:eastAsia="方正小标宋简体" w:cs="方正小标宋简体"/>
          <w:sz w:val="44"/>
          <w:szCs w:val="52"/>
          <w:lang w:eastAsia="zh-CN"/>
        </w:rPr>
        <w:t>乡村振兴和协作交流局</w:t>
      </w:r>
      <w:r>
        <w:rPr>
          <w:rFonts w:hint="eastAsia" w:ascii="方正小标宋简体" w:hAnsi="方正小标宋简体" w:eastAsia="方正小标宋简体" w:cs="方正小标宋简体"/>
          <w:sz w:val="44"/>
          <w:szCs w:val="52"/>
        </w:rPr>
        <w:t>现代农业高质</w:t>
      </w:r>
      <w:r>
        <w:rPr>
          <w:rFonts w:hint="eastAsia" w:ascii="方正小标宋简体" w:hAnsi="方正小标宋简体" w:eastAsia="方正小标宋简体" w:cs="方正小标宋简体"/>
          <w:sz w:val="44"/>
          <w:szCs w:val="52"/>
          <w:lang w:eastAsia="zh-CN"/>
        </w:rPr>
        <w:t>量</w:t>
      </w:r>
      <w:r>
        <w:rPr>
          <w:rFonts w:hint="eastAsia" w:ascii="方正小标宋简体" w:hAnsi="方正小标宋简体" w:eastAsia="方正小标宋简体" w:cs="方正小标宋简体"/>
          <w:sz w:val="44"/>
          <w:szCs w:val="52"/>
        </w:rPr>
        <w:t>发展专家</w:t>
      </w:r>
      <w:r>
        <w:rPr>
          <w:rFonts w:hint="eastAsia" w:ascii="方正小标宋简体" w:hAnsi="方正小标宋简体" w:eastAsia="方正小标宋简体" w:cs="方正小标宋简体"/>
          <w:sz w:val="44"/>
          <w:szCs w:val="52"/>
          <w:lang w:eastAsia="zh-CN"/>
        </w:rPr>
        <w:t>库</w:t>
      </w:r>
      <w:r>
        <w:rPr>
          <w:rFonts w:hint="eastAsia" w:ascii="方正小标宋简体" w:hAnsi="方正小标宋简体" w:eastAsia="方正小标宋简体" w:cs="方正小标宋简体"/>
          <w:sz w:val="44"/>
          <w:szCs w:val="52"/>
          <w:lang w:val="en-US" w:eastAsia="zh-CN"/>
        </w:rPr>
        <w:t>入库</w:t>
      </w:r>
      <w:r>
        <w:rPr>
          <w:rFonts w:hint="eastAsia" w:ascii="方正小标宋简体" w:hAnsi="方正小标宋简体" w:eastAsia="方正小标宋简体" w:cs="方正小标宋简体"/>
          <w:sz w:val="44"/>
          <w:szCs w:val="52"/>
        </w:rPr>
        <w:t>申报指南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为规范2026年深圳市乡村振兴和协作交流局现代农业高质量发展专家入库申报工作，明确申报条件、征集范围、申报流程、材料要求及相关注意事项，根据《深圳市乡村振兴和协作交流局现代农业高质量发展专家库管理办法》（深乡村振兴规〔2024〕3号）等相关规定，制定本《申报指南》。</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黑体" w:hAnsi="黑体" w:eastAsia="黑体" w:cs="黑体"/>
          <w:sz w:val="32"/>
          <w:szCs w:val="40"/>
          <w:lang w:val="en-US" w:eastAsia="zh-CN"/>
        </w:rPr>
      </w:pPr>
      <w:r>
        <w:rPr>
          <w:rFonts w:hint="eastAsia" w:ascii="黑体" w:hAnsi="黑体" w:eastAsia="黑体" w:cs="黑体"/>
          <w:sz w:val="32"/>
          <w:szCs w:val="40"/>
          <w:lang w:val="en-US" w:eastAsia="zh-CN"/>
        </w:rPr>
        <w:t>一、申报主体</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申报主体为从事现代农业领域相关工作，具有较高理论水平、丰富实践经验的专业人才，且应当满足相应地域及范围条件：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52" w:firstLineChars="0"/>
        <w:textAlignment w:val="auto"/>
        <w:rPr>
          <w:rFonts w:hint="default" w:ascii="仿宋_GB2312" w:hAnsi="仿宋_GB2312" w:eastAsia="仿宋_GB2312" w:cs="仿宋_GB2312"/>
          <w:sz w:val="32"/>
          <w:szCs w:val="40"/>
          <w:lang w:val="en-US" w:eastAsia="zh-CN"/>
        </w:rPr>
      </w:pPr>
      <w:r>
        <w:rPr>
          <w:rFonts w:hint="eastAsia" w:ascii="楷体-简" w:hAnsi="楷体-简" w:eastAsia="楷体-简" w:cs="楷体-简"/>
          <w:kern w:val="2"/>
          <w:sz w:val="32"/>
          <w:szCs w:val="40"/>
          <w:lang w:val="en-US" w:eastAsia="zh-CN" w:bidi="ar-SA"/>
        </w:rPr>
        <w:t>（一）</w:t>
      </w:r>
      <w:r>
        <w:rPr>
          <w:rFonts w:hint="eastAsia" w:ascii="楷体-简" w:hAnsi="楷体-简" w:eastAsia="楷体-简" w:cs="楷体-简"/>
          <w:sz w:val="32"/>
          <w:szCs w:val="40"/>
          <w:lang w:val="en-US" w:eastAsia="zh-CN"/>
        </w:rPr>
        <w:t>战略咨询板块申报主体：</w:t>
      </w:r>
      <w:r>
        <w:rPr>
          <w:rFonts w:hint="eastAsia" w:ascii="仿宋_GB2312" w:hAnsi="仿宋_GB2312" w:eastAsia="仿宋_GB2312" w:cs="仿宋_GB2312"/>
          <w:sz w:val="32"/>
          <w:szCs w:val="40"/>
          <w:lang w:val="en-US" w:eastAsia="zh-CN"/>
        </w:rPr>
        <w:t>面向全国征集，主要包括区域经济、农业农村、乡村振兴、城乡区域协调发展等领域。</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eastAsia" w:ascii="楷体-简" w:hAnsi="楷体-简" w:eastAsia="楷体-简" w:cs="楷体-简"/>
          <w:sz w:val="32"/>
          <w:szCs w:val="40"/>
          <w:lang w:val="en-US" w:eastAsia="zh-CN"/>
        </w:rPr>
        <w:t>（二）现代农业板块申报主体：</w:t>
      </w:r>
      <w:r>
        <w:rPr>
          <w:rFonts w:hint="eastAsia" w:ascii="仿宋_GB2312" w:hAnsi="仿宋_GB2312" w:eastAsia="仿宋_GB2312" w:cs="仿宋_GB2312"/>
          <w:sz w:val="32"/>
          <w:szCs w:val="40"/>
          <w:lang w:val="en-US" w:eastAsia="zh-CN"/>
        </w:rPr>
        <w:t>主要面向广东省内高等院校、科研单位、企事业单位、社会组织征集，包括现代农业科技、生产、产业、金融、农田建设、农业投入品、行政管理、法律审计、人才培育、品牌打造等领域。</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本年度重点征集</w:t>
      </w:r>
      <w:r>
        <w:rPr>
          <w:rFonts w:hint="eastAsia" w:ascii="仿宋_GB2312" w:hAnsi="仿宋_GB2312" w:eastAsia="仿宋_GB2312" w:cs="仿宋_GB2312"/>
          <w:b/>
          <w:bCs/>
          <w:sz w:val="32"/>
          <w:szCs w:val="40"/>
          <w:lang w:val="en-US" w:eastAsia="zh-CN"/>
        </w:rPr>
        <w:t>现代农业金融、农田建设、行政管理、法律审计、人才培育、品牌打造</w:t>
      </w:r>
      <w:r>
        <w:rPr>
          <w:rFonts w:hint="eastAsia" w:ascii="仿宋_GB2312" w:hAnsi="仿宋_GB2312" w:eastAsia="仿宋_GB2312" w:cs="仿宋_GB2312"/>
          <w:sz w:val="32"/>
          <w:szCs w:val="40"/>
          <w:lang w:val="en-US" w:eastAsia="zh-CN"/>
        </w:rPr>
        <w:t>等领域专家，其他领域专家根据实际需要择优录取。</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二、申报条件</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申请人需满足基本条件，再对应自身申报领域、专家层级，满足专项资质要求。专家层级分为普通专家、资深专家两类。</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楷体-简" w:hAnsi="楷体-简" w:eastAsia="楷体-简" w:cs="楷体-简"/>
          <w:sz w:val="32"/>
          <w:szCs w:val="40"/>
          <w:lang w:val="en-US" w:eastAsia="zh-CN"/>
        </w:rPr>
      </w:pPr>
      <w:r>
        <w:rPr>
          <w:rFonts w:hint="eastAsia" w:ascii="楷体-简" w:hAnsi="楷体-简" w:eastAsia="楷体-简" w:cs="楷体-简"/>
          <w:sz w:val="32"/>
          <w:szCs w:val="40"/>
          <w:lang w:val="en-US" w:eastAsia="zh-CN"/>
        </w:rPr>
        <w:t>（一）基本条件</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1.遵守国家有关法律法规、规章和政策，政治立场坚定、坚持正确的政治导向，具有严谨的科学素养、良好的职业道德和高度的责任心，作风正派，认真负责，廉洁公正；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2.热心现代农业事业，愿意从事并能够胜任本专业领域的相关工作；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highlight w:val="none"/>
          <w:lang w:val="en-US" w:eastAsia="zh-CN"/>
        </w:rPr>
        <w:t>3.熟悉国内外现代农业政策法规，掌握国内外现代农业发展态势，在本专业领域具有较强理论水平或者丰富实践经验，从事相关专业领域工作累计5年以上；</w:t>
      </w:r>
      <w:r>
        <w:rPr>
          <w:rFonts w:hint="eastAsia" w:ascii="仿宋_GB2312" w:hAnsi="仿宋_GB2312" w:eastAsia="仿宋_GB2312" w:cs="仿宋_GB2312"/>
          <w:sz w:val="32"/>
          <w:szCs w:val="40"/>
          <w:lang w:val="en-US" w:eastAsia="zh-CN"/>
        </w:rPr>
        <w:t>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4.70周岁以下，身体健康，能够胜任工作；</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5.自愿承担相关保密义务，自觉遵守《管理办法》规定。</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楷体-简" w:hAnsi="楷体-简" w:eastAsia="楷体-简" w:cs="楷体-简"/>
          <w:sz w:val="32"/>
          <w:szCs w:val="40"/>
          <w:lang w:val="en-US" w:eastAsia="zh-CN"/>
        </w:rPr>
      </w:pPr>
      <w:r>
        <w:rPr>
          <w:rFonts w:hint="eastAsia" w:ascii="楷体-简" w:hAnsi="楷体-简" w:eastAsia="楷体-简" w:cs="楷体-简"/>
          <w:sz w:val="32"/>
          <w:szCs w:val="40"/>
          <w:lang w:val="en-US" w:eastAsia="zh-CN"/>
        </w:rPr>
        <w:t>（二）普通专家专项资质条件</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1.战略咨询类专家</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从事战略咨询工作的专家，具有正高级以上专业技术职称或相当资质，并在区域经济、农业农村、乡村振兴、城乡区域协调发展领域具有一定的影响力和知名度；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2.现代农业领域专家</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从事现代农业科技、生产、产业、金融、农田建设、农业投入品、法律审计、人才培育、品牌打造等工作的专家，具有副高级以上专业技术职称或相当资质，在本专业领域具有一定的影响力和知名度。</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其中：</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52" w:firstLineChars="0"/>
        <w:textAlignment w:val="auto"/>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kern w:val="2"/>
          <w:sz w:val="32"/>
          <w:szCs w:val="40"/>
          <w:highlight w:val="none"/>
          <w:lang w:val="en-US" w:eastAsia="zh-CN" w:bidi="ar-SA"/>
        </w:rPr>
        <w:t>（1）</w:t>
      </w:r>
      <w:r>
        <w:rPr>
          <w:rFonts w:hint="eastAsia" w:ascii="仿宋_GB2312" w:hAnsi="仿宋_GB2312" w:eastAsia="仿宋_GB2312" w:cs="仿宋_GB2312"/>
          <w:b/>
          <w:bCs/>
          <w:sz w:val="32"/>
          <w:szCs w:val="40"/>
          <w:highlight w:val="none"/>
          <w:lang w:val="en-US" w:eastAsia="zh-CN"/>
        </w:rPr>
        <w:t>财务审计类专家（满足其中一项条件即可）：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F1115"/>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F1115"/>
          <w:spacing w:val="0"/>
          <w:kern w:val="0"/>
          <w:sz w:val="32"/>
          <w:szCs w:val="32"/>
          <w:highlight w:val="none"/>
          <w:shd w:val="clear" w:fill="FFFFFF"/>
          <w:lang w:val="en-US" w:eastAsia="zh-CN" w:bidi="ar"/>
        </w:rPr>
        <w:t>①取得副高级及以上会计师或审计师等职称，且在会计师（税务师）事务所、高等院校、科研机构、企业等单位财务审计部门具有8年以上相关工作经验。</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i w:val="0"/>
          <w:iCs w:val="0"/>
          <w:caps w:val="0"/>
          <w:color w:val="0F1115"/>
          <w:spacing w:val="0"/>
          <w:kern w:val="0"/>
          <w:sz w:val="32"/>
          <w:szCs w:val="32"/>
          <w:highlight w:val="none"/>
          <w:shd w:val="clear" w:fill="FFFFFF"/>
          <w:lang w:val="en-US" w:eastAsia="zh-CN" w:bidi="ar"/>
        </w:rPr>
        <w:t>②取得注册会计师（CPA）执业资格、注册税务师等资格，且从事财税工作10年以上。</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52" w:firstLineChars="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b/>
          <w:bCs/>
          <w:kern w:val="2"/>
          <w:sz w:val="32"/>
          <w:szCs w:val="40"/>
          <w:highlight w:val="none"/>
          <w:lang w:val="en-US" w:eastAsia="zh-CN" w:bidi="ar-SA"/>
        </w:rPr>
        <w:t>（2）</w:t>
      </w:r>
      <w:r>
        <w:rPr>
          <w:rFonts w:hint="eastAsia" w:ascii="仿宋_GB2312" w:hAnsi="仿宋_GB2312" w:eastAsia="仿宋_GB2312" w:cs="仿宋_GB2312"/>
          <w:b/>
          <w:bCs/>
          <w:sz w:val="32"/>
          <w:szCs w:val="40"/>
          <w:highlight w:val="none"/>
          <w:lang w:val="en-US" w:eastAsia="zh-CN"/>
        </w:rPr>
        <w:t>法律类专家（满足其中一项条件即可）：</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i w:val="0"/>
          <w:iCs w:val="0"/>
          <w:caps w:val="0"/>
          <w:color w:val="0F1115"/>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F1115"/>
          <w:spacing w:val="0"/>
          <w:kern w:val="0"/>
          <w:sz w:val="32"/>
          <w:szCs w:val="32"/>
          <w:highlight w:val="none"/>
          <w:shd w:val="clear" w:fill="FFFFFF"/>
          <w:lang w:val="en-US" w:eastAsia="zh-CN" w:bidi="ar"/>
        </w:rPr>
        <w:t>①取得副高级及以上法律类职称。</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i w:val="0"/>
          <w:iCs w:val="0"/>
          <w:caps w:val="0"/>
          <w:color w:val="0F1115"/>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F1115"/>
          <w:spacing w:val="0"/>
          <w:kern w:val="0"/>
          <w:sz w:val="32"/>
          <w:szCs w:val="32"/>
          <w:highlight w:val="none"/>
          <w:shd w:val="clear" w:fill="FFFFFF"/>
          <w:lang w:val="en-US" w:eastAsia="zh-CN" w:bidi="ar"/>
        </w:rPr>
        <w:t>②取得法律职业资格证书（A类），且在律师事务所执业满8年以上。</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i w:val="0"/>
          <w:iCs w:val="0"/>
          <w:caps w:val="0"/>
          <w:color w:val="0F1115"/>
          <w:spacing w:val="0"/>
          <w:kern w:val="0"/>
          <w:sz w:val="32"/>
          <w:szCs w:val="32"/>
          <w:highlight w:val="none"/>
          <w:shd w:val="clear" w:fill="FFFFFF"/>
          <w:lang w:val="en-US" w:eastAsia="zh-CN" w:bidi="ar"/>
        </w:rPr>
        <w:t>③在高等院校、科研院所从事法学教学或研究工作，具有副教授、副研究员等副高级或以上职称。</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kern w:val="2"/>
          <w:sz w:val="32"/>
          <w:szCs w:val="40"/>
          <w:highlight w:val="none"/>
          <w:lang w:val="en-US" w:eastAsia="zh-CN" w:bidi="ar-SA"/>
        </w:rPr>
        <w:t>（3）</w:t>
      </w:r>
      <w:r>
        <w:rPr>
          <w:rFonts w:hint="eastAsia" w:ascii="仿宋_GB2312" w:hAnsi="仿宋_GB2312" w:eastAsia="仿宋_GB2312" w:cs="仿宋_GB2312"/>
          <w:b/>
          <w:bCs/>
          <w:sz w:val="32"/>
          <w:szCs w:val="40"/>
          <w:highlight w:val="none"/>
          <w:lang w:val="en-US" w:eastAsia="zh-CN"/>
        </w:rPr>
        <w:t>金融类专家（满足其中一项条件即可）</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①取得副高级及以上经济师等职称。</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②银行、证券、保险、基金、期货、信托、融资担保、再担保、天使投资、创业投资等持有金融牌照的金融机构的专业人员，且具有8年以上相关工作经验。</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③取得注册金融分析师（CFA）、金融风险管理师（FRM）、正精算师职业资格、税务师、期货从业资格等证书，且从事金融工作满8年以上。</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3.行政管理类专家</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从事现代农业行政管理工作的专家，需担任副处级以上领导职务或相当职级，熟悉农业相关重大战略和宏观政策，具备丰富的农业行政管理经验或者较强的政策研究能力。</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楷体-简" w:hAnsi="楷体-简" w:eastAsia="楷体-简" w:cs="楷体-简"/>
          <w:sz w:val="32"/>
          <w:szCs w:val="40"/>
          <w:highlight w:val="none"/>
          <w:lang w:val="en-US" w:eastAsia="zh-CN"/>
        </w:rPr>
      </w:pPr>
      <w:r>
        <w:rPr>
          <w:rFonts w:hint="eastAsia" w:ascii="楷体-简" w:hAnsi="楷体-简" w:eastAsia="楷体-简" w:cs="楷体-简"/>
          <w:sz w:val="32"/>
          <w:szCs w:val="40"/>
          <w:highlight w:val="none"/>
          <w:lang w:val="en-US" w:eastAsia="zh-CN"/>
        </w:rPr>
        <w:t>（三）资深专家专项资质条件</w:t>
      </w:r>
      <w:r>
        <w:rPr>
          <w:rFonts w:hint="eastAsia" w:ascii="楷体-简" w:hAnsi="楷体-简" w:eastAsia="楷体-简" w:cs="楷体-简"/>
          <w:b w:val="0"/>
          <w:bCs w:val="0"/>
          <w:sz w:val="32"/>
          <w:szCs w:val="40"/>
          <w:highlight w:val="none"/>
          <w:lang w:val="en-US" w:eastAsia="zh-CN"/>
        </w:rPr>
        <w:t>（满足其中一项条件即可）</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1.两院院士、享受国务院政府特殊津贴者、深圳市高层次专业人才、教授级高级职称人员（所称教授级高级职称人员，是指获得各省市人力资源管理部门颁发的正高级职称证书，且主持过省部级以上专业项目或承担过省部级以上研究课题的人员）；</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2.入选国家科技专家库、农业农村部专家库的人员。</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资深专家的年龄限制放宽至75周岁。</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highlight w:val="none"/>
          <w:lang w:val="en-US" w:eastAsia="zh-CN"/>
        </w:rPr>
      </w:pPr>
      <w:r>
        <w:rPr>
          <w:rFonts w:hint="eastAsia" w:ascii="黑体" w:hAnsi="黑体" w:eastAsia="黑体" w:cs="黑体"/>
          <w:sz w:val="32"/>
          <w:szCs w:val="40"/>
          <w:highlight w:val="none"/>
          <w:lang w:val="en-US" w:eastAsia="zh-CN"/>
        </w:rPr>
        <w:t>三、申报时间</w:t>
      </w:r>
    </w:p>
    <w:p>
      <w:pPr>
        <w:keepNext w:val="0"/>
        <w:keepLines w:val="0"/>
        <w:pageBreakBefore w:val="0"/>
        <w:widowControl w:val="0"/>
        <w:shd w:val="clear"/>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自本通告印发之日起至2026年9月20日，逾期系统自动关闭，不再受理新的申报及材料补充。</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四、申报材料</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申请人需按系统提示如实填报个人信息，并完整上传以下佐证材料，所有材料须真实、清晰、有效，缺失或虚假材料将不予审核通过：</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1.深圳市乡村振兴和协作交流局现代农业高质量发展专家库专家资格申请表；</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2.身份证正反面照片；</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3.个人信用证明材料；</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4.职称证书/职业资格证书；</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5.学历、学位证书；</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6.专业领域研究成果证明材料（申请人申报为资深专家需上传两院院士、享受国务院政府特殊津贴者、深圳市高层次专业人才相关证明，或主持省部级以上专业项目、承担省部级以上研究课题的证明材料，如项目合同书、课题立项通知书、结题验收证书等）；</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7.单位人事部门同意书（申请人为机关、事业单位和国有企业现职工作人员时需提供）；</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highlight w:val="none"/>
          <w:lang w:val="en-US" w:eastAsia="zh-CN"/>
        </w:rPr>
        <w:t>8.财务审计类、法律类、金融类专家如未获得副高级以上专业技术职称，应按照本指南第（二）项要求提供相应资质佐证材料。</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五、办理程序</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（一）入库申请。申请人即日起按照本申报指南要求准备相关材料，通过现代农业高质量发展专家库管理系统（网址：https://wbfw.xczxhxzjlj.sz.gov.cn/expert/Login）完成申请材料的填写、上传工作。</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（二）资格审核。深圳市乡村振兴和协作交流局相关业务处室对申请材料进行初审，</w:t>
      </w:r>
      <w:r>
        <w:rPr>
          <w:rFonts w:hint="eastAsia" w:ascii="仿宋_GB2312" w:hAnsi="仿宋_GB2312" w:eastAsia="仿宋_GB2312" w:cs="仿宋_GB2312"/>
          <w:sz w:val="32"/>
          <w:szCs w:val="40"/>
          <w:highlight w:val="none"/>
          <w:lang w:val="en-US" w:eastAsia="zh-CN"/>
        </w:rPr>
        <w:t>并征求有关部门意见，综合材料审查及有关部门反馈意见形成通过初审人员名单</w:t>
      </w:r>
      <w:r>
        <w:rPr>
          <w:rFonts w:hint="eastAsia" w:ascii="仿宋_GB2312" w:hAnsi="仿宋_GB2312" w:eastAsia="仿宋_GB2312" w:cs="仿宋_GB2312"/>
          <w:sz w:val="32"/>
          <w:szCs w:val="40"/>
          <w:lang w:val="en-US" w:eastAsia="zh-CN"/>
        </w:rPr>
        <w:t>。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（三）研究审议。深圳市乡村振兴和协作交流局对通过资格初审的专家进行集体审议，形成拟入库专家名单。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四）网上公示。拟入库专家名单在深圳市乡村振兴和协作交流局门户网站公示5个工作日。公示期内，任何单位或者个人对名单有异议的，可以书面形式实名向深圳市乡村振兴和协作交流局提出。深圳市乡村振兴和协作交流局在异议受理之日起10个工作日内复核并作出复核结论。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（五）公布入库。公示通过后予以聘任入库，入库名单在深圳市乡村振兴和协作交流局门户网站公布。</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六、不予入库情形</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（一）无民事行为能力或者限制民事行为能力的；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（二）有刑事犯罪记录的；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（三）因违反《管理办法》被解聘的；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（四）被列为失信被执行人的；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（五）</w:t>
      </w:r>
      <w:r>
        <w:rPr>
          <w:rFonts w:hint="eastAsia" w:ascii="仿宋_GB2312" w:hAnsi="仿宋_GB2312" w:eastAsia="仿宋_GB2312" w:cs="仿宋_GB2312"/>
          <w:sz w:val="32"/>
          <w:szCs w:val="40"/>
          <w:lang w:val="en-US" w:eastAsia="zh-CN"/>
        </w:rPr>
        <w:t>法律法规</w:t>
      </w:r>
      <w:r>
        <w:rPr>
          <w:rFonts w:hint="default" w:ascii="仿宋_GB2312" w:hAnsi="仿宋_GB2312" w:eastAsia="仿宋_GB2312" w:cs="仿宋_GB2312"/>
          <w:sz w:val="32"/>
          <w:szCs w:val="40"/>
          <w:lang w:val="en-US" w:eastAsia="zh-CN"/>
        </w:rPr>
        <w:t>、规章等规定的其他情形。</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default" w:ascii="黑体" w:hAnsi="黑体" w:eastAsia="黑体" w:cs="黑体"/>
          <w:sz w:val="32"/>
          <w:szCs w:val="40"/>
          <w:lang w:val="en-US" w:eastAsia="zh-CN"/>
        </w:rPr>
      </w:pPr>
      <w:r>
        <w:rPr>
          <w:rFonts w:hint="eastAsia" w:ascii="黑体" w:hAnsi="黑体" w:eastAsia="黑体" w:cs="黑体"/>
          <w:sz w:val="32"/>
          <w:szCs w:val="40"/>
          <w:lang w:val="en-US" w:eastAsia="zh-CN"/>
        </w:rPr>
        <w:t>七、申报咨询联系方式</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单位：深圳市乡村振兴和协作交流局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地址：深圳市市民中心C区1118室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联系人：梁先生　　</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联系电话：0755-88125401</w:t>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黑体-简" w:hAnsi="黑体-简" w:eastAsia="黑体-简" w:cs="黑体-简"/>
          <w:sz w:val="32"/>
          <w:szCs w:val="40"/>
          <w:lang w:val="en-US" w:eastAsia="zh-CN"/>
        </w:rPr>
      </w:pPr>
      <w:r>
        <w:rPr>
          <w:rFonts w:hint="eastAsia" w:ascii="黑体-简" w:hAnsi="黑体-简" w:eastAsia="黑体-简" w:cs="黑体-简"/>
          <w:sz w:val="32"/>
          <w:szCs w:val="40"/>
          <w:lang w:val="en-US" w:eastAsia="zh-CN"/>
        </w:rPr>
        <w:t>八、申报问题反馈</w:t>
      </w:r>
    </w:p>
    <w:p>
      <w:pPr>
        <w:keepNext w:val="0"/>
        <w:keepLines w:val="0"/>
        <w:pageBreakBefore w:val="0"/>
        <w:widowControl w:val="0"/>
        <w:kinsoku/>
        <w:wordWrap/>
        <w:overflowPunct/>
        <w:topLinePunct w:val="0"/>
        <w:autoSpaceDE/>
        <w:autoSpaceDN/>
        <w:bidi w:val="0"/>
        <w:adjustRightInd/>
        <w:snapToGrid/>
        <w:spacing w:line="560" w:lineRule="exact"/>
        <w:ind w:firstLine="652"/>
        <w:jc w:val="center"/>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drawing>
          <wp:anchor distT="0" distB="0" distL="114300" distR="114300" simplePos="0" relativeHeight="251659264" behindDoc="0" locked="0" layoutInCell="1" allowOverlap="1">
            <wp:simplePos x="0" y="0"/>
            <wp:positionH relativeFrom="column">
              <wp:posOffset>1390015</wp:posOffset>
            </wp:positionH>
            <wp:positionV relativeFrom="page">
              <wp:posOffset>6097905</wp:posOffset>
            </wp:positionV>
            <wp:extent cx="2495550" cy="2844165"/>
            <wp:effectExtent l="0" t="0" r="2540" b="635"/>
            <wp:wrapNone/>
            <wp:docPr id="1" name="图片 1" descr="84c2cca2086d0bc4a0ed2a8be88931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4c2cca2086d0bc4a0ed2a8be889313e"/>
                    <pic:cNvPicPr>
                      <a:picLocks noChangeAspect="1"/>
                    </pic:cNvPicPr>
                  </pic:nvPicPr>
                  <pic:blipFill>
                    <a:blip r:embed="rId4"/>
                    <a:stretch>
                      <a:fillRect/>
                    </a:stretch>
                  </pic:blipFill>
                  <pic:spPr>
                    <a:xfrm>
                      <a:off x="0" y="0"/>
                      <a:ext cx="2495550" cy="284416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52"/>
        <w:textAlignment w:val="auto"/>
        <w:rPr>
          <w:rFonts w:hint="eastAsia" w:ascii="仿宋_GB2312" w:hAnsi="仿宋_GB2312" w:eastAsia="仿宋_GB2312" w:cs="仿宋_GB2312"/>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简">
    <w:altName w:val="方正楷体_GBK"/>
    <w:panose1 w:val="02010609060101010101"/>
    <w:charset w:val="86"/>
    <w:family w:val="auto"/>
    <w:pitch w:val="default"/>
    <w:sig w:usb0="00000000" w:usb1="00000000" w:usb2="00000016" w:usb3="00000000" w:csb0="00040001" w:csb1="00000000"/>
  </w:font>
  <w:font w:name="黑体-简">
    <w:altName w:val="方正黑体_GBK"/>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A954E6"/>
    <w:rsid w:val="01AF70E0"/>
    <w:rsid w:val="0F5B6B0B"/>
    <w:rsid w:val="148A26A1"/>
    <w:rsid w:val="1577269E"/>
    <w:rsid w:val="243C25FD"/>
    <w:rsid w:val="27A42993"/>
    <w:rsid w:val="28F72243"/>
    <w:rsid w:val="2E214204"/>
    <w:rsid w:val="2F1A178D"/>
    <w:rsid w:val="2F635838"/>
    <w:rsid w:val="2F723377"/>
    <w:rsid w:val="37807CBD"/>
    <w:rsid w:val="3A0209F4"/>
    <w:rsid w:val="3AEB8E04"/>
    <w:rsid w:val="3C21415B"/>
    <w:rsid w:val="3D3A5D45"/>
    <w:rsid w:val="3FBFC096"/>
    <w:rsid w:val="48A954E6"/>
    <w:rsid w:val="48AA548E"/>
    <w:rsid w:val="4E7C4BB3"/>
    <w:rsid w:val="4EF5DEBB"/>
    <w:rsid w:val="5B3E042E"/>
    <w:rsid w:val="5DBF9EA4"/>
    <w:rsid w:val="5FFFBE5A"/>
    <w:rsid w:val="650A75D2"/>
    <w:rsid w:val="67E67E83"/>
    <w:rsid w:val="6FFCCBD2"/>
    <w:rsid w:val="7521074C"/>
    <w:rsid w:val="765EA232"/>
    <w:rsid w:val="7CEF666A"/>
    <w:rsid w:val="7D3DC4D2"/>
    <w:rsid w:val="7DDF9D31"/>
    <w:rsid w:val="7ED79F6F"/>
    <w:rsid w:val="7EEF6DC1"/>
    <w:rsid w:val="7FFF5463"/>
    <w:rsid w:val="87FF4099"/>
    <w:rsid w:val="AB5FB641"/>
    <w:rsid w:val="B7BF452D"/>
    <w:rsid w:val="B7EFF275"/>
    <w:rsid w:val="B99AAE33"/>
    <w:rsid w:val="DE574C48"/>
    <w:rsid w:val="DE5BD01A"/>
    <w:rsid w:val="DE77D070"/>
    <w:rsid w:val="F3FC5A66"/>
    <w:rsid w:val="F7F222F5"/>
    <w:rsid w:val="F9F751CD"/>
    <w:rsid w:val="FAAF5AE5"/>
    <w:rsid w:val="FBDF7706"/>
    <w:rsid w:val="FBFE1DEB"/>
    <w:rsid w:val="FC7B3F97"/>
    <w:rsid w:val="FE9FEBE8"/>
    <w:rsid w:val="FFBF3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3"/>
    <w:pPr>
      <w:ind w:firstLine="0" w:firstLineChars="0"/>
      <w:jc w:val="left"/>
    </w:pPr>
    <w:rPr>
      <w:rFonts w:ascii="楷体_GB2312" w:eastAsia="楷体_GB2312"/>
    </w:rPr>
  </w:style>
  <w:style w:type="paragraph" w:customStyle="1" w:styleId="3">
    <w:name w:val="正文_0"/>
    <w:next w:val="2"/>
    <w:qFormat/>
    <w:uiPriority w:val="0"/>
    <w:pPr>
      <w:widowControl w:val="0"/>
      <w:jc w:val="both"/>
    </w:pPr>
    <w:rPr>
      <w:rFonts w:ascii="Calibri" w:hAnsi="Calibri" w:eastAsia="宋体" w:cs="Times New Roman"/>
      <w:kern w:val="2"/>
      <w:sz w:val="21"/>
      <w:szCs w:val="24"/>
      <w:lang w:val="en-US" w:eastAsia="zh-CN" w:bidi="ar-SA"/>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2566</Words>
  <Characters>2673</Characters>
  <Lines>0</Lines>
  <Paragraphs>0</Paragraphs>
  <TotalTime>35</TotalTime>
  <ScaleCrop>false</ScaleCrop>
  <LinksUpToDate>false</LinksUpToDate>
  <CharactersWithSpaces>2701</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2026-06-25T03:27:00Z</dcterms:created>
  <dc:creator>Fafa</dc:creator>
  <cp:lastModifiedBy>黄冬玲</cp:lastModifiedBy>
  <dcterms:modified xsi:type="dcterms:W3CDTF">2026-09-01T14:30:09Z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312E44281823567AF170966A2D9A3239</vt:lpwstr>
  </property>
  <property fmtid="{D5CDD505-2E9C-101B-9397-08002B2CF9AE}" pid="4" name="KSOTemplateDocerSaveRecord">
    <vt:lpwstr>eyJoZGlkIjoiODQ0OTUyZGM1MDY2MDNlODU4MmU0ODYwMGU4NTlhOTMiLCJ1c2VySWQiOiIxNDE1NjM3NDEwIn0=</vt:lpwstr>
  </property>
</Properties>
</file>