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71624">
      <w:pPr>
        <w:spacing w:line="560" w:lineRule="exact"/>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114758C2">
      <w:pPr>
        <w:spacing w:line="560" w:lineRule="exact"/>
        <w:jc w:val="both"/>
        <w:rPr>
          <w:rFonts w:hint="default" w:ascii="方正小标宋简体" w:hAnsi="方正小标宋简体" w:eastAsia="方正小标宋简体" w:cs="方正小标宋简体"/>
          <w:sz w:val="44"/>
          <w:szCs w:val="44"/>
          <w:lang w:val="en-US" w:eastAsia="zh-CN"/>
        </w:rPr>
      </w:pPr>
    </w:p>
    <w:p w14:paraId="731B2133">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深圳市科技战略研究项目（技术预见专项）</w:t>
      </w:r>
    </w:p>
    <w:p w14:paraId="371D6808">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选题</w:t>
      </w:r>
    </w:p>
    <w:p w14:paraId="0FF87934">
      <w:pPr>
        <w:spacing w:line="560" w:lineRule="exact"/>
        <w:jc w:val="center"/>
        <w:rPr>
          <w:rFonts w:hint="eastAsia" w:ascii="仿宋_GB2312" w:hAnsi="仿宋_GB2312" w:eastAsia="仿宋_GB2312" w:cs="仿宋_GB2312"/>
          <w:b/>
          <w:bCs/>
          <w:sz w:val="32"/>
          <w:szCs w:val="32"/>
        </w:rPr>
      </w:pPr>
    </w:p>
    <w:p w14:paraId="5B784D9F">
      <w:pPr>
        <w:pStyle w:val="2"/>
        <w:spacing w:line="560" w:lineRule="exact"/>
        <w:ind w:firstLine="640" w:firstLineChars="200"/>
        <w:rPr>
          <w:rFonts w:ascii="黑体" w:hAnsi="黑体" w:eastAsia="黑体"/>
          <w:b w:val="0"/>
          <w:bCs w:val="0"/>
          <w:sz w:val="32"/>
          <w:szCs w:val="32"/>
        </w:rPr>
      </w:pPr>
      <w:r>
        <w:rPr>
          <w:rFonts w:hint="eastAsia" w:ascii="黑体" w:hAnsi="黑体" w:eastAsia="黑体"/>
          <w:b w:val="0"/>
          <w:bCs w:val="0"/>
          <w:sz w:val="32"/>
          <w:szCs w:val="32"/>
          <w:lang w:eastAsia="zh-CN"/>
        </w:rPr>
        <w:t>一、</w:t>
      </w:r>
      <w:r>
        <w:rPr>
          <w:rFonts w:hint="eastAsia" w:ascii="黑体" w:hAnsi="黑体" w:eastAsia="黑体"/>
          <w:b w:val="0"/>
          <w:bCs w:val="0"/>
          <w:sz w:val="32"/>
          <w:szCs w:val="32"/>
        </w:rPr>
        <w:t>深圳具身智能大模型技术预见研究</w:t>
      </w:r>
    </w:p>
    <w:p w14:paraId="6FAE8395">
      <w:pPr>
        <w:spacing w:line="56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研究内容：</w:t>
      </w:r>
      <w:r>
        <w:rPr>
          <w:rFonts w:hint="eastAsia" w:ascii="仿宋_GB2312" w:hAnsi="仿宋_GB2312" w:eastAsia="仿宋_GB2312" w:cs="仿宋_GB2312"/>
          <w:b w:val="0"/>
          <w:bCs w:val="0"/>
          <w:sz w:val="32"/>
          <w:szCs w:val="32"/>
          <w:lang w:val="en-US" w:eastAsia="zh-CN"/>
        </w:rPr>
        <w:t>系统梳理全球具身智能大模型技术演进脉络，重点比较视觉-语言-动作模型、世界行动模型、世界模型等主流技术路线，持续跟踪新兴技术路线及潜在颠覆性大模型架构，研判技术收敛趋势与近中远期产业化窗口期，立足深圳具身智能大模型技术积累与产业链优势，对标国内外先进城市，分析差距与切入机会，研提适合深圳特色的差异化大模型技术路线，剖析算法、算力、数据等要素的支撑作用，提出具身智能大模型在工业、服务、特种等领域规模化部署的推进路径与政策建议，形成系统性研究报告。</w:t>
      </w:r>
    </w:p>
    <w:p w14:paraId="251CF4AB">
      <w:pPr>
        <w:pStyle w:val="2"/>
        <w:spacing w:line="560" w:lineRule="exact"/>
        <w:ind w:firstLine="640" w:firstLineChars="200"/>
        <w:rPr>
          <w:rFonts w:hint="default" w:ascii="黑体" w:hAnsi="黑体" w:eastAsia="黑体"/>
          <w:b w:val="0"/>
          <w:bCs w:val="0"/>
          <w:sz w:val="32"/>
          <w:szCs w:val="32"/>
          <w:lang w:val="en-US" w:eastAsia="zh-CN"/>
        </w:rPr>
      </w:pPr>
      <w:r>
        <w:rPr>
          <w:rFonts w:hint="eastAsia" w:ascii="黑体" w:hAnsi="黑体" w:eastAsia="黑体"/>
          <w:b w:val="0"/>
          <w:bCs w:val="0"/>
          <w:sz w:val="32"/>
          <w:szCs w:val="32"/>
          <w:lang w:eastAsia="zh-CN"/>
        </w:rPr>
        <w:t>二、</w:t>
      </w:r>
      <w:r>
        <w:rPr>
          <w:rFonts w:hint="eastAsia" w:ascii="黑体" w:hAnsi="黑体" w:eastAsia="黑体"/>
          <w:b w:val="0"/>
          <w:bCs w:val="0"/>
          <w:sz w:val="32"/>
          <w:szCs w:val="32"/>
          <w:lang w:val="en-US" w:eastAsia="zh-CN"/>
        </w:rPr>
        <w:t>深圳合成生物驱动的细胞治疗技术预见研究</w:t>
      </w:r>
    </w:p>
    <w:p w14:paraId="1A8716E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研究内容：</w:t>
      </w:r>
      <w:r>
        <w:rPr>
          <w:rFonts w:hint="eastAsia" w:ascii="仿宋_GB2312" w:hAnsi="仿宋_GB2312" w:eastAsia="仿宋_GB2312" w:cs="仿宋_GB2312"/>
          <w:sz w:val="32"/>
          <w:szCs w:val="32"/>
          <w:lang w:val="en-US" w:eastAsia="zh-CN"/>
        </w:rPr>
        <w:t>把握国家生物医学领域最新工作部署和监管要求，分析全球合成生物驱动细胞治疗的技术趋势、市场格局、监管要求与竞争态势，梳理深圳技术积累及产业基础，重点研判新型抗原靶点发现、合成受体设计、基因线路调控、通用型细胞底盘构建、基因编辑与非病毒递送、体内安全开关、细胞扩增、质量控制与自动化生产等关键技术方向，并对比分析其与传统CAR-T、TCR-T、NK细胞治疗等技术路线差异，绘制深圳合成生物驱动的细胞治疗由个体化定制向通用化、智能化、规模化演进的技术路径。构建深圳细胞治疗的靶点发现、线路设计、细胞构建、功能评价、工艺放大、装备制造、质量检测、临床转化等全产业要素体系，拓展其在肿瘤、自身免疫疾病、再生修复和衰老相关疾病等领域的应用场景，形成系统性研究报告。</w:t>
      </w:r>
    </w:p>
    <w:p w14:paraId="25B072AE">
      <w:pPr>
        <w:pStyle w:val="2"/>
        <w:spacing w:line="560" w:lineRule="exact"/>
        <w:ind w:firstLine="640" w:firstLineChars="200"/>
        <w:rPr>
          <w:rFonts w:hint="eastAsia" w:ascii="黑体" w:hAnsi="黑体" w:eastAsia="黑体"/>
          <w:b w:val="0"/>
          <w:bCs w:val="0"/>
          <w:sz w:val="32"/>
          <w:szCs w:val="32"/>
          <w:lang w:eastAsia="zh-CN"/>
        </w:rPr>
      </w:pPr>
      <w:r>
        <w:rPr>
          <w:rFonts w:hint="eastAsia" w:ascii="黑体" w:hAnsi="黑体" w:eastAsia="黑体"/>
          <w:b w:val="0"/>
          <w:bCs w:val="0"/>
          <w:sz w:val="32"/>
          <w:szCs w:val="32"/>
          <w:lang w:eastAsia="zh-CN"/>
        </w:rPr>
        <w:t>三、深圳太空算力网络技术预见研究</w:t>
      </w:r>
    </w:p>
    <w:p w14:paraId="7E52E142">
      <w:pPr>
        <w:spacing w:line="56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研究内容：</w:t>
      </w:r>
      <w:r>
        <w:rPr>
          <w:rFonts w:hint="eastAsia" w:ascii="仿宋_GB2312" w:hAnsi="仿宋_GB2312" w:eastAsia="仿宋_GB2312" w:cs="仿宋_GB2312"/>
          <w:sz w:val="32"/>
          <w:szCs w:val="32"/>
          <w:lang w:eastAsia="zh-CN"/>
        </w:rPr>
        <w:t>对标美国、欧盟太空算力与卫星通信融合发展积累与产业发展经验，系统梳理上海、北京、杭州、广州和深圳太空算力产业差异化优势，开展关键性轨道与频谱资源的分析与规划，研判全球竞争态势及深圳布局窗口。聚焦天地一体通算网络、通算融合分布式处理、星载高性能计算芯片、星座自主管控和星载大模型压缩等重点领域，前瞻研判可回收火箭、卫星星座设计、星间/星地高速通信、星载芯片、能源与热管理等核心技术发展方向，强化空间环境可靠性验证和在轨工程化验证平台建设，面向遥感数据智能在轨处理、应急响应、科学计算等应用场景，搭建深圳太空算力商业化应用场景图谱，识别天地一体算力网络下深圳有基础、有能力率先突破的关键技术课题和产业环节，形成系统性研究报告。</w:t>
      </w:r>
    </w:p>
    <w:p w14:paraId="60FA5ABC">
      <w:pPr>
        <w:pStyle w:val="2"/>
        <w:spacing w:line="560" w:lineRule="exact"/>
        <w:ind w:firstLine="640" w:firstLineChars="200"/>
        <w:rPr>
          <w:rFonts w:hint="eastAsia" w:ascii="黑体" w:hAnsi="黑体" w:eastAsia="黑体"/>
          <w:b w:val="0"/>
          <w:bCs w:val="0"/>
          <w:sz w:val="32"/>
          <w:szCs w:val="32"/>
          <w:lang w:eastAsia="zh-CN"/>
        </w:rPr>
      </w:pPr>
      <w:r>
        <w:rPr>
          <w:rFonts w:hint="eastAsia" w:ascii="黑体" w:hAnsi="黑体" w:eastAsia="黑体"/>
          <w:b w:val="0"/>
          <w:bCs w:val="0"/>
          <w:sz w:val="32"/>
          <w:szCs w:val="32"/>
          <w:lang w:eastAsia="zh-CN"/>
        </w:rPr>
        <w:t>四、深圳光电共封玻璃基板技术预见研究</w:t>
      </w:r>
    </w:p>
    <w:p w14:paraId="2CC938D4">
      <w:pPr>
        <w:spacing w:line="56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研究内容：</w:t>
      </w:r>
      <w:r>
        <w:rPr>
          <w:rFonts w:hint="eastAsia" w:ascii="仿宋_GB2312" w:hAnsi="仿宋_GB2312" w:eastAsia="仿宋_GB2312" w:cs="仿宋_GB2312"/>
          <w:sz w:val="32"/>
          <w:szCs w:val="32"/>
          <w:lang w:eastAsia="zh-CN"/>
        </w:rPr>
        <w:t>华为“韬（τ）定律”为后摩尔时代芯片产业发展提供全新范式，先进封装成为突破芯片性能瓶颈的关键路径。分析全球光电共封玻璃基板的技术趋势、市场格局与竞争态势，梳理深圳相关技术积累及产业发展基础，重点研判玻璃基板在光电共封装中的材料性能调控、TGV通孔、精细线路制作、光电芯片互连、信号损耗调控、芯片散热与长期可靠性等关键技术方向，并对比分析其与有机基板、硅转接板板在性能、工艺、成本及应用适配性方面的差异，绘制光模块由传统可插拔形态向CPO共封装形态演进的技术路径。打造深圳光电共封玻璃基板的材料、装备、工艺、封装、检测、应用等全产业要素体系，拓展玻璃基板在数据中心、人工智能算力和高速通信等领域的应用场景，形成系统性研究报告。</w:t>
      </w:r>
    </w:p>
    <w:p w14:paraId="77286738">
      <w:pPr>
        <w:pStyle w:val="2"/>
        <w:spacing w:line="560" w:lineRule="exact"/>
        <w:ind w:firstLine="640" w:firstLineChars="200"/>
        <w:rPr>
          <w:rFonts w:hint="eastAsia" w:ascii="黑体" w:hAnsi="黑体" w:eastAsia="黑体"/>
          <w:b w:val="0"/>
          <w:bCs w:val="0"/>
          <w:sz w:val="32"/>
          <w:szCs w:val="32"/>
          <w:lang w:eastAsia="zh-CN"/>
        </w:rPr>
      </w:pPr>
      <w:r>
        <w:rPr>
          <w:rFonts w:hint="eastAsia" w:ascii="黑体" w:hAnsi="黑体" w:eastAsia="黑体"/>
          <w:b w:val="0"/>
          <w:bCs w:val="0"/>
          <w:sz w:val="32"/>
          <w:szCs w:val="32"/>
          <w:lang w:eastAsia="zh-CN"/>
        </w:rPr>
        <w:t>五、深圳可控核聚变技术预见研究</w:t>
      </w:r>
    </w:p>
    <w:p w14:paraId="71FE8DDA">
      <w:pPr>
        <w:spacing w:line="560" w:lineRule="exact"/>
        <w:ind w:firstLine="643"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sz w:val="32"/>
          <w:szCs w:val="32"/>
          <w:lang w:eastAsia="zh-CN"/>
        </w:rPr>
        <w:t>研究内容：</w:t>
      </w:r>
      <w:r>
        <w:rPr>
          <w:rFonts w:hint="eastAsia" w:ascii="仿宋_GB2312" w:hAnsi="仿宋_GB2312" w:eastAsia="仿宋_GB2312" w:cs="仿宋_GB2312"/>
          <w:b w:val="0"/>
          <w:bCs w:val="0"/>
          <w:kern w:val="2"/>
          <w:sz w:val="32"/>
          <w:szCs w:val="32"/>
          <w:lang w:val="en-US" w:eastAsia="zh-CN" w:bidi="ar-SA"/>
        </w:rPr>
        <w:t>立足国家能源安全战略和深圳未来产业规划部署，系统梳理紧凑型托卡马克、缪子催化聚变（μCF）等可控核聚变技术国内外演进趋势。对比分析磁约束聚变、惯性约束聚变、μCF在建造周期、装置体积、资本开支及产业化适配性的差异，研判不同技术路线的发展方向与关键突破点。梳理深圳在超导应用、精密制造、特种材料、加速器、氚工艺及核电工程领域的优劣势，联动中国散裂中子源、强流重离子加速器装置、加速器驱动嬗变研究装置等大科学装置，根据深圳创新资源匹配度遴选具备技术可行性、工程化落地的攻关路径，提出适合深圳的可控核聚变中长期技术路线图，形成系统性研究报告。</w:t>
      </w:r>
    </w:p>
    <w:p w14:paraId="6611649C">
      <w:pPr>
        <w:pStyle w:val="2"/>
        <w:spacing w:line="560" w:lineRule="exact"/>
        <w:ind w:firstLine="640" w:firstLineChars="200"/>
        <w:rPr>
          <w:rFonts w:hint="eastAsia" w:ascii="黑体" w:hAnsi="黑体" w:eastAsia="黑体"/>
          <w:b w:val="0"/>
          <w:bCs w:val="0"/>
          <w:sz w:val="32"/>
          <w:szCs w:val="32"/>
          <w:lang w:eastAsia="zh-CN"/>
        </w:rPr>
      </w:pPr>
      <w:r>
        <w:rPr>
          <w:rFonts w:hint="eastAsia" w:ascii="黑体" w:hAnsi="黑体" w:eastAsia="黑体"/>
          <w:b w:val="0"/>
          <w:bCs w:val="0"/>
          <w:sz w:val="32"/>
          <w:szCs w:val="32"/>
          <w:lang w:eastAsia="zh-CN"/>
        </w:rPr>
        <w:t>六、</w:t>
      </w:r>
      <w:r>
        <w:rPr>
          <w:rFonts w:hint="eastAsia" w:ascii="黑体" w:hAnsi="黑体" w:eastAsia="黑体"/>
          <w:b w:val="0"/>
          <w:bCs w:val="0"/>
          <w:sz w:val="32"/>
          <w:szCs w:val="32"/>
        </w:rPr>
        <w:t>深圳无创</w:t>
      </w:r>
      <w:r>
        <w:rPr>
          <w:rFonts w:hint="eastAsia" w:ascii="黑体" w:hAnsi="黑体" w:eastAsia="黑体"/>
          <w:b w:val="0"/>
          <w:bCs w:val="0"/>
          <w:sz w:val="32"/>
          <w:szCs w:val="32"/>
          <w:lang w:eastAsia="zh-CN"/>
        </w:rPr>
        <w:t>脑机接口</w:t>
      </w:r>
      <w:r>
        <w:rPr>
          <w:rFonts w:hint="eastAsia" w:ascii="黑体" w:hAnsi="黑体" w:eastAsia="黑体"/>
          <w:b w:val="0"/>
          <w:bCs w:val="0"/>
          <w:sz w:val="32"/>
          <w:szCs w:val="32"/>
        </w:rPr>
        <w:t>新模态</w:t>
      </w:r>
      <w:r>
        <w:rPr>
          <w:rFonts w:hint="eastAsia" w:ascii="黑体" w:hAnsi="黑体" w:eastAsia="黑体"/>
          <w:b w:val="0"/>
          <w:bCs w:val="0"/>
          <w:sz w:val="32"/>
          <w:szCs w:val="32"/>
          <w:lang w:eastAsia="zh-CN"/>
        </w:rPr>
        <w:t>技术</w:t>
      </w:r>
      <w:r>
        <w:rPr>
          <w:rFonts w:hint="eastAsia" w:ascii="黑体" w:hAnsi="黑体" w:eastAsia="黑体"/>
          <w:b w:val="0"/>
          <w:bCs w:val="0"/>
          <w:sz w:val="32"/>
          <w:szCs w:val="32"/>
        </w:rPr>
        <w:t>预见研究</w:t>
      </w:r>
    </w:p>
    <w:p w14:paraId="60CE181E">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研究内容：</w:t>
      </w:r>
      <w:r>
        <w:rPr>
          <w:rFonts w:hint="eastAsia" w:ascii="仿宋_GB2312" w:hAnsi="仿宋_GB2312" w:eastAsia="仿宋_GB2312" w:cs="仿宋_GB2312"/>
          <w:sz w:val="32"/>
          <w:szCs w:val="32"/>
        </w:rPr>
        <w:t>无创脑机接口由传统脑电单模态向多物理模态融合演进，声、光、磁等新模态成为提升脑信息读取、解码与闭环调控能力的重要技术方向。分析国内外新模态无创脑机接口技术趋势、科研布局与应用进展，梳理深圳相关技术积累及创新资源基础，重点研判功能超声脑影像解码、光声成像、磁共振神经电活动探测、多模态信息融合与神经功能解码、无创神经调控与闭环反馈等关键技术方向，并对比分析声、光、磁等新模态与传统脑电（EEG）在信息获取、时空分辨率、解码能力、安全性及应用适配性等方面的差异，研判由传统脑电单模态向声光电磁多模态协同演进的技术路径，提出深圳具有技术基础和发展潜力的重点细分方向，形成系统性研究报告。</w:t>
      </w:r>
    </w:p>
    <w:p w14:paraId="30534348">
      <w:pPr>
        <w:pStyle w:val="2"/>
        <w:spacing w:line="560" w:lineRule="exact"/>
        <w:ind w:firstLine="640" w:firstLineChars="200"/>
        <w:rPr>
          <w:rFonts w:hint="eastAsia" w:ascii="黑体" w:hAnsi="黑体" w:eastAsia="黑体"/>
          <w:b w:val="0"/>
          <w:bCs w:val="0"/>
          <w:sz w:val="32"/>
          <w:szCs w:val="32"/>
          <w:lang w:eastAsia="zh-CN"/>
        </w:rPr>
      </w:pPr>
      <w:r>
        <w:rPr>
          <w:rFonts w:hint="eastAsia" w:ascii="黑体" w:hAnsi="黑体" w:eastAsia="黑体"/>
          <w:b w:val="0"/>
          <w:bCs w:val="0"/>
          <w:sz w:val="32"/>
          <w:szCs w:val="32"/>
          <w:lang w:eastAsia="zh-CN"/>
        </w:rPr>
        <w:t>七、</w:t>
      </w:r>
      <w:bookmarkStart w:id="0" w:name="_GoBack"/>
      <w:r>
        <w:rPr>
          <w:rFonts w:hint="eastAsia" w:ascii="黑体" w:hAnsi="黑体" w:eastAsia="黑体"/>
          <w:b w:val="0"/>
          <w:bCs w:val="0"/>
          <w:sz w:val="32"/>
          <w:szCs w:val="32"/>
          <w:lang w:eastAsia="zh-CN"/>
        </w:rPr>
        <w:t>深圳基础研究产业创新发展联合基金策略研究</w:t>
      </w:r>
    </w:p>
    <w:bookmarkEnd w:id="0"/>
    <w:p w14:paraId="2F0AD302">
      <w:pPr>
        <w:spacing w:line="56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研究内容：</w:t>
      </w:r>
      <w:r>
        <w:rPr>
          <w:rFonts w:hint="eastAsia" w:ascii="仿宋_GB2312" w:hAnsi="仿宋_GB2312" w:eastAsia="仿宋_GB2312" w:cs="仿宋_GB2312"/>
          <w:sz w:val="32"/>
          <w:szCs w:val="32"/>
          <w:lang w:eastAsia="zh-CN"/>
        </w:rPr>
        <w:t>深入分析</w:t>
      </w:r>
      <w:r>
        <w:rPr>
          <w:rFonts w:ascii="仿宋_GB2312" w:hAnsi="仿宋_GB2312" w:eastAsia="仿宋_GB2312" w:cs="仿宋_GB2312"/>
          <w:sz w:val="32"/>
          <w:szCs w:val="32"/>
        </w:rPr>
        <w:t>国家和省级联合基金实施现状、资助模式</w:t>
      </w:r>
      <w:r>
        <w:rPr>
          <w:rFonts w:hint="eastAsia" w:ascii="仿宋_GB2312" w:hAnsi="仿宋_GB2312" w:eastAsia="仿宋_GB2312" w:cs="仿宋_GB2312"/>
          <w:sz w:val="32"/>
          <w:szCs w:val="32"/>
          <w:lang w:eastAsia="zh-CN"/>
        </w:rPr>
        <w:t>、管理机制</w:t>
      </w:r>
      <w:r>
        <w:rPr>
          <w:rFonts w:ascii="仿宋_GB2312" w:hAnsi="仿宋_GB2312" w:eastAsia="仿宋_GB2312" w:cs="仿宋_GB2312"/>
          <w:sz w:val="32"/>
          <w:szCs w:val="32"/>
        </w:rPr>
        <w:t>及转化短板</w:t>
      </w:r>
      <w:r>
        <w:rPr>
          <w:rFonts w:hint="eastAsia" w:ascii="仿宋_GB2312" w:hAnsi="仿宋_GB2312" w:eastAsia="仿宋_GB2312" w:cs="仿宋_GB2312"/>
          <w:sz w:val="32"/>
          <w:szCs w:val="32"/>
          <w:lang w:eastAsia="zh-CN"/>
        </w:rPr>
        <w:t>，对标全球典型早期前沿基金运作模式，前瞻研判深圳重点产业领域基础研究产业化需求，探索联合基金赋能重点产业基础攻关与成果转化的可行路径，提出联合基金组织模式、产业设置、项目遴选、差异化资助配比、过程管理与容错激励制度等实施路径。形成《全球早期前沿基金运作模式分析》《深圳基础研究产业创新发展联合基金实施建议》等研究报告。</w:t>
      </w:r>
    </w:p>
    <w:p w14:paraId="1507FDA9">
      <w:pPr>
        <w:pStyle w:val="2"/>
        <w:spacing w:line="560" w:lineRule="exact"/>
        <w:ind w:firstLine="640" w:firstLineChars="200"/>
        <w:rPr>
          <w:rFonts w:hint="eastAsia" w:ascii="黑体" w:hAnsi="黑体" w:eastAsia="黑体"/>
          <w:b w:val="0"/>
          <w:bCs w:val="0"/>
          <w:sz w:val="32"/>
          <w:szCs w:val="32"/>
          <w:lang w:eastAsia="zh-CN"/>
        </w:rPr>
      </w:pPr>
      <w:r>
        <w:rPr>
          <w:rFonts w:hint="eastAsia" w:ascii="黑体" w:hAnsi="黑体" w:eastAsia="黑体"/>
          <w:b w:val="0"/>
          <w:bCs w:val="0"/>
          <w:sz w:val="32"/>
          <w:szCs w:val="32"/>
          <w:lang w:eastAsia="zh-CN"/>
        </w:rPr>
        <w:t>八、深圳虚拟大学园教科人一体发展特色示范平台建设研究</w:t>
      </w:r>
    </w:p>
    <w:p w14:paraId="0F6F6647">
      <w:pPr>
        <w:spacing w:line="560" w:lineRule="exact"/>
        <w:ind w:firstLine="643" w:firstLineChars="200"/>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sz w:val="32"/>
          <w:szCs w:val="32"/>
        </w:rPr>
        <w:t>研究内容：</w:t>
      </w:r>
      <w:r>
        <w:rPr>
          <w:rFonts w:hint="eastAsia" w:ascii="仿宋_GB2312" w:hAnsi="仿宋_GB2312" w:eastAsia="仿宋_GB2312" w:cs="仿宋_GB2312"/>
          <w:sz w:val="32"/>
          <w:szCs w:val="32"/>
          <w:lang w:eastAsia="zh-CN"/>
        </w:rPr>
        <w:t>深入剖析深圳虚拟大学园教育、科技、人才一体发展的基础现状、面临的瓶颈问题，全面梳理国内外教育科技人才一体发展典型案例经验，提出新时期深圳虚拟大学园打造教科人一体发展特色示范平台的战略定位、重点改革任务及分阶段实施路径，助力深圳建设具有全球引领力的国际产业科技创新中心。形成《深圳虚拟大学园教科人一体发展白皮书》《深圳虚拟大学园教科人一体发展特色示范平台建设方案》等研究报告。</w:t>
      </w:r>
      <w:r>
        <w:rPr>
          <w:rFonts w:hint="eastAsia" w:ascii="仿宋_GB2312" w:hAnsi="仿宋_GB2312" w:eastAsia="仿宋_GB2312" w:cs="仿宋_GB2312"/>
          <w:b/>
          <w:bCs/>
          <w:kern w:val="2"/>
          <w:sz w:val="32"/>
          <w:szCs w:val="32"/>
          <w:lang w:val="en-US" w:eastAsia="zh-CN" w:bidi="ar-SA"/>
        </w:rPr>
        <w:t>‌</w:t>
      </w:r>
    </w:p>
    <w:sectPr>
      <w:headerReference r:id="rId3" w:type="default"/>
      <w:footerReference r:id="rId4" w:type="default"/>
      <w:pgSz w:w="11906" w:h="16838"/>
      <w:pgMar w:top="1701" w:right="1474" w:bottom="1701"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DejaVu Math TeX Gyre">
    <w:panose1 w:val="02000503000000000000"/>
    <w:charset w:val="00"/>
    <w:family w:val="auto"/>
    <w:pitch w:val="default"/>
    <w:sig w:usb0="A10000EF" w:usb1="4201F9EE" w:usb2="02000000" w:usb3="00000000" w:csb0="60000193" w:csb1="0DD4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59A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D4539">
                          <w:pPr>
                            <w:pStyle w:val="4"/>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6D4539">
                    <w:pPr>
                      <w:pStyle w:val="4"/>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900C4">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FBF7CF0"/>
    <w:rsid w:val="00004625"/>
    <w:rsid w:val="001F405A"/>
    <w:rsid w:val="00330FFD"/>
    <w:rsid w:val="003D2A87"/>
    <w:rsid w:val="00566C19"/>
    <w:rsid w:val="005E30A1"/>
    <w:rsid w:val="00717612"/>
    <w:rsid w:val="00854F99"/>
    <w:rsid w:val="008655EF"/>
    <w:rsid w:val="008E53EE"/>
    <w:rsid w:val="00946160"/>
    <w:rsid w:val="00A03EB1"/>
    <w:rsid w:val="00AB25E2"/>
    <w:rsid w:val="00B41A6E"/>
    <w:rsid w:val="00BB51FA"/>
    <w:rsid w:val="00FB4B0D"/>
    <w:rsid w:val="07BEDCE5"/>
    <w:rsid w:val="24DFF6D0"/>
    <w:rsid w:val="2BFF37A7"/>
    <w:rsid w:val="32DB4F68"/>
    <w:rsid w:val="368FA8E2"/>
    <w:rsid w:val="375EC1E7"/>
    <w:rsid w:val="38F57F01"/>
    <w:rsid w:val="3A7FA620"/>
    <w:rsid w:val="3BB78B31"/>
    <w:rsid w:val="3DE1C82C"/>
    <w:rsid w:val="41FE6C36"/>
    <w:rsid w:val="4AF7530A"/>
    <w:rsid w:val="4C636D32"/>
    <w:rsid w:val="4D4FA637"/>
    <w:rsid w:val="4DF7F6AF"/>
    <w:rsid w:val="4FD364F9"/>
    <w:rsid w:val="5DDDECA8"/>
    <w:rsid w:val="5DF89FCD"/>
    <w:rsid w:val="5F17517B"/>
    <w:rsid w:val="5F631FDB"/>
    <w:rsid w:val="5F65EF51"/>
    <w:rsid w:val="5FB5A7B5"/>
    <w:rsid w:val="5FFB9579"/>
    <w:rsid w:val="67EEAB47"/>
    <w:rsid w:val="6AEE9653"/>
    <w:rsid w:val="6D6F74A6"/>
    <w:rsid w:val="6DE31C10"/>
    <w:rsid w:val="6F791222"/>
    <w:rsid w:val="6FDF33F7"/>
    <w:rsid w:val="6FDFB84B"/>
    <w:rsid w:val="6FFE30D6"/>
    <w:rsid w:val="6FFF3B92"/>
    <w:rsid w:val="747EE87F"/>
    <w:rsid w:val="76FD9080"/>
    <w:rsid w:val="777F1487"/>
    <w:rsid w:val="779EACB2"/>
    <w:rsid w:val="77D73E97"/>
    <w:rsid w:val="7AF2022C"/>
    <w:rsid w:val="7B03D5D4"/>
    <w:rsid w:val="7BBF4465"/>
    <w:rsid w:val="7BF53578"/>
    <w:rsid w:val="7BFDF4CF"/>
    <w:rsid w:val="7D39235E"/>
    <w:rsid w:val="7D48A071"/>
    <w:rsid w:val="7DFFE0BC"/>
    <w:rsid w:val="7EB1D029"/>
    <w:rsid w:val="7F33AE42"/>
    <w:rsid w:val="7F3B0F87"/>
    <w:rsid w:val="7FBD33A8"/>
    <w:rsid w:val="7FCFF56C"/>
    <w:rsid w:val="7FE6395C"/>
    <w:rsid w:val="7FEBCFE6"/>
    <w:rsid w:val="87FF3065"/>
    <w:rsid w:val="9757E45E"/>
    <w:rsid w:val="9EF2EF19"/>
    <w:rsid w:val="9FEF2E82"/>
    <w:rsid w:val="A77EF036"/>
    <w:rsid w:val="AECF8559"/>
    <w:rsid w:val="AFB32BF0"/>
    <w:rsid w:val="B03F8CB3"/>
    <w:rsid w:val="B3BE9B4B"/>
    <w:rsid w:val="B77BA204"/>
    <w:rsid w:val="BAF39FB0"/>
    <w:rsid w:val="BBA76FBA"/>
    <w:rsid w:val="BDAE1A3A"/>
    <w:rsid w:val="BFF587B9"/>
    <w:rsid w:val="C7FAF98E"/>
    <w:rsid w:val="C7FDEFA2"/>
    <w:rsid w:val="CDA31E17"/>
    <w:rsid w:val="CFFCF888"/>
    <w:rsid w:val="D432BC4A"/>
    <w:rsid w:val="D57F9267"/>
    <w:rsid w:val="D74EB766"/>
    <w:rsid w:val="D773F9DE"/>
    <w:rsid w:val="DBEF7BDC"/>
    <w:rsid w:val="DD5547E5"/>
    <w:rsid w:val="DD7E1A66"/>
    <w:rsid w:val="DE6D3609"/>
    <w:rsid w:val="DECE3922"/>
    <w:rsid w:val="DFBDF27E"/>
    <w:rsid w:val="DFEA182C"/>
    <w:rsid w:val="DFEF8876"/>
    <w:rsid w:val="E2F75E39"/>
    <w:rsid w:val="E2FD370E"/>
    <w:rsid w:val="E5BF49D2"/>
    <w:rsid w:val="E7FF47E9"/>
    <w:rsid w:val="E8DF0629"/>
    <w:rsid w:val="EADE1D75"/>
    <w:rsid w:val="EBF188FD"/>
    <w:rsid w:val="EC97C601"/>
    <w:rsid w:val="EDAF5EEF"/>
    <w:rsid w:val="EEDD88DC"/>
    <w:rsid w:val="EEFA807F"/>
    <w:rsid w:val="EEFFCF97"/>
    <w:rsid w:val="EF9B3A6D"/>
    <w:rsid w:val="EFAECD1C"/>
    <w:rsid w:val="EFEEEAEE"/>
    <w:rsid w:val="EFF58DAA"/>
    <w:rsid w:val="F4BD16FD"/>
    <w:rsid w:val="F5DECBFA"/>
    <w:rsid w:val="F7F2F3EC"/>
    <w:rsid w:val="F7FB7ECC"/>
    <w:rsid w:val="F7FF04E4"/>
    <w:rsid w:val="F7FFC765"/>
    <w:rsid w:val="F91E2C4D"/>
    <w:rsid w:val="FAEBBD0F"/>
    <w:rsid w:val="FD791515"/>
    <w:rsid w:val="FDB6861C"/>
    <w:rsid w:val="FDFF61E0"/>
    <w:rsid w:val="FEFC5F9E"/>
    <w:rsid w:val="FFA622A0"/>
    <w:rsid w:val="FFBAE1D7"/>
    <w:rsid w:val="FFBF7CF0"/>
    <w:rsid w:val="FFD53EA6"/>
    <w:rsid w:val="FFDA0A88"/>
    <w:rsid w:val="FFEB1151"/>
    <w:rsid w:val="FFEEEA0D"/>
    <w:rsid w:val="FFF71E96"/>
    <w:rsid w:val="FFF958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0"/>
    <w:qFormat/>
    <w:uiPriority w:val="0"/>
    <w:pPr>
      <w:keepNext/>
      <w:keepLines/>
      <w:spacing w:line="578" w:lineRule="auto"/>
      <w:outlineLvl w:val="0"/>
    </w:pPr>
    <w:rPr>
      <w:b/>
      <w:bCs/>
      <w:kern w:val="44"/>
      <w:sz w:val="44"/>
      <w:szCs w:val="44"/>
    </w:rPr>
  </w:style>
  <w:style w:type="paragraph" w:styleId="3">
    <w:name w:val="heading 3"/>
    <w:next w:val="1"/>
    <w:link w:val="11"/>
    <w:unhideWhenUsed/>
    <w:qFormat/>
    <w:uiPriority w:val="9"/>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customStyle="1" w:styleId="9">
    <w:name w:val="Default"/>
    <w:qFormat/>
    <w:uiPriority w:val="0"/>
    <w:pPr>
      <w:widowControl w:val="0"/>
      <w:autoSpaceDE w:val="0"/>
      <w:autoSpaceDN w:val="0"/>
      <w:adjustRightInd w:val="0"/>
    </w:pPr>
    <w:rPr>
      <w:rFonts w:ascii="楷体_GB2312" w:hAnsi="楷体_GB2312" w:eastAsia="Times New Roman" w:cs="Times New Roman"/>
      <w:color w:val="000000"/>
      <w:sz w:val="24"/>
      <w:szCs w:val="22"/>
      <w:lang w:val="en-US" w:eastAsia="zh-CN" w:bidi="ar-SA"/>
    </w:rPr>
  </w:style>
  <w:style w:type="character" w:customStyle="1" w:styleId="10">
    <w:name w:val="标题 1 字符"/>
    <w:basedOn w:val="8"/>
    <w:link w:val="2"/>
    <w:qFormat/>
    <w:uiPriority w:val="0"/>
    <w:rPr>
      <w:rFonts w:asciiTheme="minorHAnsi" w:hAnsiTheme="minorHAnsi" w:eastAsiaTheme="minorEastAsia" w:cstheme="minorBidi"/>
      <w:b/>
      <w:bCs/>
      <w:kern w:val="44"/>
      <w:sz w:val="44"/>
      <w:szCs w:val="44"/>
    </w:rPr>
  </w:style>
  <w:style w:type="character" w:customStyle="1" w:styleId="11">
    <w:name w:val="标题 3 字符1"/>
    <w:link w:val="3"/>
    <w:qFormat/>
    <w:uiPriority w:val="9"/>
    <w:rPr>
      <w:rFonts w:ascii="Times New Roman" w:hAnsi="Times New Roman" w:eastAsia="仿宋_GB2312" w:cs="仿宋_GB231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711</Words>
  <Characters>4053</Characters>
  <Lines>33</Lines>
  <Paragraphs>9</Paragraphs>
  <TotalTime>14</TotalTime>
  <ScaleCrop>false</ScaleCrop>
  <LinksUpToDate>false</LinksUpToDate>
  <CharactersWithSpaces>4755</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2026-05-15T22:36:00Z</dcterms:created>
  <dc:creator>严稳定</dc:creator>
  <cp:lastModifiedBy>周利民</cp:lastModifiedBy>
  <dcterms:modified xsi:type="dcterms:W3CDTF">2026-09-21T12:56:48Z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CC4C47F569E56F242681AE699D647397</vt:lpwstr>
  </property>
</Properties>
</file>