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</w:p>
    <w:p>
      <w:pPr>
        <w:jc w:val="center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  <w:t>国际船舶管理清单（模板）</w:t>
      </w:r>
    </w:p>
    <w:p>
      <w:pPr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tbl>
      <w:tblPr>
        <w:tblStyle w:val="4"/>
        <w:tblW w:w="86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48"/>
        <w:gridCol w:w="1277"/>
        <w:gridCol w:w="997"/>
        <w:gridCol w:w="997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船舶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名称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IMO Number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总吨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国籍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性质（自有/光租/代管）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加入公司船舶管理的时间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9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10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6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申请金额合计：</w:t>
            </w: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ascii="仿宋_GB2312" w:hAnsi="宋体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Company IMO Number: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p>
      <w:pPr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BFB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孔祥海</cp:lastModifiedBy>
  <dcterms:modified xsi:type="dcterms:W3CDTF">2023-06-29T14:00:12Z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