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5F129">
      <w:pPr>
        <w:rPr>
          <w:rFonts w:hint="default" w:ascii="Times New Roman" w:hAnsi="Times New Roman" w:eastAsia="仿宋_GB2312" w:cs="Times New Roman"/>
          <w:color w:val="auto"/>
          <w:sz w:val="32"/>
          <w:szCs w:val="32"/>
          <w:highlight w:val="none"/>
        </w:rPr>
      </w:pPr>
    </w:p>
    <w:p w14:paraId="22B8CB1C">
      <w:pPr>
        <w:rPr>
          <w:rFonts w:hint="default" w:ascii="Times New Roman" w:hAnsi="Times New Roman" w:eastAsia="仿宋_GB2312" w:cs="Times New Roman"/>
          <w:color w:val="auto"/>
          <w:sz w:val="32"/>
          <w:szCs w:val="32"/>
          <w:highlight w:val="none"/>
        </w:rPr>
      </w:pPr>
    </w:p>
    <w:p w14:paraId="4BBDFDCE">
      <w:pPr>
        <w:rPr>
          <w:rFonts w:hint="default" w:ascii="Times New Roman" w:hAnsi="Times New Roman" w:eastAsia="仿宋_GB2312" w:cs="Times New Roman"/>
          <w:color w:val="auto"/>
          <w:sz w:val="32"/>
          <w:szCs w:val="32"/>
          <w:highlight w:val="none"/>
        </w:rPr>
      </w:pPr>
    </w:p>
    <w:p w14:paraId="63327FFF">
      <w:pPr>
        <w:rPr>
          <w:rFonts w:hint="default" w:ascii="Times New Roman" w:hAnsi="Times New Roman" w:eastAsia="仿宋_GB2312" w:cs="Times New Roman"/>
          <w:color w:val="auto"/>
          <w:sz w:val="32"/>
          <w:szCs w:val="32"/>
          <w:highlight w:val="none"/>
        </w:rPr>
      </w:pPr>
    </w:p>
    <w:p w14:paraId="6085DBFB">
      <w:pPr>
        <w:jc w:val="center"/>
        <w:rPr>
          <w:rFonts w:hint="default" w:ascii="Times New Roman" w:hAnsi="Times New Roman" w:eastAsia="方正小标宋简体" w:cs="Times New Roman"/>
          <w:color w:val="auto"/>
          <w:sz w:val="48"/>
          <w:szCs w:val="48"/>
          <w:highlight w:val="none"/>
          <w:lang w:eastAsia="zh-CN"/>
        </w:rPr>
      </w:pPr>
      <w:r>
        <w:rPr>
          <w:rFonts w:hint="default" w:ascii="Times New Roman" w:hAnsi="Times New Roman" w:eastAsia="方正小标宋简体" w:cs="Times New Roman"/>
          <w:color w:val="auto"/>
          <w:sz w:val="48"/>
          <w:szCs w:val="48"/>
          <w:highlight w:val="none"/>
        </w:rPr>
        <w:t>贵州省零碳</w:t>
      </w:r>
      <w:r>
        <w:rPr>
          <w:rFonts w:hint="default" w:ascii="Times New Roman" w:hAnsi="Times New Roman" w:eastAsia="方正小标宋简体" w:cs="Times New Roman"/>
          <w:color w:val="auto"/>
          <w:sz w:val="48"/>
          <w:szCs w:val="48"/>
          <w:highlight w:val="none"/>
          <w:lang w:val="en-US" w:eastAsia="zh-CN"/>
        </w:rPr>
        <w:t>工厂</w:t>
      </w:r>
      <w:r>
        <w:rPr>
          <w:rFonts w:hint="default" w:ascii="Times New Roman" w:hAnsi="Times New Roman" w:eastAsia="方正小标宋简体" w:cs="Times New Roman"/>
          <w:color w:val="auto"/>
          <w:sz w:val="48"/>
          <w:szCs w:val="48"/>
          <w:highlight w:val="none"/>
        </w:rPr>
        <w:t>评价要求</w:t>
      </w:r>
    </w:p>
    <w:p w14:paraId="5C686BB3">
      <w:pPr>
        <w:jc w:val="center"/>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（2024年）</w:t>
      </w:r>
    </w:p>
    <w:p w14:paraId="65394D4F">
      <w:pPr>
        <w:rPr>
          <w:rFonts w:hint="default" w:ascii="Times New Roman" w:hAnsi="Times New Roman" w:eastAsia="仿宋_GB2312" w:cs="Times New Roman"/>
          <w:color w:val="auto"/>
          <w:sz w:val="32"/>
          <w:szCs w:val="32"/>
          <w:highlight w:val="none"/>
          <w:lang w:val="en-US" w:eastAsia="zh-CN"/>
        </w:rPr>
      </w:pPr>
    </w:p>
    <w:p w14:paraId="2A16BD40">
      <w:pPr>
        <w:rPr>
          <w:rFonts w:hint="default" w:ascii="Times New Roman" w:hAnsi="Times New Roman" w:eastAsia="仿宋_GB2312" w:cs="Times New Roman"/>
          <w:color w:val="auto"/>
          <w:sz w:val="32"/>
          <w:szCs w:val="32"/>
          <w:highlight w:val="none"/>
          <w:lang w:val="en-US" w:eastAsia="zh-CN"/>
        </w:rPr>
      </w:pPr>
    </w:p>
    <w:p w14:paraId="4BD6AD34">
      <w:pPr>
        <w:rPr>
          <w:rFonts w:hint="default" w:ascii="Times New Roman" w:hAnsi="Times New Roman" w:eastAsia="仿宋_GB2312" w:cs="Times New Roman"/>
          <w:color w:val="auto"/>
          <w:sz w:val="32"/>
          <w:szCs w:val="32"/>
          <w:highlight w:val="none"/>
          <w:lang w:val="en-US" w:eastAsia="zh-CN"/>
        </w:rPr>
      </w:pPr>
    </w:p>
    <w:p w14:paraId="4DAE35DC">
      <w:pPr>
        <w:rPr>
          <w:rFonts w:hint="default" w:ascii="Times New Roman" w:hAnsi="Times New Roman" w:eastAsia="仿宋_GB2312" w:cs="Times New Roman"/>
          <w:color w:val="auto"/>
          <w:sz w:val="32"/>
          <w:szCs w:val="32"/>
          <w:highlight w:val="none"/>
          <w:lang w:val="en-US" w:eastAsia="zh-CN"/>
        </w:rPr>
      </w:pPr>
    </w:p>
    <w:p w14:paraId="5AAD332A">
      <w:pPr>
        <w:rPr>
          <w:rFonts w:hint="default" w:ascii="Times New Roman" w:hAnsi="Times New Roman" w:eastAsia="仿宋_GB2312" w:cs="Times New Roman"/>
          <w:color w:val="auto"/>
          <w:sz w:val="32"/>
          <w:szCs w:val="32"/>
          <w:highlight w:val="none"/>
          <w:lang w:val="en-US" w:eastAsia="zh-CN"/>
        </w:rPr>
      </w:pPr>
    </w:p>
    <w:p w14:paraId="2FC0CD51">
      <w:pPr>
        <w:rPr>
          <w:rFonts w:hint="default" w:ascii="Times New Roman" w:hAnsi="Times New Roman" w:eastAsia="仿宋_GB2312" w:cs="Times New Roman"/>
          <w:color w:val="auto"/>
          <w:sz w:val="32"/>
          <w:szCs w:val="32"/>
          <w:highlight w:val="none"/>
          <w:lang w:val="en-US" w:eastAsia="zh-CN"/>
        </w:rPr>
      </w:pPr>
    </w:p>
    <w:p w14:paraId="422FD96A">
      <w:pPr>
        <w:rPr>
          <w:rFonts w:hint="default" w:ascii="Times New Roman" w:hAnsi="Times New Roman" w:eastAsia="仿宋_GB2312" w:cs="Times New Roman"/>
          <w:color w:val="auto"/>
          <w:sz w:val="32"/>
          <w:szCs w:val="32"/>
          <w:highlight w:val="none"/>
          <w:lang w:val="en-US" w:eastAsia="zh-CN"/>
        </w:rPr>
      </w:pPr>
    </w:p>
    <w:p w14:paraId="1C43D61A">
      <w:pPr>
        <w:rPr>
          <w:rFonts w:hint="default" w:ascii="Times New Roman" w:hAnsi="Times New Roman" w:eastAsia="仿宋_GB2312" w:cs="Times New Roman"/>
          <w:color w:val="auto"/>
          <w:sz w:val="32"/>
          <w:szCs w:val="32"/>
          <w:highlight w:val="none"/>
          <w:lang w:val="en-US" w:eastAsia="zh-CN"/>
        </w:rPr>
      </w:pPr>
    </w:p>
    <w:p w14:paraId="401EC8FA">
      <w:pPr>
        <w:rPr>
          <w:rFonts w:hint="default" w:ascii="Times New Roman" w:hAnsi="Times New Roman" w:eastAsia="仿宋_GB2312" w:cs="Times New Roman"/>
          <w:color w:val="auto"/>
          <w:sz w:val="32"/>
          <w:szCs w:val="32"/>
          <w:highlight w:val="none"/>
          <w:lang w:val="en-US" w:eastAsia="zh-CN"/>
        </w:rPr>
      </w:pPr>
    </w:p>
    <w:p w14:paraId="3FFAAED7">
      <w:pPr>
        <w:rPr>
          <w:rFonts w:hint="default" w:ascii="Times New Roman" w:hAnsi="Times New Roman" w:eastAsia="仿宋_GB2312" w:cs="Times New Roman"/>
          <w:color w:val="auto"/>
          <w:sz w:val="32"/>
          <w:szCs w:val="32"/>
          <w:highlight w:val="none"/>
          <w:lang w:val="en-US" w:eastAsia="zh-CN"/>
        </w:rPr>
      </w:pPr>
    </w:p>
    <w:p w14:paraId="09B9BE63">
      <w:pPr>
        <w:jc w:val="center"/>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贵州省工业和信息化厅</w:t>
      </w:r>
    </w:p>
    <w:p w14:paraId="3EFC42D2">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2024年11月</w:t>
      </w:r>
    </w:p>
    <w:p w14:paraId="369953BA">
      <w:pPr>
        <w:rPr>
          <w:rFonts w:hint="default" w:ascii="Times New Roman" w:hAnsi="Times New Roman" w:eastAsia="仿宋_GB2312" w:cs="Times New Roman"/>
          <w:color w:val="auto"/>
          <w:sz w:val="32"/>
          <w:szCs w:val="32"/>
          <w:highlight w:val="none"/>
          <w:lang w:val="en-US" w:eastAsia="zh-CN"/>
        </w:rPr>
      </w:pPr>
    </w:p>
    <w:p w14:paraId="3629C1FD">
      <w:pPr>
        <w:rPr>
          <w:rFonts w:hint="default" w:ascii="Times New Roman" w:hAnsi="Times New Roman" w:eastAsia="仿宋_GB2312" w:cs="Times New Roman"/>
          <w:color w:val="auto"/>
          <w:sz w:val="32"/>
          <w:szCs w:val="32"/>
          <w:highlight w:val="none"/>
          <w:lang w:val="en-US" w:eastAsia="zh-CN"/>
        </w:rPr>
      </w:pPr>
    </w:p>
    <w:p w14:paraId="10848FE3">
      <w:pPr>
        <w:rPr>
          <w:rFonts w:hint="default" w:ascii="Times New Roman" w:hAnsi="Times New Roman" w:eastAsia="仿宋_GB2312" w:cs="Times New Roman"/>
          <w:color w:val="auto"/>
          <w:sz w:val="32"/>
          <w:szCs w:val="32"/>
          <w:highlight w:val="none"/>
          <w:lang w:val="en-US" w:eastAsia="zh-CN"/>
        </w:rPr>
        <w:sectPr>
          <w:pgSz w:w="11906" w:h="16838"/>
          <w:pgMar w:top="2098" w:right="1474" w:bottom="1984" w:left="1587" w:header="851" w:footer="1559" w:gutter="0"/>
          <w:pgBorders>
            <w:top w:val="none" w:sz="0" w:space="0"/>
            <w:left w:val="none" w:sz="0" w:space="0"/>
            <w:bottom w:val="none" w:sz="0" w:space="0"/>
            <w:right w:val="none" w:sz="0" w:space="0"/>
          </w:pgBorders>
          <w:pgNumType w:fmt="upperRoman"/>
          <w:cols w:space="0" w:num="1"/>
          <w:rtlGutter w:val="0"/>
          <w:docGrid w:type="lines" w:linePitch="312" w:charSpace="0"/>
        </w:sectPr>
      </w:pPr>
    </w:p>
    <w:p w14:paraId="799B124B">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目录</w:t>
      </w:r>
    </w:p>
    <w:p w14:paraId="48177410">
      <w:pPr>
        <w:bidi w:val="0"/>
        <w:rPr>
          <w:rFonts w:hint="default" w:ascii="Times New Roman" w:hAnsi="Times New Roman" w:cs="Times New Roman"/>
          <w:color w:val="auto"/>
          <w:highlight w:val="none"/>
          <w:lang w:val="en-US" w:eastAsia="zh-CN"/>
        </w:rPr>
      </w:pPr>
    </w:p>
    <w:p w14:paraId="37676A02">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TOC \o "1-3" \h \u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_Toc31486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前言</w:t>
      </w:r>
      <w:r>
        <w:rPr>
          <w:sz w:val="28"/>
          <w:szCs w:val="28"/>
        </w:rPr>
        <w:tab/>
      </w:r>
      <w:r>
        <w:rPr>
          <w:sz w:val="28"/>
          <w:szCs w:val="28"/>
        </w:rPr>
        <w:fldChar w:fldCharType="begin"/>
      </w:r>
      <w:r>
        <w:rPr>
          <w:sz w:val="28"/>
          <w:szCs w:val="28"/>
        </w:rPr>
        <w:instrText xml:space="preserve"> PAGEREF _Toc31486 \h </w:instrText>
      </w:r>
      <w:r>
        <w:rPr>
          <w:sz w:val="28"/>
          <w:szCs w:val="28"/>
        </w:rPr>
        <w:fldChar w:fldCharType="separate"/>
      </w:r>
      <w:r>
        <w:rPr>
          <w:sz w:val="28"/>
          <w:szCs w:val="28"/>
        </w:rPr>
        <w:t>1</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160763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_Toc20185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一、总则</w:t>
      </w:r>
      <w:r>
        <w:rPr>
          <w:sz w:val="28"/>
          <w:szCs w:val="28"/>
        </w:rPr>
        <w:tab/>
      </w:r>
      <w:r>
        <w:rPr>
          <w:sz w:val="28"/>
          <w:szCs w:val="28"/>
        </w:rPr>
        <w:fldChar w:fldCharType="begin"/>
      </w:r>
      <w:r>
        <w:rPr>
          <w:sz w:val="28"/>
          <w:szCs w:val="28"/>
        </w:rPr>
        <w:instrText xml:space="preserve"> PAGEREF _Toc20185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B1F731D">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_Toc20386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rPr>
        <w:t>（一）定义</w:t>
      </w:r>
      <w:r>
        <w:rPr>
          <w:sz w:val="28"/>
          <w:szCs w:val="28"/>
        </w:rPr>
        <w:tab/>
      </w:r>
      <w:r>
        <w:rPr>
          <w:sz w:val="28"/>
          <w:szCs w:val="28"/>
        </w:rPr>
        <w:fldChar w:fldCharType="begin"/>
      </w:r>
      <w:r>
        <w:rPr>
          <w:sz w:val="28"/>
          <w:szCs w:val="28"/>
        </w:rPr>
        <w:instrText xml:space="preserve"> PAGEREF _Toc20386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3B9F682">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_Toc20457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二</w:t>
      </w:r>
      <w:r>
        <w:rPr>
          <w:rFonts w:hint="default" w:ascii="Times New Roman" w:hAnsi="Times New Roman" w:eastAsia="楷体" w:cs="Times New Roman"/>
          <w:bCs/>
          <w:sz w:val="28"/>
          <w:szCs w:val="28"/>
          <w:highlight w:val="none"/>
        </w:rPr>
        <w:t>）目的</w:t>
      </w:r>
      <w:r>
        <w:rPr>
          <w:rFonts w:hint="default" w:ascii="Times New Roman" w:hAnsi="Times New Roman" w:eastAsia="楷体" w:cs="Times New Roman"/>
          <w:bCs/>
          <w:sz w:val="28"/>
          <w:szCs w:val="28"/>
          <w:highlight w:val="none"/>
          <w:lang w:val="en-US" w:eastAsia="zh-CN"/>
        </w:rPr>
        <w:t>和</w:t>
      </w:r>
      <w:r>
        <w:rPr>
          <w:rFonts w:hint="default" w:ascii="Times New Roman" w:hAnsi="Times New Roman" w:eastAsia="楷体" w:cs="Times New Roman"/>
          <w:bCs/>
          <w:sz w:val="28"/>
          <w:szCs w:val="28"/>
          <w:highlight w:val="none"/>
        </w:rPr>
        <w:t>范围</w:t>
      </w:r>
      <w:r>
        <w:rPr>
          <w:sz w:val="28"/>
          <w:szCs w:val="28"/>
        </w:rPr>
        <w:tab/>
      </w:r>
      <w:r>
        <w:rPr>
          <w:sz w:val="28"/>
          <w:szCs w:val="28"/>
        </w:rPr>
        <w:fldChar w:fldCharType="begin"/>
      </w:r>
      <w:r>
        <w:rPr>
          <w:sz w:val="28"/>
          <w:szCs w:val="28"/>
        </w:rPr>
        <w:instrText xml:space="preserve"> PAGEREF _Toc20457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006EAED">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_Toc8224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三</w:t>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一般</w:t>
      </w:r>
      <w:r>
        <w:rPr>
          <w:rFonts w:hint="default" w:ascii="Times New Roman" w:hAnsi="Times New Roman" w:eastAsia="楷体" w:cs="Times New Roman"/>
          <w:bCs/>
          <w:sz w:val="28"/>
          <w:szCs w:val="28"/>
          <w:highlight w:val="none"/>
        </w:rPr>
        <w:t>要求</w:t>
      </w:r>
      <w:r>
        <w:rPr>
          <w:sz w:val="28"/>
          <w:szCs w:val="28"/>
        </w:rPr>
        <w:tab/>
      </w:r>
      <w:r>
        <w:rPr>
          <w:sz w:val="28"/>
          <w:szCs w:val="28"/>
        </w:rPr>
        <w:fldChar w:fldCharType="begin"/>
      </w:r>
      <w:r>
        <w:rPr>
          <w:sz w:val="28"/>
          <w:szCs w:val="28"/>
        </w:rPr>
        <w:instrText xml:space="preserve"> PAGEREF _Toc8224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1B0B7B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_Toc29064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二、评价指标体系</w:t>
      </w:r>
      <w:r>
        <w:rPr>
          <w:sz w:val="28"/>
          <w:szCs w:val="28"/>
        </w:rPr>
        <w:tab/>
      </w:r>
      <w:r>
        <w:rPr>
          <w:sz w:val="28"/>
          <w:szCs w:val="28"/>
        </w:rPr>
        <w:fldChar w:fldCharType="begin"/>
      </w:r>
      <w:r>
        <w:rPr>
          <w:sz w:val="28"/>
          <w:szCs w:val="28"/>
        </w:rPr>
        <w:instrText xml:space="preserve"> PAGEREF _Toc29064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1EE6705">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_Toc22423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一</w:t>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指标体系框架</w:t>
      </w:r>
      <w:r>
        <w:rPr>
          <w:sz w:val="28"/>
          <w:szCs w:val="28"/>
        </w:rPr>
        <w:tab/>
      </w:r>
      <w:r>
        <w:rPr>
          <w:sz w:val="28"/>
          <w:szCs w:val="28"/>
        </w:rPr>
        <w:fldChar w:fldCharType="begin"/>
      </w:r>
      <w:r>
        <w:rPr>
          <w:sz w:val="28"/>
          <w:szCs w:val="28"/>
        </w:rPr>
        <w:instrText xml:space="preserve"> PAGEREF _Toc22423 \h </w:instrText>
      </w:r>
      <w:r>
        <w:rPr>
          <w:sz w:val="28"/>
          <w:szCs w:val="28"/>
        </w:rPr>
        <w:fldChar w:fldCharType="separate"/>
      </w:r>
      <w:r>
        <w:rPr>
          <w:sz w:val="28"/>
          <w:szCs w:val="28"/>
        </w:rPr>
        <w:t>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6B015C7">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_Toc30018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二</w:t>
      </w:r>
      <w:r>
        <w:rPr>
          <w:rFonts w:hint="default" w:ascii="Times New Roman" w:hAnsi="Times New Roman" w:eastAsia="楷体" w:cs="Times New Roman"/>
          <w:bCs/>
          <w:sz w:val="28"/>
          <w:szCs w:val="28"/>
          <w:highlight w:val="none"/>
        </w:rPr>
        <w:t>）</w:t>
      </w:r>
      <w:r>
        <w:rPr>
          <w:rFonts w:hint="default" w:ascii="Times New Roman" w:hAnsi="Times New Roman" w:eastAsia="楷体" w:cs="Times New Roman"/>
          <w:bCs/>
          <w:sz w:val="28"/>
          <w:szCs w:val="28"/>
          <w:highlight w:val="none"/>
          <w:lang w:val="en-US" w:eastAsia="zh-CN"/>
        </w:rPr>
        <w:t>指标说明</w:t>
      </w:r>
      <w:r>
        <w:rPr>
          <w:sz w:val="28"/>
          <w:szCs w:val="28"/>
        </w:rPr>
        <w:tab/>
      </w:r>
      <w:r>
        <w:rPr>
          <w:sz w:val="28"/>
          <w:szCs w:val="28"/>
        </w:rPr>
        <w:fldChar w:fldCharType="begin"/>
      </w:r>
      <w:r>
        <w:rPr>
          <w:sz w:val="28"/>
          <w:szCs w:val="28"/>
        </w:rPr>
        <w:instrText xml:space="preserve"> PAGEREF _Toc30018 \h </w:instrText>
      </w:r>
      <w:r>
        <w:rPr>
          <w:sz w:val="28"/>
          <w:szCs w:val="28"/>
        </w:rPr>
        <w:fldChar w:fldCharType="separate"/>
      </w:r>
      <w:r>
        <w:rPr>
          <w:sz w:val="28"/>
          <w:szCs w:val="28"/>
        </w:rPr>
        <w:t>6</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2F0477A">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_Toc20650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三、评价方式</w:t>
      </w:r>
      <w:r>
        <w:rPr>
          <w:sz w:val="28"/>
          <w:szCs w:val="28"/>
        </w:rPr>
        <w:tab/>
      </w:r>
      <w:r>
        <w:rPr>
          <w:sz w:val="28"/>
          <w:szCs w:val="28"/>
        </w:rPr>
        <w:fldChar w:fldCharType="begin"/>
      </w:r>
      <w:r>
        <w:rPr>
          <w:sz w:val="28"/>
          <w:szCs w:val="28"/>
        </w:rPr>
        <w:instrText xml:space="preserve"> PAGEREF _Toc20650 \h </w:instrText>
      </w:r>
      <w:r>
        <w:rPr>
          <w:sz w:val="28"/>
          <w:szCs w:val="28"/>
        </w:rPr>
        <w:fldChar w:fldCharType="separate"/>
      </w:r>
      <w:r>
        <w:rPr>
          <w:sz w:val="28"/>
          <w:szCs w:val="28"/>
        </w:rPr>
        <w:t>6</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637010D">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_Toc30060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四、评价流程</w:t>
      </w:r>
      <w:r>
        <w:rPr>
          <w:sz w:val="28"/>
          <w:szCs w:val="28"/>
        </w:rPr>
        <w:tab/>
      </w:r>
      <w:r>
        <w:rPr>
          <w:sz w:val="28"/>
          <w:szCs w:val="28"/>
        </w:rPr>
        <w:fldChar w:fldCharType="begin"/>
      </w:r>
      <w:r>
        <w:rPr>
          <w:sz w:val="28"/>
          <w:szCs w:val="28"/>
        </w:rPr>
        <w:instrText xml:space="preserve"> PAGEREF _Toc30060 \h </w:instrText>
      </w:r>
      <w:r>
        <w:rPr>
          <w:sz w:val="28"/>
          <w:szCs w:val="28"/>
        </w:rPr>
        <w:fldChar w:fldCharType="separate"/>
      </w:r>
      <w:r>
        <w:rPr>
          <w:sz w:val="28"/>
          <w:szCs w:val="28"/>
        </w:rPr>
        <w:t>6</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4401B3F">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_Toc9638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五、评价要求</w:t>
      </w:r>
      <w:r>
        <w:rPr>
          <w:sz w:val="28"/>
          <w:szCs w:val="28"/>
        </w:rPr>
        <w:tab/>
      </w:r>
      <w:r>
        <w:rPr>
          <w:sz w:val="28"/>
          <w:szCs w:val="28"/>
        </w:rPr>
        <w:fldChar w:fldCharType="begin"/>
      </w:r>
      <w:r>
        <w:rPr>
          <w:sz w:val="28"/>
          <w:szCs w:val="28"/>
        </w:rPr>
        <w:instrText xml:space="preserve"> PAGEREF _Toc9638 \h </w:instrText>
      </w:r>
      <w:r>
        <w:rPr>
          <w:sz w:val="28"/>
          <w:szCs w:val="28"/>
        </w:rPr>
        <w:fldChar w:fldCharType="separate"/>
      </w:r>
      <w:r>
        <w:rPr>
          <w:sz w:val="28"/>
          <w:szCs w:val="28"/>
        </w:rPr>
        <w:t>7</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D92C405">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_Toc12067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六、评价方法</w:t>
      </w:r>
      <w:r>
        <w:rPr>
          <w:sz w:val="28"/>
          <w:szCs w:val="28"/>
        </w:rPr>
        <w:tab/>
      </w:r>
      <w:r>
        <w:rPr>
          <w:sz w:val="28"/>
          <w:szCs w:val="28"/>
        </w:rPr>
        <w:fldChar w:fldCharType="begin"/>
      </w:r>
      <w:r>
        <w:rPr>
          <w:sz w:val="28"/>
          <w:szCs w:val="28"/>
        </w:rPr>
        <w:instrText xml:space="preserve"> PAGEREF _Toc12067 \h </w:instrText>
      </w:r>
      <w:r>
        <w:rPr>
          <w:sz w:val="28"/>
          <w:szCs w:val="28"/>
        </w:rPr>
        <w:fldChar w:fldCharType="separate"/>
      </w:r>
      <w:r>
        <w:rPr>
          <w:sz w:val="28"/>
          <w:szCs w:val="28"/>
        </w:rPr>
        <w:t>8</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283E77C">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_Toc8989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lang w:val="en-US" w:eastAsia="zh-CN"/>
        </w:rPr>
        <w:t>（一）综合得分计算</w:t>
      </w:r>
      <w:r>
        <w:rPr>
          <w:sz w:val="28"/>
          <w:szCs w:val="28"/>
        </w:rPr>
        <w:tab/>
      </w:r>
      <w:r>
        <w:rPr>
          <w:sz w:val="28"/>
          <w:szCs w:val="28"/>
        </w:rPr>
        <w:fldChar w:fldCharType="begin"/>
      </w:r>
      <w:r>
        <w:rPr>
          <w:sz w:val="28"/>
          <w:szCs w:val="28"/>
        </w:rPr>
        <w:instrText xml:space="preserve"> PAGEREF _Toc8989 \h </w:instrText>
      </w:r>
      <w:r>
        <w:rPr>
          <w:sz w:val="28"/>
          <w:szCs w:val="28"/>
        </w:rPr>
        <w:fldChar w:fldCharType="separate"/>
      </w:r>
      <w:r>
        <w:rPr>
          <w:sz w:val="28"/>
          <w:szCs w:val="28"/>
        </w:rPr>
        <w:t>8</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BD7AA78">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_Toc14610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lang w:val="en-US" w:eastAsia="zh-CN"/>
        </w:rPr>
        <w:t>（二）碳抵消比例计算</w:t>
      </w:r>
      <w:r>
        <w:rPr>
          <w:sz w:val="28"/>
          <w:szCs w:val="28"/>
        </w:rPr>
        <w:tab/>
      </w:r>
      <w:r>
        <w:rPr>
          <w:sz w:val="28"/>
          <w:szCs w:val="28"/>
        </w:rPr>
        <w:fldChar w:fldCharType="begin"/>
      </w:r>
      <w:r>
        <w:rPr>
          <w:sz w:val="28"/>
          <w:szCs w:val="28"/>
        </w:rPr>
        <w:instrText xml:space="preserve"> PAGEREF _Toc14610 \h </w:instrText>
      </w:r>
      <w:r>
        <w:rPr>
          <w:sz w:val="28"/>
          <w:szCs w:val="28"/>
        </w:rPr>
        <w:fldChar w:fldCharType="separate"/>
      </w:r>
      <w:r>
        <w:rPr>
          <w:sz w:val="28"/>
          <w:szCs w:val="28"/>
        </w:rPr>
        <w:t>8</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D79649A">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_Toc30715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楷体" w:cs="Times New Roman"/>
          <w:bCs/>
          <w:sz w:val="28"/>
          <w:szCs w:val="28"/>
          <w:highlight w:val="none"/>
          <w:lang w:val="en-US" w:eastAsia="zh-CN"/>
        </w:rPr>
        <w:t>（三）零碳工厂分类</w:t>
      </w:r>
      <w:r>
        <w:rPr>
          <w:sz w:val="28"/>
          <w:szCs w:val="28"/>
        </w:rPr>
        <w:tab/>
      </w:r>
      <w:r>
        <w:rPr>
          <w:sz w:val="28"/>
          <w:szCs w:val="28"/>
        </w:rPr>
        <w:fldChar w:fldCharType="begin"/>
      </w:r>
      <w:r>
        <w:rPr>
          <w:sz w:val="28"/>
          <w:szCs w:val="28"/>
        </w:rPr>
        <w:instrText xml:space="preserve"> PAGEREF _Toc30715 \h </w:instrText>
      </w:r>
      <w:r>
        <w:rPr>
          <w:sz w:val="28"/>
          <w:szCs w:val="28"/>
        </w:rPr>
        <w:fldChar w:fldCharType="separate"/>
      </w:r>
      <w:r>
        <w:rPr>
          <w:sz w:val="28"/>
          <w:szCs w:val="28"/>
        </w:rPr>
        <w:t>9</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FFFFE6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_Toc30105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七、评价报告</w:t>
      </w:r>
      <w:r>
        <w:rPr>
          <w:sz w:val="28"/>
          <w:szCs w:val="28"/>
        </w:rPr>
        <w:tab/>
      </w:r>
      <w:r>
        <w:rPr>
          <w:sz w:val="28"/>
          <w:szCs w:val="28"/>
        </w:rPr>
        <w:fldChar w:fldCharType="begin"/>
      </w:r>
      <w:r>
        <w:rPr>
          <w:sz w:val="28"/>
          <w:szCs w:val="28"/>
        </w:rPr>
        <w:instrText xml:space="preserve"> PAGEREF _Toc30105 \h </w:instrText>
      </w:r>
      <w:r>
        <w:rPr>
          <w:sz w:val="28"/>
          <w:szCs w:val="28"/>
        </w:rPr>
        <w:fldChar w:fldCharType="separate"/>
      </w:r>
      <w:r>
        <w:rPr>
          <w:sz w:val="28"/>
          <w:szCs w:val="28"/>
        </w:rPr>
        <w:t>9</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2C9F9E9">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_Toc22432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八、监督管理</w:t>
      </w:r>
      <w:r>
        <w:rPr>
          <w:sz w:val="28"/>
          <w:szCs w:val="28"/>
        </w:rPr>
        <w:tab/>
      </w:r>
      <w:r>
        <w:rPr>
          <w:sz w:val="28"/>
          <w:szCs w:val="28"/>
        </w:rPr>
        <w:fldChar w:fldCharType="begin"/>
      </w:r>
      <w:r>
        <w:rPr>
          <w:sz w:val="28"/>
          <w:szCs w:val="28"/>
        </w:rPr>
        <w:instrText xml:space="preserve"> PAGEREF _Toc22432 \h </w:instrText>
      </w:r>
      <w:r>
        <w:rPr>
          <w:sz w:val="28"/>
          <w:szCs w:val="28"/>
        </w:rPr>
        <w:fldChar w:fldCharType="separate"/>
      </w:r>
      <w:r>
        <w:rPr>
          <w:sz w:val="28"/>
          <w:szCs w:val="28"/>
        </w:rPr>
        <w:t>9</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2720F4F">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_Toc17173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附件1 零碳工厂评价报告格式</w:t>
      </w:r>
      <w:r>
        <w:rPr>
          <w:sz w:val="28"/>
          <w:szCs w:val="28"/>
        </w:rPr>
        <w:tab/>
      </w:r>
      <w:r>
        <w:rPr>
          <w:sz w:val="28"/>
          <w:szCs w:val="28"/>
        </w:rPr>
        <w:fldChar w:fldCharType="begin"/>
      </w:r>
      <w:r>
        <w:rPr>
          <w:sz w:val="28"/>
          <w:szCs w:val="28"/>
        </w:rPr>
        <w:instrText xml:space="preserve"> PAGEREF _Toc17173 \h </w:instrText>
      </w:r>
      <w:r>
        <w:rPr>
          <w:sz w:val="28"/>
          <w:szCs w:val="28"/>
        </w:rPr>
        <w:fldChar w:fldCharType="separate"/>
      </w:r>
      <w:r>
        <w:rPr>
          <w:sz w:val="28"/>
          <w:szCs w:val="28"/>
        </w:rPr>
        <w:t>11</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39D510E">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_Toc9614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附件2 碳排放量</w:t>
      </w:r>
      <w:r>
        <w:rPr>
          <w:rFonts w:hint="eastAsia" w:ascii="Times New Roman" w:hAnsi="Times New Roman" w:cs="Times New Roman"/>
          <w:bCs/>
          <w:sz w:val="28"/>
          <w:szCs w:val="28"/>
          <w:highlight w:val="none"/>
          <w:lang w:val="en-US" w:eastAsia="zh-CN"/>
        </w:rPr>
        <w:t>核算</w:t>
      </w:r>
      <w:r>
        <w:rPr>
          <w:rFonts w:hint="default" w:ascii="Times New Roman" w:hAnsi="Times New Roman" w:cs="Times New Roman"/>
          <w:bCs/>
          <w:sz w:val="28"/>
          <w:szCs w:val="28"/>
          <w:highlight w:val="none"/>
          <w:lang w:val="en-US" w:eastAsia="zh-CN"/>
        </w:rPr>
        <w:t>方法</w:t>
      </w:r>
      <w:r>
        <w:rPr>
          <w:sz w:val="28"/>
          <w:szCs w:val="28"/>
        </w:rPr>
        <w:tab/>
      </w:r>
      <w:r>
        <w:rPr>
          <w:sz w:val="28"/>
          <w:szCs w:val="28"/>
        </w:rPr>
        <w:fldChar w:fldCharType="begin"/>
      </w:r>
      <w:r>
        <w:rPr>
          <w:sz w:val="28"/>
          <w:szCs w:val="28"/>
        </w:rPr>
        <w:instrText xml:space="preserve"> PAGEREF _Toc9614 \h </w:instrText>
      </w:r>
      <w:r>
        <w:rPr>
          <w:sz w:val="28"/>
          <w:szCs w:val="28"/>
        </w:rPr>
        <w:fldChar w:fldCharType="separate"/>
      </w:r>
      <w:r>
        <w:rPr>
          <w:sz w:val="28"/>
          <w:szCs w:val="28"/>
        </w:rPr>
        <w:t>19</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73820F8">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_Toc17222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附件3 碳排放核算涉及</w:t>
      </w:r>
      <w:r>
        <w:rPr>
          <w:rFonts w:hint="eastAsia" w:ascii="Times New Roman" w:hAnsi="Times New Roman" w:cs="Times New Roman"/>
          <w:bCs/>
          <w:sz w:val="28"/>
          <w:szCs w:val="28"/>
          <w:highlight w:val="none"/>
          <w:lang w:val="en-US" w:eastAsia="zh-CN"/>
        </w:rPr>
        <w:t>的</w:t>
      </w:r>
      <w:r>
        <w:rPr>
          <w:rFonts w:hint="default" w:ascii="Times New Roman" w:hAnsi="Times New Roman" w:cs="Times New Roman"/>
          <w:bCs/>
          <w:sz w:val="28"/>
          <w:szCs w:val="28"/>
          <w:highlight w:val="none"/>
          <w:lang w:val="en-US" w:eastAsia="zh-CN"/>
        </w:rPr>
        <w:t>温室气体</w:t>
      </w:r>
      <w:r>
        <w:rPr>
          <w:sz w:val="28"/>
          <w:szCs w:val="28"/>
        </w:rPr>
        <w:tab/>
      </w:r>
      <w:r>
        <w:rPr>
          <w:sz w:val="28"/>
          <w:szCs w:val="28"/>
        </w:rPr>
        <w:fldChar w:fldCharType="begin"/>
      </w:r>
      <w:r>
        <w:rPr>
          <w:sz w:val="28"/>
          <w:szCs w:val="28"/>
        </w:rPr>
        <w:instrText xml:space="preserve"> PAGEREF _Toc17222 \h </w:instrText>
      </w:r>
      <w:r>
        <w:rPr>
          <w:sz w:val="28"/>
          <w:szCs w:val="28"/>
        </w:rPr>
        <w:fldChar w:fldCharType="separate"/>
      </w:r>
      <w:r>
        <w:rPr>
          <w:sz w:val="28"/>
          <w:szCs w:val="28"/>
        </w:rPr>
        <w:t>22</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C8A6B46">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_Toc16290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附件4 碳排放核算标准</w:t>
      </w:r>
      <w:r>
        <w:rPr>
          <w:sz w:val="28"/>
          <w:szCs w:val="28"/>
        </w:rPr>
        <w:tab/>
      </w:r>
      <w:r>
        <w:rPr>
          <w:sz w:val="28"/>
          <w:szCs w:val="28"/>
        </w:rPr>
        <w:fldChar w:fldCharType="begin"/>
      </w:r>
      <w:r>
        <w:rPr>
          <w:sz w:val="28"/>
          <w:szCs w:val="28"/>
        </w:rPr>
        <w:instrText xml:space="preserve"> PAGEREF _Toc16290 \h </w:instrText>
      </w:r>
      <w:r>
        <w:rPr>
          <w:sz w:val="28"/>
          <w:szCs w:val="28"/>
        </w:rPr>
        <w:fldChar w:fldCharType="separate"/>
      </w:r>
      <w:r>
        <w:rPr>
          <w:sz w:val="28"/>
          <w:szCs w:val="28"/>
        </w:rPr>
        <w:t>24</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24EDED2">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_Toc6966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附件5 碳排放因子（参考值）</w:t>
      </w:r>
      <w:r>
        <w:rPr>
          <w:sz w:val="28"/>
          <w:szCs w:val="28"/>
        </w:rPr>
        <w:tab/>
      </w:r>
      <w:r>
        <w:rPr>
          <w:sz w:val="28"/>
          <w:szCs w:val="28"/>
        </w:rPr>
        <w:fldChar w:fldCharType="begin"/>
      </w:r>
      <w:r>
        <w:rPr>
          <w:sz w:val="28"/>
          <w:szCs w:val="28"/>
        </w:rPr>
        <w:instrText xml:space="preserve"> PAGEREF _Toc6966 \h </w:instrText>
      </w:r>
      <w:r>
        <w:rPr>
          <w:sz w:val="28"/>
          <w:szCs w:val="28"/>
        </w:rPr>
        <w:fldChar w:fldCharType="separate"/>
      </w:r>
      <w:r>
        <w:rPr>
          <w:sz w:val="28"/>
          <w:szCs w:val="28"/>
        </w:rPr>
        <w:t>26</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4887D09">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_Toc25328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附件6 部分温室气体的全球变暖潜势值（参考值）</w:t>
      </w:r>
      <w:r>
        <w:rPr>
          <w:sz w:val="28"/>
          <w:szCs w:val="28"/>
        </w:rPr>
        <w:tab/>
      </w:r>
      <w:r>
        <w:rPr>
          <w:sz w:val="28"/>
          <w:szCs w:val="28"/>
        </w:rPr>
        <w:fldChar w:fldCharType="begin"/>
      </w:r>
      <w:r>
        <w:rPr>
          <w:sz w:val="28"/>
          <w:szCs w:val="28"/>
        </w:rPr>
        <w:instrText xml:space="preserve"> PAGEREF _Toc25328 \h </w:instrText>
      </w:r>
      <w:r>
        <w:rPr>
          <w:sz w:val="28"/>
          <w:szCs w:val="28"/>
        </w:rPr>
        <w:fldChar w:fldCharType="separate"/>
      </w:r>
      <w:r>
        <w:rPr>
          <w:sz w:val="28"/>
          <w:szCs w:val="28"/>
        </w:rPr>
        <w:t>27</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0D570C7">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_Toc22287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cs="Times New Roman"/>
          <w:bCs/>
          <w:sz w:val="28"/>
          <w:szCs w:val="28"/>
          <w:highlight w:val="none"/>
          <w:lang w:val="en-US" w:eastAsia="zh-CN"/>
        </w:rPr>
        <w:t>附件7 常用化石燃料相关参数的缺省值</w:t>
      </w:r>
      <w:r>
        <w:rPr>
          <w:sz w:val="28"/>
          <w:szCs w:val="28"/>
        </w:rPr>
        <w:tab/>
      </w:r>
      <w:r>
        <w:rPr>
          <w:sz w:val="28"/>
          <w:szCs w:val="28"/>
        </w:rPr>
        <w:fldChar w:fldCharType="begin"/>
      </w:r>
      <w:r>
        <w:rPr>
          <w:sz w:val="28"/>
          <w:szCs w:val="28"/>
        </w:rPr>
        <w:instrText xml:space="preserve"> PAGEREF _Toc22287 \h </w:instrText>
      </w:r>
      <w:r>
        <w:rPr>
          <w:sz w:val="28"/>
          <w:szCs w:val="28"/>
        </w:rPr>
        <w:fldChar w:fldCharType="separate"/>
      </w:r>
      <w:r>
        <w:rPr>
          <w:sz w:val="28"/>
          <w:szCs w:val="28"/>
        </w:rPr>
        <w:t>28</w:t>
      </w:r>
      <w:r>
        <w:rPr>
          <w:sz w:val="28"/>
          <w:szCs w:val="28"/>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35A265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24"/>
          <w:szCs w:val="24"/>
          <w:highlight w:val="none"/>
          <w:lang w:val="en-US" w:eastAsia="zh-CN"/>
        </w:rPr>
        <w:sectPr>
          <w:footerReference r:id="rId3" w:type="default"/>
          <w:footerReference r:id="rId4" w:type="even"/>
          <w:pgSz w:w="11906" w:h="16838"/>
          <w:pgMar w:top="2098" w:right="1474" w:bottom="1984" w:left="1587" w:header="851" w:footer="1559" w:gutter="0"/>
          <w:pgBorders>
            <w:top w:val="none" w:sz="0" w:space="0"/>
            <w:left w:val="none" w:sz="0" w:space="0"/>
            <w:bottom w:val="none" w:sz="0" w:space="0"/>
            <w:right w:val="none" w:sz="0" w:space="0"/>
          </w:pgBorders>
          <w:pgNumType w:fmt="upperRoman" w:start="1"/>
          <w:cols w:space="0" w:num="1"/>
          <w:rtlGutter w:val="0"/>
          <w:docGrid w:type="lines" w:linePitch="312" w:charSpace="0"/>
        </w:sectPr>
      </w:pPr>
      <w:r>
        <w:rPr>
          <w:rFonts w:hint="default" w:ascii="Times New Roman" w:hAnsi="Times New Roman" w:eastAsia="仿宋_GB2312" w:cs="Times New Roman"/>
          <w:color w:val="auto"/>
          <w:sz w:val="28"/>
          <w:szCs w:val="28"/>
          <w:highlight w:val="none"/>
          <w:lang w:val="en-US" w:eastAsia="zh-CN"/>
        </w:rPr>
        <w:fldChar w:fldCharType="end"/>
      </w:r>
    </w:p>
    <w:p w14:paraId="095062F9">
      <w:pPr>
        <w:rPr>
          <w:rFonts w:hint="default" w:ascii="Times New Roman" w:hAnsi="Times New Roman" w:eastAsia="仿宋_GB2312" w:cs="Times New Roman"/>
          <w:color w:val="auto"/>
          <w:sz w:val="32"/>
          <w:szCs w:val="32"/>
          <w:highlight w:val="none"/>
          <w:lang w:val="en-US" w:eastAsia="zh-CN"/>
        </w:rPr>
      </w:pPr>
    </w:p>
    <w:p w14:paraId="38D051E9">
      <w:pPr>
        <w:pStyle w:val="3"/>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bookmarkStart w:id="0" w:name="_Toc31486"/>
      <w:r>
        <w:rPr>
          <w:rFonts w:hint="default" w:ascii="Times New Roman" w:hAnsi="Times New Roman" w:cs="Times New Roman"/>
          <w:b w:val="0"/>
          <w:bCs/>
          <w:color w:val="auto"/>
          <w:highlight w:val="none"/>
          <w:lang w:val="en-US" w:eastAsia="zh-CN"/>
        </w:rPr>
        <w:t>前 言</w:t>
      </w:r>
      <w:bookmarkEnd w:id="0"/>
    </w:p>
    <w:p w14:paraId="2957C311">
      <w:pPr>
        <w:bidi w:val="0"/>
        <w:rPr>
          <w:rFonts w:hint="default" w:ascii="Times New Roman" w:hAnsi="Times New Roman" w:cs="Times New Roman"/>
          <w:color w:val="auto"/>
          <w:highlight w:val="none"/>
          <w:lang w:val="en-US" w:eastAsia="zh-CN"/>
        </w:rPr>
      </w:pPr>
    </w:p>
    <w:p w14:paraId="6DDA24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积极应对全球气候变化，我国提出二氧化碳排放力争2030年前达到峰值，努力争取2060年前实现碳中和的“双碳”目标。实现碳达峰、碳中和，是以习近平同志为核心的党中央统筹国内国际两个大局作出的重大战略决策，是着力解决资源环境约束突出问题，是实现可持续发展、高质量发展的内在要求。</w:t>
      </w:r>
    </w:p>
    <w:p w14:paraId="68BF5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工业是碳排放的重要领域，碳达峰、碳中和目标对工业绿色低碳转型提出了更高要求。在碳达峰碳中和目标背景下，开展零碳工厂建设，对推动工业绿色低碳发展具有重要意义。</w:t>
      </w:r>
    </w:p>
    <w:p w14:paraId="4F666D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贵州省2024年《政府工作报告》及《2024年〈政府工作报告〉重点工作责任分工方案》关于“积极探索‘零碳工厂’‘零碳园区’建设”的工作要求，贵州省工业和信息化厅组织编制我省地方标准《零碳工厂评价通则》，经定向征求意见、公开征求意见等程序，目前已形成送审稿，并报标准化主管部门进行送审报批程序，将于近期发布。本文件依据《零碳工厂评价通则》（送审稿）编制，是评价标准的具体实施方案，作为我省工业企业开展零碳工厂评价及相关工作的指导性文件。</w:t>
      </w:r>
    </w:p>
    <w:p w14:paraId="7E3435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我省工业企业可对照本文件给出的指标体系创建零碳工厂，依据本文件开展零碳工厂评价工作，推进企业绿色低碳高质量发展，助力实现工业领域碳达峰碳中和目标。</w:t>
      </w:r>
    </w:p>
    <w:p w14:paraId="2CFA6BA4">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 w:name="_Toc20185"/>
      <w:r>
        <w:rPr>
          <w:rFonts w:hint="default" w:ascii="Times New Roman" w:hAnsi="Times New Roman" w:cs="Times New Roman"/>
          <w:b w:val="0"/>
          <w:bCs/>
          <w:color w:val="auto"/>
          <w:highlight w:val="none"/>
          <w:lang w:val="en-US" w:eastAsia="zh-CN"/>
        </w:rPr>
        <w:t>一、总则</w:t>
      </w:r>
      <w:bookmarkEnd w:id="1"/>
    </w:p>
    <w:p w14:paraId="45C1E1F3">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2" w:name="_Toc20386"/>
      <w:r>
        <w:rPr>
          <w:rFonts w:hint="default" w:ascii="Times New Roman" w:hAnsi="Times New Roman" w:eastAsia="楷体" w:cs="Times New Roman"/>
          <w:b w:val="0"/>
          <w:bCs/>
          <w:color w:val="auto"/>
          <w:highlight w:val="none"/>
        </w:rPr>
        <w:t>（一）定义</w:t>
      </w:r>
      <w:bookmarkEnd w:id="2"/>
    </w:p>
    <w:p w14:paraId="663D442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零碳工厂是指以（净）零碳排放为目标，在一定周期（通常以年度为单位）和碳排放核算边界内，在通过实施节能降碳措施实现自主减碳的基础上，生产、服务过程中产生的碳排放量，按照二氧化碳当量计算，通过碳抵消方式得到抵消的工厂。</w:t>
      </w:r>
    </w:p>
    <w:p w14:paraId="121D7893">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3" w:name="_Toc20457"/>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二</w:t>
      </w:r>
      <w:r>
        <w:rPr>
          <w:rFonts w:hint="default" w:ascii="Times New Roman" w:hAnsi="Times New Roman" w:eastAsia="楷体" w:cs="Times New Roman"/>
          <w:b w:val="0"/>
          <w:bCs/>
          <w:color w:val="auto"/>
          <w:highlight w:val="none"/>
        </w:rPr>
        <w:t>）目的</w:t>
      </w:r>
      <w:r>
        <w:rPr>
          <w:rFonts w:hint="default" w:ascii="Times New Roman" w:hAnsi="Times New Roman" w:eastAsia="楷体" w:cs="Times New Roman"/>
          <w:b w:val="0"/>
          <w:bCs/>
          <w:color w:val="auto"/>
          <w:highlight w:val="none"/>
          <w:lang w:val="en-US" w:eastAsia="zh-CN"/>
        </w:rPr>
        <w:t>和</w:t>
      </w:r>
      <w:r>
        <w:rPr>
          <w:rFonts w:hint="default" w:ascii="Times New Roman" w:hAnsi="Times New Roman" w:eastAsia="楷体" w:cs="Times New Roman"/>
          <w:b w:val="0"/>
          <w:bCs/>
          <w:color w:val="auto"/>
          <w:highlight w:val="none"/>
        </w:rPr>
        <w:t>范围</w:t>
      </w:r>
      <w:bookmarkEnd w:id="3"/>
    </w:p>
    <w:p w14:paraId="505311F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本文件旨在为工业企业积极推动绿色低碳、零碳发展提供参考和支撑，助力工业领域实现碳达峰碳中和目标。</w:t>
      </w:r>
    </w:p>
    <w:p w14:paraId="2D3868E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本文件适用于贵州省工业企业（特别是制造业企业，</w:t>
      </w:r>
      <w:r>
        <w:rPr>
          <w:rFonts w:hint="default" w:ascii="Times New Roman" w:hAnsi="Times New Roman" w:eastAsia="仿宋_GB2312" w:cs="Times New Roman"/>
          <w:b/>
          <w:bCs/>
          <w:color w:val="auto"/>
          <w:sz w:val="32"/>
          <w:szCs w:val="32"/>
          <w:highlight w:val="none"/>
          <w:lang w:val="en-US" w:eastAsia="zh-CN"/>
        </w:rPr>
        <w:t>不含烟草制品业</w:t>
      </w:r>
      <w:r>
        <w:rPr>
          <w:rFonts w:hint="default" w:ascii="Times New Roman" w:hAnsi="Times New Roman" w:eastAsia="仿宋_GB2312" w:cs="Times New Roman"/>
          <w:color w:val="auto"/>
          <w:sz w:val="32"/>
          <w:szCs w:val="32"/>
          <w:highlight w:val="none"/>
          <w:lang w:val="en-US" w:eastAsia="zh-CN"/>
        </w:rPr>
        <w:t>）开展零碳工厂评价。鼓励工业企业对照本文件的指标体系创建零碳工厂。</w:t>
      </w:r>
    </w:p>
    <w:p w14:paraId="03402DE9">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我省地方标准《零碳工厂评价通则》正式发布实施后，本文件将根据实际情况适时完善。</w:t>
      </w:r>
    </w:p>
    <w:p w14:paraId="5D1284E4">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4" w:name="_Toc8224"/>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三</w:t>
      </w:r>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一般</w:t>
      </w:r>
      <w:r>
        <w:rPr>
          <w:rFonts w:hint="default" w:ascii="Times New Roman" w:hAnsi="Times New Roman" w:eastAsia="楷体" w:cs="Times New Roman"/>
          <w:b w:val="0"/>
          <w:bCs/>
          <w:color w:val="auto"/>
          <w:highlight w:val="none"/>
        </w:rPr>
        <w:t>要求</w:t>
      </w:r>
      <w:bookmarkEnd w:id="4"/>
    </w:p>
    <w:p w14:paraId="59B6A8B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申报零碳工厂的单位，申报年度或上一年度的碳抵消比例不低于50%、综合得分不低于60分。</w:t>
      </w:r>
    </w:p>
    <w:p w14:paraId="0F243A62">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5" w:name="_Toc29064"/>
      <w:r>
        <w:rPr>
          <w:rFonts w:hint="default" w:ascii="Times New Roman" w:hAnsi="Times New Roman" w:cs="Times New Roman"/>
          <w:b w:val="0"/>
          <w:bCs/>
          <w:color w:val="auto"/>
          <w:highlight w:val="none"/>
          <w:lang w:val="en-US" w:eastAsia="zh-CN"/>
        </w:rPr>
        <w:t>二、评价指标体系</w:t>
      </w:r>
      <w:bookmarkEnd w:id="5"/>
    </w:p>
    <w:p w14:paraId="07265F76">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6" w:name="_Toc22423"/>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一</w:t>
      </w:r>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指标体系框架</w:t>
      </w:r>
      <w:bookmarkEnd w:id="6"/>
    </w:p>
    <w:p w14:paraId="4DA07371">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零碳工厂</w:t>
      </w:r>
      <w:r>
        <w:rPr>
          <w:rFonts w:hint="default" w:ascii="Times New Roman" w:hAnsi="Times New Roman" w:eastAsia="仿宋_GB2312" w:cs="Times New Roman"/>
          <w:color w:val="auto"/>
          <w:sz w:val="32"/>
          <w:szCs w:val="32"/>
          <w:highlight w:val="none"/>
        </w:rPr>
        <w:t>评价指标体系包括基本要求和评价指标要求两部分。基本要求包括合规性要求和基础性要求；评价指标包括设施设备、运营管理、节能降碳、污染防治、绩效与持续改进等5项一级指标，在一级指标下设置二级指标。具体如表</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所示。</w:t>
      </w:r>
    </w:p>
    <w:p w14:paraId="14602493">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表</w:t>
      </w:r>
      <w:r>
        <w:rPr>
          <w:rFonts w:hint="default" w:ascii="Times New Roman" w:hAnsi="Times New Roman" w:cs="Times New Roman"/>
          <w:b w:val="0"/>
          <w:bCs/>
          <w:color w:val="auto"/>
          <w:highlight w:val="none"/>
          <w:lang w:val="en-US" w:eastAsia="zh-CN"/>
        </w:rPr>
        <w:t>1 零碳工厂</w:t>
      </w:r>
      <w:r>
        <w:rPr>
          <w:rFonts w:hint="default" w:ascii="Times New Roman" w:hAnsi="Times New Roman" w:cs="Times New Roman"/>
          <w:b w:val="0"/>
          <w:bCs/>
          <w:color w:val="auto"/>
          <w:highlight w:val="none"/>
        </w:rPr>
        <w:t>评价指标体系</w:t>
      </w:r>
    </w:p>
    <w:tbl>
      <w:tblPr>
        <w:tblStyle w:val="14"/>
        <w:tblW w:w="5354" w:type="pct"/>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6"/>
        <w:gridCol w:w="738"/>
        <w:gridCol w:w="1161"/>
        <w:gridCol w:w="5244"/>
        <w:gridCol w:w="740"/>
        <w:gridCol w:w="1124"/>
      </w:tblGrid>
      <w:tr w14:paraId="7CA8C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2" w:hRule="atLeast"/>
          <w:tblHeader/>
        </w:trPr>
        <w:tc>
          <w:tcPr>
            <w:tcW w:w="359" w:type="pct"/>
            <w:tcBorders>
              <w:tl2br w:val="nil"/>
              <w:tr2bl w:val="nil"/>
            </w:tcBorders>
            <w:shd w:val="clear" w:color="auto" w:fill="auto"/>
            <w:vAlign w:val="center"/>
          </w:tcPr>
          <w:p w14:paraId="75B0C23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序号</w:t>
            </w:r>
          </w:p>
        </w:tc>
        <w:tc>
          <w:tcPr>
            <w:tcW w:w="380" w:type="pct"/>
            <w:tcBorders>
              <w:tl2br w:val="nil"/>
              <w:tr2bl w:val="nil"/>
            </w:tcBorders>
            <w:shd w:val="clear" w:color="auto" w:fill="auto"/>
            <w:vAlign w:val="center"/>
          </w:tcPr>
          <w:p w14:paraId="7E9B559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一级指标</w:t>
            </w:r>
          </w:p>
        </w:tc>
        <w:tc>
          <w:tcPr>
            <w:tcW w:w="598" w:type="pct"/>
            <w:tcBorders>
              <w:tl2br w:val="nil"/>
              <w:tr2bl w:val="nil"/>
            </w:tcBorders>
            <w:shd w:val="clear" w:color="auto" w:fill="auto"/>
            <w:vAlign w:val="center"/>
          </w:tcPr>
          <w:p w14:paraId="1F9D6801">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二级指标</w:t>
            </w:r>
          </w:p>
        </w:tc>
        <w:tc>
          <w:tcPr>
            <w:tcW w:w="2700" w:type="pct"/>
            <w:tcBorders>
              <w:tl2br w:val="nil"/>
              <w:tr2bl w:val="nil"/>
            </w:tcBorders>
            <w:shd w:val="clear" w:color="auto" w:fill="auto"/>
            <w:vAlign w:val="center"/>
          </w:tcPr>
          <w:p w14:paraId="76C056B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具体评价要求</w:t>
            </w:r>
          </w:p>
        </w:tc>
        <w:tc>
          <w:tcPr>
            <w:tcW w:w="381" w:type="pct"/>
            <w:tcBorders>
              <w:tl2br w:val="nil"/>
              <w:tr2bl w:val="nil"/>
            </w:tcBorders>
            <w:shd w:val="clear" w:color="auto" w:fill="auto"/>
            <w:vAlign w:val="center"/>
          </w:tcPr>
          <w:p w14:paraId="5F13315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分值</w:t>
            </w:r>
          </w:p>
        </w:tc>
        <w:tc>
          <w:tcPr>
            <w:tcW w:w="579" w:type="pct"/>
            <w:tcBorders>
              <w:tl2br w:val="nil"/>
              <w:tr2bl w:val="nil"/>
            </w:tcBorders>
            <w:shd w:val="clear" w:color="auto" w:fill="auto"/>
            <w:vAlign w:val="center"/>
          </w:tcPr>
          <w:p w14:paraId="7765836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权重（%）</w:t>
            </w:r>
          </w:p>
        </w:tc>
      </w:tr>
      <w:tr w14:paraId="5237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restart"/>
            <w:tcBorders>
              <w:tl2br w:val="nil"/>
              <w:tr2bl w:val="nil"/>
            </w:tcBorders>
            <w:shd w:val="clear" w:color="auto" w:fill="auto"/>
            <w:noWrap/>
            <w:vAlign w:val="center"/>
          </w:tcPr>
          <w:p w14:paraId="5119A9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0</w:t>
            </w:r>
          </w:p>
        </w:tc>
        <w:tc>
          <w:tcPr>
            <w:tcW w:w="380" w:type="pct"/>
            <w:vMerge w:val="restart"/>
            <w:tcBorders>
              <w:tl2br w:val="nil"/>
              <w:tr2bl w:val="nil"/>
            </w:tcBorders>
            <w:shd w:val="clear" w:color="auto" w:fill="auto"/>
            <w:vAlign w:val="center"/>
          </w:tcPr>
          <w:p w14:paraId="7C59F1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基本要求</w:t>
            </w:r>
          </w:p>
        </w:tc>
        <w:tc>
          <w:tcPr>
            <w:tcW w:w="598" w:type="pct"/>
            <w:vMerge w:val="restart"/>
            <w:tcBorders>
              <w:tl2br w:val="nil"/>
              <w:tr2bl w:val="nil"/>
            </w:tcBorders>
            <w:shd w:val="clear" w:color="auto" w:fill="auto"/>
            <w:vAlign w:val="center"/>
          </w:tcPr>
          <w:p w14:paraId="4B1CE9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合规性要求</w:t>
            </w:r>
          </w:p>
        </w:tc>
        <w:tc>
          <w:tcPr>
            <w:tcW w:w="2700" w:type="pct"/>
            <w:tcBorders>
              <w:tl2br w:val="nil"/>
              <w:tr2bl w:val="nil"/>
            </w:tcBorders>
            <w:shd w:val="clear" w:color="auto" w:fill="auto"/>
            <w:vAlign w:val="center"/>
          </w:tcPr>
          <w:p w14:paraId="6770419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依法设立并具有独立法人资格或者视同法人的独立核算单位，且从事实际生产的制造型企业。</w:t>
            </w:r>
          </w:p>
        </w:tc>
        <w:tc>
          <w:tcPr>
            <w:tcW w:w="381" w:type="pct"/>
            <w:tcBorders>
              <w:tl2br w:val="nil"/>
              <w:tr2bl w:val="nil"/>
            </w:tcBorders>
            <w:shd w:val="clear" w:color="auto" w:fill="auto"/>
            <w:vAlign w:val="center"/>
          </w:tcPr>
          <w:p w14:paraId="2DD8D4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0551B7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1B4F6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noWrap/>
            <w:vAlign w:val="center"/>
          </w:tcPr>
          <w:p w14:paraId="7A5E3D35">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2056AE3">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1532A05">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00AFD9B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正常经营生产三年及以上（无工商注销、连续停产12个月以上、被市场监督管理部门列入经营异常名单等情况）。</w:t>
            </w:r>
          </w:p>
        </w:tc>
        <w:tc>
          <w:tcPr>
            <w:tcW w:w="381" w:type="pct"/>
            <w:tcBorders>
              <w:tl2br w:val="nil"/>
              <w:tr2bl w:val="nil"/>
            </w:tcBorders>
            <w:shd w:val="clear" w:color="auto" w:fill="auto"/>
            <w:vAlign w:val="center"/>
          </w:tcPr>
          <w:p w14:paraId="427B16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5B1F9B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37C4D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noWrap/>
            <w:vAlign w:val="center"/>
          </w:tcPr>
          <w:p w14:paraId="18207F3F">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F14ACE5">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036C82E8">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7F5483B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近三年无较大及以上安全（含网络安全、数据安全）、质量、环境污染等事故。</w:t>
            </w:r>
          </w:p>
        </w:tc>
        <w:tc>
          <w:tcPr>
            <w:tcW w:w="381" w:type="pct"/>
            <w:tcBorders>
              <w:tl2br w:val="nil"/>
              <w:tr2bl w:val="nil"/>
            </w:tcBorders>
            <w:shd w:val="clear" w:color="auto" w:fill="auto"/>
            <w:vAlign w:val="center"/>
          </w:tcPr>
          <w:p w14:paraId="3C5AA2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67EEFE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74D0B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noWrap/>
            <w:vAlign w:val="center"/>
          </w:tcPr>
          <w:p w14:paraId="7E44DD9A">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082FC6C">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007403B1">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6DAA44A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信用良好，未被列为失信被执行人，无偷漏税行为。</w:t>
            </w:r>
          </w:p>
        </w:tc>
        <w:tc>
          <w:tcPr>
            <w:tcW w:w="381" w:type="pct"/>
            <w:tcBorders>
              <w:tl2br w:val="nil"/>
              <w:tr2bl w:val="nil"/>
            </w:tcBorders>
            <w:shd w:val="clear" w:color="auto" w:fill="auto"/>
            <w:vAlign w:val="center"/>
          </w:tcPr>
          <w:p w14:paraId="4FF4CF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7822D4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48F17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noWrap/>
            <w:vAlign w:val="center"/>
          </w:tcPr>
          <w:p w14:paraId="17D1AF5F">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8F2F1CC">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C22A00D">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7E95889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在有关政府部门相关督查工作中未被发现存在严重问题。</w:t>
            </w:r>
          </w:p>
        </w:tc>
        <w:tc>
          <w:tcPr>
            <w:tcW w:w="381" w:type="pct"/>
            <w:tcBorders>
              <w:tl2br w:val="nil"/>
              <w:tr2bl w:val="nil"/>
            </w:tcBorders>
            <w:shd w:val="clear" w:color="auto" w:fill="auto"/>
            <w:vAlign w:val="center"/>
          </w:tcPr>
          <w:p w14:paraId="3A7C2E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307FAC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4BA00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noWrap/>
            <w:vAlign w:val="center"/>
          </w:tcPr>
          <w:p w14:paraId="515153E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28728B62">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0671D36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2584B6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近三年未被列入工业节能监察整改名单。</w:t>
            </w:r>
          </w:p>
        </w:tc>
        <w:tc>
          <w:tcPr>
            <w:tcW w:w="381" w:type="pct"/>
            <w:tcBorders>
              <w:tl2br w:val="nil"/>
              <w:tr2bl w:val="nil"/>
            </w:tcBorders>
            <w:shd w:val="clear" w:color="auto" w:fill="auto"/>
            <w:vAlign w:val="center"/>
          </w:tcPr>
          <w:p w14:paraId="10C5DA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183A4B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16858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noWrap/>
            <w:vAlign w:val="center"/>
          </w:tcPr>
          <w:p w14:paraId="27B215A4">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FB3C5D3">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31BDB1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基础性要求</w:t>
            </w:r>
          </w:p>
        </w:tc>
        <w:tc>
          <w:tcPr>
            <w:tcW w:w="2700" w:type="pct"/>
            <w:tcBorders>
              <w:tl2br w:val="nil"/>
              <w:tr2bl w:val="nil"/>
            </w:tcBorders>
            <w:shd w:val="clear" w:color="auto" w:fill="auto"/>
            <w:vAlign w:val="center"/>
          </w:tcPr>
          <w:p w14:paraId="7863DE4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符合《产业结构调整指导目录》《绿色低碳转型产业指导目录》等绿色低碳产业政策要求。</w:t>
            </w:r>
          </w:p>
        </w:tc>
        <w:tc>
          <w:tcPr>
            <w:tcW w:w="381" w:type="pct"/>
            <w:tcBorders>
              <w:tl2br w:val="nil"/>
              <w:tr2bl w:val="nil"/>
            </w:tcBorders>
            <w:shd w:val="clear" w:color="auto" w:fill="auto"/>
            <w:vAlign w:val="center"/>
          </w:tcPr>
          <w:p w14:paraId="470147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457422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531B6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noWrap/>
            <w:vAlign w:val="center"/>
          </w:tcPr>
          <w:p w14:paraId="63857BDC">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5699F3A">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1B448B75">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04A11B0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相关手续齐全规范。</w:t>
            </w:r>
          </w:p>
        </w:tc>
        <w:tc>
          <w:tcPr>
            <w:tcW w:w="381" w:type="pct"/>
            <w:tcBorders>
              <w:tl2br w:val="nil"/>
              <w:tr2bl w:val="nil"/>
            </w:tcBorders>
            <w:shd w:val="clear" w:color="auto" w:fill="auto"/>
            <w:vAlign w:val="center"/>
          </w:tcPr>
          <w:p w14:paraId="67C883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579" w:type="pct"/>
            <w:tcBorders>
              <w:tl2br w:val="nil"/>
              <w:tr2bl w:val="nil"/>
            </w:tcBorders>
            <w:shd w:val="clear" w:color="auto" w:fill="auto"/>
            <w:vAlign w:val="center"/>
          </w:tcPr>
          <w:p w14:paraId="1E3A0C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2B221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restart"/>
            <w:tcBorders>
              <w:tl2br w:val="nil"/>
              <w:tr2bl w:val="nil"/>
            </w:tcBorders>
            <w:shd w:val="clear" w:color="auto" w:fill="auto"/>
            <w:vAlign w:val="center"/>
          </w:tcPr>
          <w:p w14:paraId="08123F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w:t>
            </w:r>
          </w:p>
        </w:tc>
        <w:tc>
          <w:tcPr>
            <w:tcW w:w="380" w:type="pct"/>
            <w:vMerge w:val="restart"/>
            <w:tcBorders>
              <w:tl2br w:val="nil"/>
              <w:tr2bl w:val="nil"/>
            </w:tcBorders>
            <w:shd w:val="clear" w:color="auto" w:fill="auto"/>
            <w:vAlign w:val="center"/>
          </w:tcPr>
          <w:p w14:paraId="34E525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设施设备</w:t>
            </w:r>
          </w:p>
        </w:tc>
        <w:tc>
          <w:tcPr>
            <w:tcW w:w="598" w:type="pct"/>
            <w:vMerge w:val="restart"/>
            <w:tcBorders>
              <w:tl2br w:val="nil"/>
              <w:tr2bl w:val="nil"/>
            </w:tcBorders>
            <w:shd w:val="clear" w:color="auto" w:fill="auto"/>
            <w:vAlign w:val="center"/>
          </w:tcPr>
          <w:p w14:paraId="19B314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建筑</w:t>
            </w:r>
          </w:p>
        </w:tc>
        <w:tc>
          <w:tcPr>
            <w:tcW w:w="2700" w:type="pct"/>
            <w:tcBorders>
              <w:tl2br w:val="nil"/>
              <w:tr2bl w:val="nil"/>
            </w:tcBorders>
            <w:shd w:val="clear" w:color="auto" w:fill="auto"/>
            <w:vAlign w:val="center"/>
          </w:tcPr>
          <w:p w14:paraId="0676896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应使用列入绿色建材产品名录的绿色建材产品。</w:t>
            </w:r>
          </w:p>
        </w:tc>
        <w:tc>
          <w:tcPr>
            <w:tcW w:w="381" w:type="pct"/>
            <w:tcBorders>
              <w:tl2br w:val="nil"/>
              <w:tr2bl w:val="nil"/>
            </w:tcBorders>
            <w:shd w:val="clear" w:color="auto" w:fill="auto"/>
            <w:vAlign w:val="center"/>
          </w:tcPr>
          <w:p w14:paraId="105ED6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restart"/>
            <w:tcBorders>
              <w:tl2br w:val="nil"/>
              <w:tr2bl w:val="nil"/>
            </w:tcBorders>
            <w:shd w:val="clear" w:color="auto" w:fill="auto"/>
            <w:vAlign w:val="center"/>
          </w:tcPr>
          <w:p w14:paraId="1F41B8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 </w:t>
            </w:r>
          </w:p>
        </w:tc>
      </w:tr>
      <w:tr w14:paraId="20B07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5E293CF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0841CA20">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7C765D2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4D4206B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主体结构应采用钢结构、木结构、混凝土结构等符合工业化建造要求、资源消耗和环境影响小的结构体系与建筑构件。</w:t>
            </w:r>
          </w:p>
        </w:tc>
        <w:tc>
          <w:tcPr>
            <w:tcW w:w="381" w:type="pct"/>
            <w:tcBorders>
              <w:tl2br w:val="nil"/>
              <w:tr2bl w:val="nil"/>
            </w:tcBorders>
            <w:shd w:val="clear" w:color="auto" w:fill="auto"/>
            <w:vAlign w:val="center"/>
          </w:tcPr>
          <w:p w14:paraId="2E70B9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1324955C">
            <w:pPr>
              <w:jc w:val="center"/>
              <w:rPr>
                <w:rFonts w:hint="default" w:ascii="Times New Roman" w:hAnsi="Times New Roman" w:eastAsia="仿宋_GB2312" w:cs="Times New Roman"/>
                <w:i w:val="0"/>
                <w:iCs w:val="0"/>
                <w:color w:val="auto"/>
                <w:sz w:val="22"/>
                <w:szCs w:val="22"/>
                <w:u w:val="none"/>
              </w:rPr>
            </w:pPr>
          </w:p>
        </w:tc>
      </w:tr>
      <w:tr w14:paraId="16902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0EF8A628">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3C0A112">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5A49A6D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C91FFB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建筑室内采光宜充分利用自然光。</w:t>
            </w:r>
          </w:p>
        </w:tc>
        <w:tc>
          <w:tcPr>
            <w:tcW w:w="381" w:type="pct"/>
            <w:tcBorders>
              <w:tl2br w:val="nil"/>
              <w:tr2bl w:val="nil"/>
            </w:tcBorders>
            <w:shd w:val="clear" w:color="auto" w:fill="auto"/>
            <w:vAlign w:val="center"/>
          </w:tcPr>
          <w:p w14:paraId="414084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393BD527">
            <w:pPr>
              <w:jc w:val="center"/>
              <w:rPr>
                <w:rFonts w:hint="default" w:ascii="Times New Roman" w:hAnsi="Times New Roman" w:eastAsia="仿宋_GB2312" w:cs="Times New Roman"/>
                <w:i w:val="0"/>
                <w:iCs w:val="0"/>
                <w:color w:val="auto"/>
                <w:sz w:val="22"/>
                <w:szCs w:val="22"/>
                <w:u w:val="none"/>
              </w:rPr>
            </w:pPr>
          </w:p>
        </w:tc>
      </w:tr>
      <w:tr w14:paraId="21E2A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5F14C35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F479C74">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11921A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公共设备</w:t>
            </w:r>
          </w:p>
        </w:tc>
        <w:tc>
          <w:tcPr>
            <w:tcW w:w="2700" w:type="pct"/>
            <w:tcBorders>
              <w:tl2br w:val="nil"/>
              <w:tr2bl w:val="nil"/>
            </w:tcBorders>
            <w:shd w:val="clear" w:color="auto" w:fill="auto"/>
            <w:vAlign w:val="center"/>
          </w:tcPr>
          <w:p w14:paraId="241FB38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应使用先进高效的照明、空调、电梯等设备。</w:t>
            </w:r>
          </w:p>
        </w:tc>
        <w:tc>
          <w:tcPr>
            <w:tcW w:w="381" w:type="pct"/>
            <w:tcBorders>
              <w:tl2br w:val="nil"/>
              <w:tr2bl w:val="nil"/>
            </w:tcBorders>
            <w:shd w:val="clear" w:color="auto" w:fill="auto"/>
            <w:vAlign w:val="center"/>
          </w:tcPr>
          <w:p w14:paraId="071FA3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229D3CEB">
            <w:pPr>
              <w:jc w:val="center"/>
              <w:rPr>
                <w:rFonts w:hint="default" w:ascii="Times New Roman" w:hAnsi="Times New Roman" w:eastAsia="仿宋_GB2312" w:cs="Times New Roman"/>
                <w:i w:val="0"/>
                <w:iCs w:val="0"/>
                <w:color w:val="auto"/>
                <w:sz w:val="22"/>
                <w:szCs w:val="22"/>
                <w:u w:val="none"/>
              </w:rPr>
            </w:pPr>
          </w:p>
        </w:tc>
      </w:tr>
      <w:tr w14:paraId="7E372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0FCF22CF">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330BFA5">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8521D22">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1AF254D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不同场所的照明应进行分级设计，公共场所的照明应采取分区、分组与定时自动调光等措施。</w:t>
            </w:r>
          </w:p>
        </w:tc>
        <w:tc>
          <w:tcPr>
            <w:tcW w:w="381" w:type="pct"/>
            <w:tcBorders>
              <w:tl2br w:val="nil"/>
              <w:tr2bl w:val="nil"/>
            </w:tcBorders>
            <w:shd w:val="clear" w:color="auto" w:fill="auto"/>
            <w:vAlign w:val="center"/>
          </w:tcPr>
          <w:p w14:paraId="318E7C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44569837">
            <w:pPr>
              <w:jc w:val="center"/>
              <w:rPr>
                <w:rFonts w:hint="default" w:ascii="Times New Roman" w:hAnsi="Times New Roman" w:eastAsia="仿宋_GB2312" w:cs="Times New Roman"/>
                <w:i w:val="0"/>
                <w:iCs w:val="0"/>
                <w:color w:val="auto"/>
                <w:sz w:val="22"/>
                <w:szCs w:val="22"/>
                <w:u w:val="none"/>
              </w:rPr>
            </w:pPr>
          </w:p>
        </w:tc>
      </w:tr>
      <w:tr w14:paraId="1BAB9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177A9C77">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3955301">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20479C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运输设备</w:t>
            </w:r>
          </w:p>
        </w:tc>
        <w:tc>
          <w:tcPr>
            <w:tcW w:w="2700" w:type="pct"/>
            <w:tcBorders>
              <w:tl2br w:val="nil"/>
              <w:tr2bl w:val="nil"/>
            </w:tcBorders>
            <w:shd w:val="clear" w:color="auto" w:fill="auto"/>
            <w:vAlign w:val="center"/>
          </w:tcPr>
          <w:p w14:paraId="496C8F1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适用时，厂区内宜尽量使用低碳运输车辆。</w:t>
            </w:r>
          </w:p>
        </w:tc>
        <w:tc>
          <w:tcPr>
            <w:tcW w:w="381" w:type="pct"/>
            <w:tcBorders>
              <w:tl2br w:val="nil"/>
              <w:tr2bl w:val="nil"/>
            </w:tcBorders>
            <w:shd w:val="clear" w:color="auto" w:fill="auto"/>
            <w:vAlign w:val="center"/>
          </w:tcPr>
          <w:p w14:paraId="0DE371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0C91113D">
            <w:pPr>
              <w:jc w:val="center"/>
              <w:rPr>
                <w:rFonts w:hint="default" w:ascii="Times New Roman" w:hAnsi="Times New Roman" w:eastAsia="仿宋_GB2312" w:cs="Times New Roman"/>
                <w:i w:val="0"/>
                <w:iCs w:val="0"/>
                <w:color w:val="auto"/>
                <w:sz w:val="22"/>
                <w:szCs w:val="22"/>
                <w:u w:val="none"/>
              </w:rPr>
            </w:pPr>
          </w:p>
        </w:tc>
      </w:tr>
      <w:tr w14:paraId="171B6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3D479CEB">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EA13A6C">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650822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用能设备</w:t>
            </w:r>
          </w:p>
        </w:tc>
        <w:tc>
          <w:tcPr>
            <w:tcW w:w="2700" w:type="pct"/>
            <w:tcBorders>
              <w:tl2br w:val="nil"/>
              <w:tr2bl w:val="nil"/>
            </w:tcBorders>
            <w:shd w:val="clear" w:color="auto" w:fill="auto"/>
            <w:vAlign w:val="center"/>
          </w:tcPr>
          <w:p w14:paraId="2F3FDDC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应未使用国家明令禁止生产、使用或列入禁止、淘汰目录的设备</w:t>
            </w:r>
          </w:p>
        </w:tc>
        <w:tc>
          <w:tcPr>
            <w:tcW w:w="381" w:type="pct"/>
            <w:tcBorders>
              <w:tl2br w:val="nil"/>
              <w:tr2bl w:val="nil"/>
            </w:tcBorders>
            <w:shd w:val="clear" w:color="auto" w:fill="auto"/>
            <w:vAlign w:val="center"/>
          </w:tcPr>
          <w:p w14:paraId="1405E8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018F9998">
            <w:pPr>
              <w:jc w:val="center"/>
              <w:rPr>
                <w:rFonts w:hint="default" w:ascii="Times New Roman" w:hAnsi="Times New Roman" w:eastAsia="仿宋_GB2312" w:cs="Times New Roman"/>
                <w:i w:val="0"/>
                <w:iCs w:val="0"/>
                <w:color w:val="auto"/>
                <w:sz w:val="22"/>
                <w:szCs w:val="22"/>
                <w:u w:val="none"/>
              </w:rPr>
            </w:pPr>
          </w:p>
        </w:tc>
      </w:tr>
      <w:tr w14:paraId="6BF39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448CCD73">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2E30413A">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9E5BD37">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E34F27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宜使用能效达到节能水平或先进水平的变压器、电机、锅炉、风机、泵、压缩机等重点用能设备。</w:t>
            </w:r>
          </w:p>
        </w:tc>
        <w:tc>
          <w:tcPr>
            <w:tcW w:w="381" w:type="pct"/>
            <w:tcBorders>
              <w:tl2br w:val="nil"/>
              <w:tr2bl w:val="nil"/>
            </w:tcBorders>
            <w:shd w:val="clear" w:color="auto" w:fill="auto"/>
            <w:vAlign w:val="center"/>
          </w:tcPr>
          <w:p w14:paraId="59E934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0207DAD3">
            <w:pPr>
              <w:jc w:val="center"/>
              <w:rPr>
                <w:rFonts w:hint="default" w:ascii="Times New Roman" w:hAnsi="Times New Roman" w:eastAsia="仿宋_GB2312" w:cs="Times New Roman"/>
                <w:i w:val="0"/>
                <w:iCs w:val="0"/>
                <w:color w:val="auto"/>
                <w:sz w:val="22"/>
                <w:szCs w:val="22"/>
                <w:u w:val="none"/>
              </w:rPr>
            </w:pPr>
          </w:p>
        </w:tc>
      </w:tr>
      <w:tr w14:paraId="4A04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5D0BB4C3">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EAE82B6">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1CD04D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计量器具</w:t>
            </w:r>
          </w:p>
        </w:tc>
        <w:tc>
          <w:tcPr>
            <w:tcW w:w="2700" w:type="pct"/>
            <w:tcBorders>
              <w:tl2br w:val="nil"/>
              <w:tr2bl w:val="nil"/>
            </w:tcBorders>
            <w:shd w:val="clear" w:color="auto" w:fill="auto"/>
            <w:vAlign w:val="center"/>
          </w:tcPr>
          <w:p w14:paraId="3374377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应依据GB 17167、GB 24789等要求配备、使用和管理能源、水以及其他资源的计量器具和装置。</w:t>
            </w:r>
          </w:p>
        </w:tc>
        <w:tc>
          <w:tcPr>
            <w:tcW w:w="381" w:type="pct"/>
            <w:tcBorders>
              <w:tl2br w:val="nil"/>
              <w:tr2bl w:val="nil"/>
            </w:tcBorders>
            <w:shd w:val="clear" w:color="auto" w:fill="auto"/>
            <w:vAlign w:val="center"/>
          </w:tcPr>
          <w:p w14:paraId="2CCE24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69649ACF">
            <w:pPr>
              <w:jc w:val="center"/>
              <w:rPr>
                <w:rFonts w:hint="default" w:ascii="Times New Roman" w:hAnsi="Times New Roman" w:eastAsia="仿宋_GB2312" w:cs="Times New Roman"/>
                <w:i w:val="0"/>
                <w:iCs w:val="0"/>
                <w:color w:val="auto"/>
                <w:sz w:val="22"/>
                <w:szCs w:val="22"/>
                <w:u w:val="none"/>
              </w:rPr>
            </w:pPr>
          </w:p>
        </w:tc>
      </w:tr>
      <w:tr w14:paraId="53EC0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restart"/>
            <w:tcBorders>
              <w:tl2br w:val="nil"/>
              <w:tr2bl w:val="nil"/>
            </w:tcBorders>
            <w:shd w:val="clear" w:color="auto" w:fill="auto"/>
            <w:vAlign w:val="center"/>
          </w:tcPr>
          <w:p w14:paraId="7D827B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w:t>
            </w:r>
          </w:p>
        </w:tc>
        <w:tc>
          <w:tcPr>
            <w:tcW w:w="380" w:type="pct"/>
            <w:vMerge w:val="restart"/>
            <w:tcBorders>
              <w:tl2br w:val="nil"/>
              <w:tr2bl w:val="nil"/>
            </w:tcBorders>
            <w:shd w:val="clear" w:color="auto" w:fill="auto"/>
            <w:vAlign w:val="center"/>
          </w:tcPr>
          <w:p w14:paraId="23FA07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运营管理</w:t>
            </w:r>
          </w:p>
        </w:tc>
        <w:tc>
          <w:tcPr>
            <w:tcW w:w="598" w:type="pct"/>
            <w:tcBorders>
              <w:tl2br w:val="nil"/>
              <w:tr2bl w:val="nil"/>
            </w:tcBorders>
            <w:shd w:val="clear" w:color="auto" w:fill="auto"/>
            <w:vAlign w:val="center"/>
          </w:tcPr>
          <w:p w14:paraId="1F8810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管理机构</w:t>
            </w:r>
          </w:p>
        </w:tc>
        <w:tc>
          <w:tcPr>
            <w:tcW w:w="2700" w:type="pct"/>
            <w:tcBorders>
              <w:tl2br w:val="nil"/>
              <w:tr2bl w:val="nil"/>
            </w:tcBorders>
            <w:shd w:val="clear" w:color="auto" w:fill="auto"/>
            <w:vAlign w:val="center"/>
          </w:tcPr>
          <w:p w14:paraId="426CEA5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应设有零碳工厂管理机构，并明确相关工作职责、权限以及最高管理者的领导作用。</w:t>
            </w:r>
          </w:p>
        </w:tc>
        <w:tc>
          <w:tcPr>
            <w:tcW w:w="381" w:type="pct"/>
            <w:tcBorders>
              <w:tl2br w:val="nil"/>
              <w:tr2bl w:val="nil"/>
            </w:tcBorders>
            <w:shd w:val="clear" w:color="auto" w:fill="auto"/>
            <w:vAlign w:val="center"/>
          </w:tcPr>
          <w:p w14:paraId="439BA8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579" w:type="pct"/>
            <w:vMerge w:val="restart"/>
            <w:tcBorders>
              <w:tl2br w:val="nil"/>
              <w:tr2bl w:val="nil"/>
            </w:tcBorders>
            <w:shd w:val="clear" w:color="auto" w:fill="auto"/>
            <w:vAlign w:val="center"/>
          </w:tcPr>
          <w:p w14:paraId="26FEBF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20 </w:t>
            </w:r>
          </w:p>
        </w:tc>
      </w:tr>
      <w:tr w14:paraId="52523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15F9577B">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EA681B7">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730B01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制度方案</w:t>
            </w:r>
          </w:p>
        </w:tc>
        <w:tc>
          <w:tcPr>
            <w:tcW w:w="2700" w:type="pct"/>
            <w:tcBorders>
              <w:tl2br w:val="nil"/>
              <w:tr2bl w:val="nil"/>
            </w:tcBorders>
            <w:shd w:val="clear" w:color="auto" w:fill="auto"/>
            <w:vAlign w:val="center"/>
          </w:tcPr>
          <w:p w14:paraId="5C4AB84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应制定零碳工厂的中长期规划、实施方案。</w:t>
            </w:r>
          </w:p>
        </w:tc>
        <w:tc>
          <w:tcPr>
            <w:tcW w:w="381" w:type="pct"/>
            <w:tcBorders>
              <w:tl2br w:val="nil"/>
              <w:tr2bl w:val="nil"/>
            </w:tcBorders>
            <w:shd w:val="clear" w:color="auto" w:fill="auto"/>
            <w:vAlign w:val="center"/>
          </w:tcPr>
          <w:p w14:paraId="6CBF6C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579" w:type="pct"/>
            <w:vMerge w:val="continue"/>
            <w:tcBorders>
              <w:tl2br w:val="nil"/>
              <w:tr2bl w:val="nil"/>
            </w:tcBorders>
            <w:shd w:val="clear" w:color="auto" w:fill="auto"/>
            <w:vAlign w:val="center"/>
          </w:tcPr>
          <w:p w14:paraId="3E71A07E">
            <w:pPr>
              <w:jc w:val="center"/>
              <w:rPr>
                <w:rFonts w:hint="default" w:ascii="Times New Roman" w:hAnsi="Times New Roman" w:eastAsia="仿宋_GB2312" w:cs="Times New Roman"/>
                <w:i w:val="0"/>
                <w:iCs w:val="0"/>
                <w:color w:val="auto"/>
                <w:sz w:val="22"/>
                <w:szCs w:val="22"/>
                <w:u w:val="none"/>
              </w:rPr>
            </w:pPr>
          </w:p>
        </w:tc>
      </w:tr>
      <w:tr w14:paraId="7A0EA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476F55B1">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87482AC">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43AF55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教育培训</w:t>
            </w:r>
          </w:p>
        </w:tc>
        <w:tc>
          <w:tcPr>
            <w:tcW w:w="2700" w:type="pct"/>
            <w:tcBorders>
              <w:tl2br w:val="nil"/>
              <w:tr2bl w:val="nil"/>
            </w:tcBorders>
            <w:shd w:val="clear" w:color="auto" w:fill="auto"/>
            <w:vAlign w:val="center"/>
          </w:tcPr>
          <w:p w14:paraId="10C9178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应开展零碳工厂、绿色低碳相关政策、标准、知识的教育、培训。</w:t>
            </w:r>
          </w:p>
        </w:tc>
        <w:tc>
          <w:tcPr>
            <w:tcW w:w="381" w:type="pct"/>
            <w:tcBorders>
              <w:tl2br w:val="nil"/>
              <w:tr2bl w:val="nil"/>
            </w:tcBorders>
            <w:shd w:val="clear" w:color="auto" w:fill="auto"/>
            <w:vAlign w:val="center"/>
          </w:tcPr>
          <w:p w14:paraId="252156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579" w:type="pct"/>
            <w:vMerge w:val="continue"/>
            <w:tcBorders>
              <w:tl2br w:val="nil"/>
              <w:tr2bl w:val="nil"/>
            </w:tcBorders>
            <w:shd w:val="clear" w:color="auto" w:fill="auto"/>
            <w:vAlign w:val="center"/>
          </w:tcPr>
          <w:p w14:paraId="44B436E5">
            <w:pPr>
              <w:jc w:val="center"/>
              <w:rPr>
                <w:rFonts w:hint="default" w:ascii="Times New Roman" w:hAnsi="Times New Roman" w:eastAsia="仿宋_GB2312" w:cs="Times New Roman"/>
                <w:i w:val="0"/>
                <w:iCs w:val="0"/>
                <w:color w:val="auto"/>
                <w:sz w:val="22"/>
                <w:szCs w:val="22"/>
                <w:u w:val="none"/>
              </w:rPr>
            </w:pPr>
          </w:p>
        </w:tc>
      </w:tr>
      <w:tr w14:paraId="0C43B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1C25D287">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07E34096">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7EA0FC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管理体系</w:t>
            </w:r>
          </w:p>
        </w:tc>
        <w:tc>
          <w:tcPr>
            <w:tcW w:w="2700" w:type="pct"/>
            <w:tcBorders>
              <w:tl2br w:val="nil"/>
              <w:tr2bl w:val="nil"/>
            </w:tcBorders>
            <w:shd w:val="clear" w:color="auto" w:fill="auto"/>
            <w:vAlign w:val="center"/>
          </w:tcPr>
          <w:p w14:paraId="33F5D1B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19001的质量管理体系，宜通过质量管理体系第三方认证或相关认证。</w:t>
            </w:r>
          </w:p>
        </w:tc>
        <w:tc>
          <w:tcPr>
            <w:tcW w:w="381" w:type="pct"/>
            <w:tcBorders>
              <w:tl2br w:val="nil"/>
              <w:tr2bl w:val="nil"/>
            </w:tcBorders>
            <w:shd w:val="clear" w:color="auto" w:fill="auto"/>
            <w:vAlign w:val="center"/>
          </w:tcPr>
          <w:p w14:paraId="2C5F12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5776092E">
            <w:pPr>
              <w:jc w:val="center"/>
              <w:rPr>
                <w:rFonts w:hint="default" w:ascii="Times New Roman" w:hAnsi="Times New Roman" w:eastAsia="仿宋_GB2312" w:cs="Times New Roman"/>
                <w:i w:val="0"/>
                <w:iCs w:val="0"/>
                <w:color w:val="auto"/>
                <w:sz w:val="22"/>
                <w:szCs w:val="22"/>
                <w:u w:val="none"/>
              </w:rPr>
            </w:pPr>
          </w:p>
        </w:tc>
      </w:tr>
      <w:tr w14:paraId="1C812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0B3A8FD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DA58584">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DBBD26F">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17C747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45001的职业健康安全管理体系，宜通过职业健康安全管理体系第三方认证。</w:t>
            </w:r>
          </w:p>
        </w:tc>
        <w:tc>
          <w:tcPr>
            <w:tcW w:w="381" w:type="pct"/>
            <w:tcBorders>
              <w:tl2br w:val="nil"/>
              <w:tr2bl w:val="nil"/>
            </w:tcBorders>
            <w:shd w:val="clear" w:color="auto" w:fill="auto"/>
            <w:vAlign w:val="center"/>
          </w:tcPr>
          <w:p w14:paraId="4142CB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692A69C5">
            <w:pPr>
              <w:jc w:val="center"/>
              <w:rPr>
                <w:rFonts w:hint="default" w:ascii="Times New Roman" w:hAnsi="Times New Roman" w:eastAsia="仿宋_GB2312" w:cs="Times New Roman"/>
                <w:i w:val="0"/>
                <w:iCs w:val="0"/>
                <w:color w:val="auto"/>
                <w:sz w:val="22"/>
                <w:szCs w:val="22"/>
                <w:u w:val="none"/>
              </w:rPr>
            </w:pPr>
          </w:p>
        </w:tc>
      </w:tr>
      <w:tr w14:paraId="53B5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6FBED5F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513024A">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E668182">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6EAE771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应建立、实施并满足GB/T 24001的环境管理体系，宜通过环境管理体系第三方认证。</w:t>
            </w:r>
          </w:p>
        </w:tc>
        <w:tc>
          <w:tcPr>
            <w:tcW w:w="381" w:type="pct"/>
            <w:tcBorders>
              <w:tl2br w:val="nil"/>
              <w:tr2bl w:val="nil"/>
            </w:tcBorders>
            <w:shd w:val="clear" w:color="auto" w:fill="auto"/>
            <w:vAlign w:val="center"/>
          </w:tcPr>
          <w:p w14:paraId="57A678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3344E2F5">
            <w:pPr>
              <w:jc w:val="center"/>
              <w:rPr>
                <w:rFonts w:hint="default" w:ascii="Times New Roman" w:hAnsi="Times New Roman" w:eastAsia="仿宋_GB2312" w:cs="Times New Roman"/>
                <w:i w:val="0"/>
                <w:iCs w:val="0"/>
                <w:color w:val="auto"/>
                <w:sz w:val="22"/>
                <w:szCs w:val="22"/>
                <w:u w:val="none"/>
              </w:rPr>
            </w:pPr>
          </w:p>
        </w:tc>
      </w:tr>
      <w:tr w14:paraId="42B41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08A85122">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20F4BD9">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3F1442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20EC296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23331的能源管理体系，宜通过能源管理体系第三方认证。</w:t>
            </w:r>
          </w:p>
        </w:tc>
        <w:tc>
          <w:tcPr>
            <w:tcW w:w="381" w:type="pct"/>
            <w:tcBorders>
              <w:tl2br w:val="nil"/>
              <w:tr2bl w:val="nil"/>
            </w:tcBorders>
            <w:shd w:val="clear" w:color="auto" w:fill="auto"/>
            <w:vAlign w:val="center"/>
          </w:tcPr>
          <w:p w14:paraId="428421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2033C982">
            <w:pPr>
              <w:jc w:val="center"/>
              <w:rPr>
                <w:rFonts w:hint="default" w:ascii="Times New Roman" w:hAnsi="Times New Roman" w:eastAsia="仿宋_GB2312" w:cs="Times New Roman"/>
                <w:i w:val="0"/>
                <w:iCs w:val="0"/>
                <w:color w:val="auto"/>
                <w:sz w:val="22"/>
                <w:szCs w:val="22"/>
                <w:u w:val="none"/>
              </w:rPr>
            </w:pPr>
          </w:p>
        </w:tc>
      </w:tr>
      <w:tr w14:paraId="45D85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0B2951DF">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9E8273D">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F276790">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noWrap/>
            <w:vAlign w:val="center"/>
          </w:tcPr>
          <w:p w14:paraId="55FA9B5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宜建立、实施满足GB/T 19022的测量管理体系。</w:t>
            </w:r>
          </w:p>
        </w:tc>
        <w:tc>
          <w:tcPr>
            <w:tcW w:w="381" w:type="pct"/>
            <w:tcBorders>
              <w:tl2br w:val="nil"/>
              <w:tr2bl w:val="nil"/>
            </w:tcBorders>
            <w:shd w:val="clear" w:color="auto" w:fill="auto"/>
            <w:vAlign w:val="center"/>
          </w:tcPr>
          <w:p w14:paraId="71AC23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579" w:type="pct"/>
            <w:vMerge w:val="continue"/>
            <w:tcBorders>
              <w:tl2br w:val="nil"/>
              <w:tr2bl w:val="nil"/>
            </w:tcBorders>
            <w:shd w:val="clear" w:color="auto" w:fill="auto"/>
            <w:vAlign w:val="center"/>
          </w:tcPr>
          <w:p w14:paraId="1C9989EE">
            <w:pPr>
              <w:jc w:val="center"/>
              <w:rPr>
                <w:rFonts w:hint="default" w:ascii="Times New Roman" w:hAnsi="Times New Roman" w:eastAsia="仿宋_GB2312" w:cs="Times New Roman"/>
                <w:i w:val="0"/>
                <w:iCs w:val="0"/>
                <w:color w:val="auto"/>
                <w:sz w:val="22"/>
                <w:szCs w:val="22"/>
                <w:u w:val="none"/>
              </w:rPr>
            </w:pPr>
          </w:p>
        </w:tc>
      </w:tr>
      <w:tr w14:paraId="13E1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102E2C0F">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8C20F57">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68B2D31D">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8AD2AC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宜建立、实施规范的碳排放管理体系或温室气体管理体系。</w:t>
            </w:r>
          </w:p>
        </w:tc>
        <w:tc>
          <w:tcPr>
            <w:tcW w:w="381" w:type="pct"/>
            <w:tcBorders>
              <w:tl2br w:val="nil"/>
              <w:tr2bl w:val="nil"/>
            </w:tcBorders>
            <w:shd w:val="clear" w:color="auto" w:fill="auto"/>
            <w:vAlign w:val="center"/>
          </w:tcPr>
          <w:p w14:paraId="786F4F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53424403">
            <w:pPr>
              <w:jc w:val="center"/>
              <w:rPr>
                <w:rFonts w:hint="default" w:ascii="Times New Roman" w:hAnsi="Times New Roman" w:eastAsia="仿宋_GB2312" w:cs="Times New Roman"/>
                <w:i w:val="0"/>
                <w:iCs w:val="0"/>
                <w:color w:val="auto"/>
                <w:sz w:val="22"/>
                <w:szCs w:val="22"/>
                <w:u w:val="none"/>
              </w:rPr>
            </w:pPr>
          </w:p>
        </w:tc>
      </w:tr>
      <w:tr w14:paraId="3B72E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678A06D7">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6B047C1">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4C2811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智能管理</w:t>
            </w:r>
          </w:p>
        </w:tc>
        <w:tc>
          <w:tcPr>
            <w:tcW w:w="2700" w:type="pct"/>
            <w:tcBorders>
              <w:tl2br w:val="nil"/>
              <w:tr2bl w:val="nil"/>
            </w:tcBorders>
            <w:shd w:val="clear" w:color="auto" w:fill="auto"/>
            <w:vAlign w:val="center"/>
          </w:tcPr>
          <w:p w14:paraId="6389978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宜建有能源管理系统。</w:t>
            </w:r>
          </w:p>
        </w:tc>
        <w:tc>
          <w:tcPr>
            <w:tcW w:w="381" w:type="pct"/>
            <w:tcBorders>
              <w:tl2br w:val="nil"/>
              <w:tr2bl w:val="nil"/>
            </w:tcBorders>
            <w:shd w:val="clear" w:color="auto" w:fill="auto"/>
            <w:vAlign w:val="center"/>
          </w:tcPr>
          <w:p w14:paraId="15127A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6</w:t>
            </w:r>
          </w:p>
        </w:tc>
        <w:tc>
          <w:tcPr>
            <w:tcW w:w="579" w:type="pct"/>
            <w:vMerge w:val="continue"/>
            <w:tcBorders>
              <w:tl2br w:val="nil"/>
              <w:tr2bl w:val="nil"/>
            </w:tcBorders>
            <w:shd w:val="clear" w:color="auto" w:fill="auto"/>
            <w:vAlign w:val="center"/>
          </w:tcPr>
          <w:p w14:paraId="492EE526">
            <w:pPr>
              <w:jc w:val="center"/>
              <w:rPr>
                <w:rFonts w:hint="default" w:ascii="Times New Roman" w:hAnsi="Times New Roman" w:eastAsia="仿宋_GB2312" w:cs="Times New Roman"/>
                <w:i w:val="0"/>
                <w:iCs w:val="0"/>
                <w:color w:val="auto"/>
                <w:sz w:val="22"/>
                <w:szCs w:val="22"/>
                <w:u w:val="none"/>
              </w:rPr>
            </w:pPr>
          </w:p>
        </w:tc>
      </w:tr>
      <w:tr w14:paraId="3F6B3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575B5552">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261E4879">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1E8A873E">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1323E90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宜建有碳排放管理系统。</w:t>
            </w:r>
          </w:p>
        </w:tc>
        <w:tc>
          <w:tcPr>
            <w:tcW w:w="381" w:type="pct"/>
            <w:tcBorders>
              <w:tl2br w:val="nil"/>
              <w:tr2bl w:val="nil"/>
            </w:tcBorders>
            <w:shd w:val="clear" w:color="auto" w:fill="auto"/>
            <w:vAlign w:val="center"/>
          </w:tcPr>
          <w:p w14:paraId="43C2D3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186E1645">
            <w:pPr>
              <w:jc w:val="center"/>
              <w:rPr>
                <w:rFonts w:hint="default" w:ascii="Times New Roman" w:hAnsi="Times New Roman" w:eastAsia="仿宋_GB2312" w:cs="Times New Roman"/>
                <w:i w:val="0"/>
                <w:iCs w:val="0"/>
                <w:color w:val="auto"/>
                <w:sz w:val="22"/>
                <w:szCs w:val="22"/>
                <w:u w:val="none"/>
              </w:rPr>
            </w:pPr>
          </w:p>
        </w:tc>
      </w:tr>
      <w:tr w14:paraId="06A3E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3A7C301A">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F7AE9AF">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031437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信息公开</w:t>
            </w:r>
          </w:p>
        </w:tc>
        <w:tc>
          <w:tcPr>
            <w:tcW w:w="2700" w:type="pct"/>
            <w:tcBorders>
              <w:tl2br w:val="nil"/>
              <w:tr2bl w:val="nil"/>
            </w:tcBorders>
            <w:shd w:val="clear" w:color="auto" w:fill="auto"/>
            <w:vAlign w:val="center"/>
          </w:tcPr>
          <w:p w14:paraId="5D34D24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应按年度发布社会责任报告或ESG报告。</w:t>
            </w:r>
          </w:p>
        </w:tc>
        <w:tc>
          <w:tcPr>
            <w:tcW w:w="381" w:type="pct"/>
            <w:tcBorders>
              <w:tl2br w:val="nil"/>
              <w:tr2bl w:val="nil"/>
            </w:tcBorders>
            <w:shd w:val="clear" w:color="auto" w:fill="auto"/>
            <w:vAlign w:val="center"/>
          </w:tcPr>
          <w:p w14:paraId="7223E1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579" w:type="pct"/>
            <w:vMerge w:val="continue"/>
            <w:tcBorders>
              <w:tl2br w:val="nil"/>
              <w:tr2bl w:val="nil"/>
            </w:tcBorders>
            <w:shd w:val="clear" w:color="auto" w:fill="auto"/>
            <w:vAlign w:val="center"/>
          </w:tcPr>
          <w:p w14:paraId="7DE87178">
            <w:pPr>
              <w:jc w:val="center"/>
              <w:rPr>
                <w:rFonts w:hint="default" w:ascii="Times New Roman" w:hAnsi="Times New Roman" w:eastAsia="仿宋_GB2312" w:cs="Times New Roman"/>
                <w:i w:val="0"/>
                <w:iCs w:val="0"/>
                <w:color w:val="auto"/>
                <w:sz w:val="22"/>
                <w:szCs w:val="22"/>
                <w:u w:val="none"/>
              </w:rPr>
            </w:pPr>
          </w:p>
        </w:tc>
      </w:tr>
      <w:tr w14:paraId="66729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4154B9A8">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12F55BB">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14E4EE69">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DA0B02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应按年度公开碳排放数据。</w:t>
            </w:r>
          </w:p>
        </w:tc>
        <w:tc>
          <w:tcPr>
            <w:tcW w:w="381" w:type="pct"/>
            <w:tcBorders>
              <w:tl2br w:val="nil"/>
              <w:tr2bl w:val="nil"/>
            </w:tcBorders>
            <w:shd w:val="clear" w:color="auto" w:fill="auto"/>
            <w:vAlign w:val="center"/>
          </w:tcPr>
          <w:p w14:paraId="490506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579" w:type="pct"/>
            <w:vMerge w:val="continue"/>
            <w:tcBorders>
              <w:tl2br w:val="nil"/>
              <w:tr2bl w:val="nil"/>
            </w:tcBorders>
            <w:shd w:val="clear" w:color="auto" w:fill="auto"/>
            <w:vAlign w:val="center"/>
          </w:tcPr>
          <w:p w14:paraId="2047297C">
            <w:pPr>
              <w:jc w:val="center"/>
              <w:rPr>
                <w:rFonts w:hint="default" w:ascii="Times New Roman" w:hAnsi="Times New Roman" w:eastAsia="仿宋_GB2312" w:cs="Times New Roman"/>
                <w:i w:val="0"/>
                <w:iCs w:val="0"/>
                <w:color w:val="auto"/>
                <w:sz w:val="22"/>
                <w:szCs w:val="22"/>
                <w:u w:val="none"/>
              </w:rPr>
            </w:pPr>
          </w:p>
        </w:tc>
      </w:tr>
      <w:tr w14:paraId="54E75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restart"/>
            <w:tcBorders>
              <w:tl2br w:val="nil"/>
              <w:tr2bl w:val="nil"/>
            </w:tcBorders>
            <w:shd w:val="clear" w:color="auto" w:fill="auto"/>
            <w:vAlign w:val="center"/>
          </w:tcPr>
          <w:p w14:paraId="20B4D2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380" w:type="pct"/>
            <w:vMerge w:val="restart"/>
            <w:tcBorders>
              <w:tl2br w:val="nil"/>
              <w:tr2bl w:val="nil"/>
            </w:tcBorders>
            <w:shd w:val="clear" w:color="auto" w:fill="auto"/>
            <w:vAlign w:val="center"/>
          </w:tcPr>
          <w:p w14:paraId="2F2345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节能降碳</w:t>
            </w:r>
          </w:p>
        </w:tc>
        <w:tc>
          <w:tcPr>
            <w:tcW w:w="598" w:type="pct"/>
            <w:tcBorders>
              <w:tl2br w:val="nil"/>
              <w:tr2bl w:val="nil"/>
            </w:tcBorders>
            <w:shd w:val="clear" w:color="auto" w:fill="auto"/>
            <w:vAlign w:val="center"/>
          </w:tcPr>
          <w:p w14:paraId="31CBCD1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低碳零碳能源利用</w:t>
            </w:r>
          </w:p>
        </w:tc>
        <w:tc>
          <w:tcPr>
            <w:tcW w:w="2700" w:type="pct"/>
            <w:tcBorders>
              <w:tl2br w:val="nil"/>
              <w:tr2bl w:val="nil"/>
            </w:tcBorders>
            <w:shd w:val="clear" w:color="auto" w:fill="auto"/>
            <w:vAlign w:val="center"/>
          </w:tcPr>
          <w:p w14:paraId="5EEE8B2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宜使用太阳能、风能、水能、生物质能、地热能、核能等低碳零碳能源。</w:t>
            </w:r>
          </w:p>
        </w:tc>
        <w:tc>
          <w:tcPr>
            <w:tcW w:w="381" w:type="pct"/>
            <w:tcBorders>
              <w:tl2br w:val="nil"/>
              <w:tr2bl w:val="nil"/>
            </w:tcBorders>
            <w:shd w:val="clear" w:color="auto" w:fill="auto"/>
            <w:vAlign w:val="center"/>
          </w:tcPr>
          <w:p w14:paraId="3853F4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restart"/>
            <w:tcBorders>
              <w:tl2br w:val="nil"/>
              <w:tr2bl w:val="nil"/>
            </w:tcBorders>
            <w:shd w:val="clear" w:color="auto" w:fill="auto"/>
            <w:vAlign w:val="center"/>
          </w:tcPr>
          <w:p w14:paraId="4EAFE4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30 </w:t>
            </w:r>
          </w:p>
        </w:tc>
      </w:tr>
      <w:tr w14:paraId="5431F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68B658F8">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CBAB7EA">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6987AC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节能降碳措施</w:t>
            </w:r>
          </w:p>
        </w:tc>
        <w:tc>
          <w:tcPr>
            <w:tcW w:w="2700" w:type="pct"/>
            <w:tcBorders>
              <w:tl2br w:val="nil"/>
              <w:tr2bl w:val="nil"/>
            </w:tcBorders>
            <w:shd w:val="clear" w:color="auto" w:fill="auto"/>
            <w:vAlign w:val="center"/>
          </w:tcPr>
          <w:p w14:paraId="05E3FBF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生产线应使用先进适用的工艺技术。</w:t>
            </w:r>
          </w:p>
        </w:tc>
        <w:tc>
          <w:tcPr>
            <w:tcW w:w="381" w:type="pct"/>
            <w:tcBorders>
              <w:tl2br w:val="nil"/>
              <w:tr2bl w:val="nil"/>
            </w:tcBorders>
            <w:shd w:val="clear" w:color="auto" w:fill="auto"/>
            <w:vAlign w:val="center"/>
          </w:tcPr>
          <w:p w14:paraId="5ADEBA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48211B02">
            <w:pPr>
              <w:jc w:val="center"/>
              <w:rPr>
                <w:rFonts w:hint="default" w:ascii="Times New Roman" w:hAnsi="Times New Roman" w:eastAsia="仿宋_GB2312" w:cs="Times New Roman"/>
                <w:i w:val="0"/>
                <w:iCs w:val="0"/>
                <w:color w:val="auto"/>
                <w:sz w:val="22"/>
                <w:szCs w:val="22"/>
                <w:u w:val="none"/>
              </w:rPr>
            </w:pPr>
          </w:p>
        </w:tc>
      </w:tr>
      <w:tr w14:paraId="7502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4FD659E1">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838AA17">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4313B46">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2739C9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适用时，宜通过原燃料替代减少碳排放。</w:t>
            </w:r>
          </w:p>
        </w:tc>
        <w:tc>
          <w:tcPr>
            <w:tcW w:w="381" w:type="pct"/>
            <w:tcBorders>
              <w:tl2br w:val="nil"/>
              <w:tr2bl w:val="nil"/>
            </w:tcBorders>
            <w:shd w:val="clear" w:color="auto" w:fill="auto"/>
            <w:vAlign w:val="center"/>
          </w:tcPr>
          <w:p w14:paraId="27692C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0F6E39CF">
            <w:pPr>
              <w:jc w:val="center"/>
              <w:rPr>
                <w:rFonts w:hint="default" w:ascii="Times New Roman" w:hAnsi="Times New Roman" w:eastAsia="仿宋_GB2312" w:cs="Times New Roman"/>
                <w:i w:val="0"/>
                <w:iCs w:val="0"/>
                <w:color w:val="auto"/>
                <w:sz w:val="22"/>
                <w:szCs w:val="22"/>
                <w:u w:val="none"/>
              </w:rPr>
            </w:pPr>
          </w:p>
        </w:tc>
      </w:tr>
      <w:tr w14:paraId="254F9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68FD479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CDE0D98">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67284966">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98EE12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适用时，宜利用余热余压。</w:t>
            </w:r>
          </w:p>
        </w:tc>
        <w:tc>
          <w:tcPr>
            <w:tcW w:w="381" w:type="pct"/>
            <w:tcBorders>
              <w:tl2br w:val="nil"/>
              <w:tr2bl w:val="nil"/>
            </w:tcBorders>
            <w:shd w:val="clear" w:color="auto" w:fill="auto"/>
            <w:vAlign w:val="center"/>
          </w:tcPr>
          <w:p w14:paraId="2C8F70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1EA3CB12">
            <w:pPr>
              <w:jc w:val="center"/>
              <w:rPr>
                <w:rFonts w:hint="default" w:ascii="Times New Roman" w:hAnsi="Times New Roman" w:eastAsia="仿宋_GB2312" w:cs="Times New Roman"/>
                <w:i w:val="0"/>
                <w:iCs w:val="0"/>
                <w:color w:val="auto"/>
                <w:sz w:val="22"/>
                <w:szCs w:val="22"/>
                <w:u w:val="none"/>
              </w:rPr>
            </w:pPr>
          </w:p>
        </w:tc>
      </w:tr>
      <w:tr w14:paraId="1A9F0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01FD07FD">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9495C77">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1EA3C69A">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B5C623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宜实施技术工艺升级、用能设备更新等节能降碳改造。</w:t>
            </w:r>
          </w:p>
        </w:tc>
        <w:tc>
          <w:tcPr>
            <w:tcW w:w="381" w:type="pct"/>
            <w:tcBorders>
              <w:tl2br w:val="nil"/>
              <w:tr2bl w:val="nil"/>
            </w:tcBorders>
            <w:shd w:val="clear" w:color="auto" w:fill="auto"/>
            <w:vAlign w:val="center"/>
          </w:tcPr>
          <w:p w14:paraId="155A5E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1364906F">
            <w:pPr>
              <w:jc w:val="center"/>
              <w:rPr>
                <w:rFonts w:hint="default" w:ascii="Times New Roman" w:hAnsi="Times New Roman" w:eastAsia="仿宋_GB2312" w:cs="Times New Roman"/>
                <w:i w:val="0"/>
                <w:iCs w:val="0"/>
                <w:color w:val="auto"/>
                <w:sz w:val="22"/>
                <w:szCs w:val="22"/>
                <w:u w:val="none"/>
              </w:rPr>
            </w:pPr>
          </w:p>
        </w:tc>
      </w:tr>
      <w:tr w14:paraId="09704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304A4039">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4A165D9">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E35445D">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02D2170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宜实施屋顶光伏或建筑光伏一体化。</w:t>
            </w:r>
          </w:p>
        </w:tc>
        <w:tc>
          <w:tcPr>
            <w:tcW w:w="381" w:type="pct"/>
            <w:tcBorders>
              <w:tl2br w:val="nil"/>
              <w:tr2bl w:val="nil"/>
            </w:tcBorders>
            <w:shd w:val="clear" w:color="auto" w:fill="auto"/>
            <w:vAlign w:val="center"/>
          </w:tcPr>
          <w:p w14:paraId="329AFC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529245CC">
            <w:pPr>
              <w:jc w:val="center"/>
              <w:rPr>
                <w:rFonts w:hint="default" w:ascii="Times New Roman" w:hAnsi="Times New Roman" w:eastAsia="仿宋_GB2312" w:cs="Times New Roman"/>
                <w:i w:val="0"/>
                <w:iCs w:val="0"/>
                <w:color w:val="auto"/>
                <w:sz w:val="22"/>
                <w:szCs w:val="22"/>
                <w:u w:val="none"/>
              </w:rPr>
            </w:pPr>
          </w:p>
        </w:tc>
      </w:tr>
      <w:tr w14:paraId="7828D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37706C0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62F0F18">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A744F9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265B5D3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宜使用低碳、零碳、负碳技术。</w:t>
            </w:r>
          </w:p>
        </w:tc>
        <w:tc>
          <w:tcPr>
            <w:tcW w:w="381" w:type="pct"/>
            <w:tcBorders>
              <w:tl2br w:val="nil"/>
              <w:tr2bl w:val="nil"/>
            </w:tcBorders>
            <w:shd w:val="clear" w:color="auto" w:fill="auto"/>
            <w:vAlign w:val="center"/>
          </w:tcPr>
          <w:p w14:paraId="5BD8E3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2B3FE8BD">
            <w:pPr>
              <w:jc w:val="center"/>
              <w:rPr>
                <w:rFonts w:hint="default" w:ascii="Times New Roman" w:hAnsi="Times New Roman" w:eastAsia="仿宋_GB2312" w:cs="Times New Roman"/>
                <w:i w:val="0"/>
                <w:iCs w:val="0"/>
                <w:color w:val="auto"/>
                <w:sz w:val="22"/>
                <w:szCs w:val="22"/>
                <w:u w:val="none"/>
              </w:rPr>
            </w:pPr>
          </w:p>
        </w:tc>
      </w:tr>
      <w:tr w14:paraId="26496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0DDF86BC">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BA4DA83">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369B2CBC">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27B1781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宜使用工业绿色微电网技术。</w:t>
            </w:r>
          </w:p>
        </w:tc>
        <w:tc>
          <w:tcPr>
            <w:tcW w:w="381" w:type="pct"/>
            <w:tcBorders>
              <w:tl2br w:val="nil"/>
              <w:tr2bl w:val="nil"/>
            </w:tcBorders>
            <w:shd w:val="clear" w:color="auto" w:fill="auto"/>
            <w:vAlign w:val="center"/>
          </w:tcPr>
          <w:p w14:paraId="132CDB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701C0EAF">
            <w:pPr>
              <w:jc w:val="center"/>
              <w:rPr>
                <w:rFonts w:hint="default" w:ascii="Times New Roman" w:hAnsi="Times New Roman" w:eastAsia="仿宋_GB2312" w:cs="Times New Roman"/>
                <w:i w:val="0"/>
                <w:iCs w:val="0"/>
                <w:color w:val="auto"/>
                <w:sz w:val="22"/>
                <w:szCs w:val="22"/>
                <w:u w:val="none"/>
              </w:rPr>
            </w:pPr>
          </w:p>
        </w:tc>
      </w:tr>
      <w:tr w14:paraId="4165B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40" w:hRule="atLeast"/>
        </w:trPr>
        <w:tc>
          <w:tcPr>
            <w:tcW w:w="359" w:type="pct"/>
            <w:vMerge w:val="continue"/>
            <w:tcBorders>
              <w:tl2br w:val="nil"/>
              <w:tr2bl w:val="nil"/>
            </w:tcBorders>
            <w:shd w:val="clear" w:color="auto" w:fill="auto"/>
            <w:vAlign w:val="center"/>
          </w:tcPr>
          <w:p w14:paraId="68FE78AB">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BD9F1ED">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6093B0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w:t>
            </w:r>
          </w:p>
        </w:tc>
        <w:tc>
          <w:tcPr>
            <w:tcW w:w="2700" w:type="pct"/>
            <w:tcBorders>
              <w:tl2br w:val="nil"/>
              <w:tr2bl w:val="nil"/>
            </w:tcBorders>
            <w:shd w:val="clear" w:color="auto" w:fill="auto"/>
            <w:vAlign w:val="center"/>
          </w:tcPr>
          <w:p w14:paraId="673C32D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通过自主实施可再生能源项目、购买使用绿色电力、购买绿证、购买国家核证自愿减排量(CCER)等方式实现碳抵消。</w:t>
            </w:r>
          </w:p>
        </w:tc>
        <w:tc>
          <w:tcPr>
            <w:tcW w:w="381" w:type="pct"/>
            <w:tcBorders>
              <w:tl2br w:val="nil"/>
              <w:tr2bl w:val="nil"/>
            </w:tcBorders>
            <w:shd w:val="clear" w:color="auto" w:fill="auto"/>
            <w:vAlign w:val="center"/>
          </w:tcPr>
          <w:p w14:paraId="6D2450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4F3A8CD6">
            <w:pPr>
              <w:jc w:val="center"/>
              <w:rPr>
                <w:rFonts w:hint="default" w:ascii="Times New Roman" w:hAnsi="Times New Roman" w:eastAsia="仿宋_GB2312" w:cs="Times New Roman"/>
                <w:i w:val="0"/>
                <w:iCs w:val="0"/>
                <w:color w:val="auto"/>
                <w:sz w:val="22"/>
                <w:szCs w:val="22"/>
                <w:u w:val="none"/>
              </w:rPr>
            </w:pPr>
          </w:p>
        </w:tc>
      </w:tr>
      <w:tr w14:paraId="60151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restart"/>
            <w:tcBorders>
              <w:tl2br w:val="nil"/>
              <w:tr2bl w:val="nil"/>
            </w:tcBorders>
            <w:shd w:val="clear" w:color="auto" w:fill="auto"/>
            <w:vAlign w:val="center"/>
          </w:tcPr>
          <w:p w14:paraId="0A75AE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380" w:type="pct"/>
            <w:vMerge w:val="restart"/>
            <w:tcBorders>
              <w:tl2br w:val="nil"/>
              <w:tr2bl w:val="nil"/>
            </w:tcBorders>
            <w:shd w:val="clear" w:color="auto" w:fill="auto"/>
            <w:vAlign w:val="center"/>
          </w:tcPr>
          <w:p w14:paraId="3B44C9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污染防治</w:t>
            </w:r>
          </w:p>
        </w:tc>
        <w:tc>
          <w:tcPr>
            <w:tcW w:w="598" w:type="pct"/>
            <w:tcBorders>
              <w:tl2br w:val="nil"/>
              <w:tr2bl w:val="nil"/>
            </w:tcBorders>
            <w:shd w:val="clear" w:color="auto" w:fill="auto"/>
            <w:vAlign w:val="center"/>
          </w:tcPr>
          <w:p w14:paraId="45269B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环保投入</w:t>
            </w:r>
          </w:p>
        </w:tc>
        <w:tc>
          <w:tcPr>
            <w:tcW w:w="2700" w:type="pct"/>
            <w:tcBorders>
              <w:tl2br w:val="nil"/>
              <w:tr2bl w:val="nil"/>
            </w:tcBorders>
            <w:shd w:val="clear" w:color="auto" w:fill="auto"/>
            <w:vAlign w:val="center"/>
          </w:tcPr>
          <w:p w14:paraId="09479FA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应投入、建设适宜的污染物处理设施设备、监测设备等。</w:t>
            </w:r>
          </w:p>
        </w:tc>
        <w:tc>
          <w:tcPr>
            <w:tcW w:w="381" w:type="pct"/>
            <w:tcBorders>
              <w:tl2br w:val="nil"/>
              <w:tr2bl w:val="nil"/>
            </w:tcBorders>
            <w:shd w:val="clear" w:color="auto" w:fill="auto"/>
            <w:vAlign w:val="center"/>
          </w:tcPr>
          <w:p w14:paraId="715B8C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restart"/>
            <w:tcBorders>
              <w:tl2br w:val="nil"/>
              <w:tr2bl w:val="nil"/>
            </w:tcBorders>
            <w:shd w:val="clear" w:color="auto" w:fill="auto"/>
            <w:vAlign w:val="center"/>
          </w:tcPr>
          <w:p w14:paraId="006D86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 </w:t>
            </w:r>
          </w:p>
        </w:tc>
      </w:tr>
      <w:tr w14:paraId="462DF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46B8E75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02861E7">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15C5F9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环境排放</w:t>
            </w:r>
          </w:p>
        </w:tc>
        <w:tc>
          <w:tcPr>
            <w:tcW w:w="2700" w:type="pct"/>
            <w:tcBorders>
              <w:tl2br w:val="nil"/>
              <w:tr2bl w:val="nil"/>
            </w:tcBorders>
            <w:shd w:val="clear" w:color="auto" w:fill="auto"/>
            <w:vAlign w:val="center"/>
          </w:tcPr>
          <w:p w14:paraId="543740C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大气污染物排放应符合相关国家标准、行业标准及地方标准的要求。</w:t>
            </w:r>
          </w:p>
        </w:tc>
        <w:tc>
          <w:tcPr>
            <w:tcW w:w="381" w:type="pct"/>
            <w:tcBorders>
              <w:tl2br w:val="nil"/>
              <w:tr2bl w:val="nil"/>
            </w:tcBorders>
            <w:shd w:val="clear" w:color="auto" w:fill="auto"/>
            <w:vAlign w:val="center"/>
          </w:tcPr>
          <w:p w14:paraId="3FB8B7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398D3BDE">
            <w:pPr>
              <w:jc w:val="center"/>
              <w:rPr>
                <w:rFonts w:hint="default" w:ascii="Times New Roman" w:hAnsi="Times New Roman" w:eastAsia="仿宋_GB2312" w:cs="Times New Roman"/>
                <w:i w:val="0"/>
                <w:iCs w:val="0"/>
                <w:color w:val="auto"/>
                <w:sz w:val="22"/>
                <w:szCs w:val="22"/>
                <w:u w:val="none"/>
              </w:rPr>
            </w:pPr>
          </w:p>
        </w:tc>
      </w:tr>
      <w:tr w14:paraId="527C0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30455EED">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5A09ABA2">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1185F60">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0CF3168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水体污染物排放应符合相关国家标准、行业标准及地方标准的要求。</w:t>
            </w:r>
          </w:p>
        </w:tc>
        <w:tc>
          <w:tcPr>
            <w:tcW w:w="381" w:type="pct"/>
            <w:tcBorders>
              <w:tl2br w:val="nil"/>
              <w:tr2bl w:val="nil"/>
            </w:tcBorders>
            <w:shd w:val="clear" w:color="auto" w:fill="auto"/>
            <w:vAlign w:val="center"/>
          </w:tcPr>
          <w:p w14:paraId="4A7C93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39A2DADA">
            <w:pPr>
              <w:jc w:val="center"/>
              <w:rPr>
                <w:rFonts w:hint="default" w:ascii="Times New Roman" w:hAnsi="Times New Roman" w:eastAsia="仿宋_GB2312" w:cs="Times New Roman"/>
                <w:i w:val="0"/>
                <w:iCs w:val="0"/>
                <w:color w:val="auto"/>
                <w:sz w:val="22"/>
                <w:szCs w:val="22"/>
                <w:u w:val="none"/>
              </w:rPr>
            </w:pPr>
          </w:p>
        </w:tc>
      </w:tr>
      <w:tr w14:paraId="60800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20BCC17A">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6D54A22">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657BFA1">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5E17F9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厂界环境噪声排放应符合相关国家标准、行业标准及地方标准的要求。</w:t>
            </w:r>
          </w:p>
        </w:tc>
        <w:tc>
          <w:tcPr>
            <w:tcW w:w="381" w:type="pct"/>
            <w:tcBorders>
              <w:tl2br w:val="nil"/>
              <w:tr2bl w:val="nil"/>
            </w:tcBorders>
            <w:shd w:val="clear" w:color="auto" w:fill="auto"/>
            <w:vAlign w:val="center"/>
          </w:tcPr>
          <w:p w14:paraId="121CC5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265495CD">
            <w:pPr>
              <w:jc w:val="center"/>
              <w:rPr>
                <w:rFonts w:hint="default" w:ascii="Times New Roman" w:hAnsi="Times New Roman" w:eastAsia="仿宋_GB2312" w:cs="Times New Roman"/>
                <w:i w:val="0"/>
                <w:iCs w:val="0"/>
                <w:color w:val="auto"/>
                <w:sz w:val="22"/>
                <w:szCs w:val="22"/>
                <w:u w:val="none"/>
              </w:rPr>
            </w:pPr>
          </w:p>
        </w:tc>
      </w:tr>
      <w:tr w14:paraId="28092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63B9965D">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D8BD5FB">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3752CBE">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57F5FE3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适用时，大气污染物排放宜符合超低排放要求。</w:t>
            </w:r>
          </w:p>
        </w:tc>
        <w:tc>
          <w:tcPr>
            <w:tcW w:w="381" w:type="pct"/>
            <w:tcBorders>
              <w:tl2br w:val="nil"/>
              <w:tr2bl w:val="nil"/>
            </w:tcBorders>
            <w:shd w:val="clear" w:color="auto" w:fill="auto"/>
            <w:vAlign w:val="center"/>
          </w:tcPr>
          <w:p w14:paraId="415D87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579" w:type="pct"/>
            <w:vMerge w:val="continue"/>
            <w:tcBorders>
              <w:tl2br w:val="nil"/>
              <w:tr2bl w:val="nil"/>
            </w:tcBorders>
            <w:shd w:val="clear" w:color="auto" w:fill="auto"/>
            <w:vAlign w:val="center"/>
          </w:tcPr>
          <w:p w14:paraId="5E408FD5">
            <w:pPr>
              <w:jc w:val="center"/>
              <w:rPr>
                <w:rFonts w:hint="default" w:ascii="Times New Roman" w:hAnsi="Times New Roman" w:eastAsia="仿宋_GB2312" w:cs="Times New Roman"/>
                <w:i w:val="0"/>
                <w:iCs w:val="0"/>
                <w:color w:val="auto"/>
                <w:sz w:val="22"/>
                <w:szCs w:val="22"/>
                <w:u w:val="none"/>
              </w:rPr>
            </w:pPr>
          </w:p>
        </w:tc>
      </w:tr>
      <w:tr w14:paraId="5AF6B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10" w:hRule="atLeast"/>
        </w:trPr>
        <w:tc>
          <w:tcPr>
            <w:tcW w:w="359" w:type="pct"/>
            <w:vMerge w:val="continue"/>
            <w:tcBorders>
              <w:tl2br w:val="nil"/>
              <w:tr2bl w:val="nil"/>
            </w:tcBorders>
            <w:shd w:val="clear" w:color="auto" w:fill="auto"/>
            <w:vAlign w:val="center"/>
          </w:tcPr>
          <w:p w14:paraId="2CF1C64E">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604B262">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50FE53F3">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4845ADD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产生的固体废弃物的处理应符合GB 18599及相关标准的要求，无法自行处理的，应转交给具备相应能力和资质的处理机构进行处理。</w:t>
            </w:r>
          </w:p>
        </w:tc>
        <w:tc>
          <w:tcPr>
            <w:tcW w:w="381" w:type="pct"/>
            <w:tcBorders>
              <w:tl2br w:val="nil"/>
              <w:tr2bl w:val="nil"/>
            </w:tcBorders>
            <w:shd w:val="clear" w:color="auto" w:fill="auto"/>
            <w:vAlign w:val="center"/>
          </w:tcPr>
          <w:p w14:paraId="21556E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1061C96F">
            <w:pPr>
              <w:jc w:val="center"/>
              <w:rPr>
                <w:rFonts w:hint="default" w:ascii="Times New Roman" w:hAnsi="Times New Roman" w:eastAsia="仿宋_GB2312" w:cs="Times New Roman"/>
                <w:i w:val="0"/>
                <w:iCs w:val="0"/>
                <w:color w:val="auto"/>
                <w:sz w:val="22"/>
                <w:szCs w:val="22"/>
                <w:u w:val="none"/>
              </w:rPr>
            </w:pPr>
          </w:p>
        </w:tc>
      </w:tr>
      <w:tr w14:paraId="32071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restart"/>
            <w:tcBorders>
              <w:tl2br w:val="nil"/>
              <w:tr2bl w:val="nil"/>
            </w:tcBorders>
            <w:shd w:val="clear" w:color="auto" w:fill="auto"/>
            <w:vAlign w:val="center"/>
          </w:tcPr>
          <w:p w14:paraId="7F1FBD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380" w:type="pct"/>
            <w:vMerge w:val="restart"/>
            <w:tcBorders>
              <w:tl2br w:val="nil"/>
              <w:tr2bl w:val="nil"/>
            </w:tcBorders>
            <w:shd w:val="clear" w:color="auto" w:fill="auto"/>
            <w:vAlign w:val="center"/>
          </w:tcPr>
          <w:p w14:paraId="74DB41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绩效与持续改进</w:t>
            </w:r>
          </w:p>
        </w:tc>
        <w:tc>
          <w:tcPr>
            <w:tcW w:w="598" w:type="pct"/>
            <w:vMerge w:val="restart"/>
            <w:tcBorders>
              <w:tl2br w:val="nil"/>
              <w:tr2bl w:val="nil"/>
            </w:tcBorders>
            <w:shd w:val="clear" w:color="auto" w:fill="auto"/>
            <w:vAlign w:val="center"/>
          </w:tcPr>
          <w:p w14:paraId="30BE06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用地集约</w:t>
            </w:r>
          </w:p>
        </w:tc>
        <w:tc>
          <w:tcPr>
            <w:tcW w:w="2700" w:type="pct"/>
            <w:tcBorders>
              <w:tl2br w:val="nil"/>
              <w:tr2bl w:val="nil"/>
            </w:tcBorders>
            <w:shd w:val="clear" w:color="auto" w:fill="auto"/>
            <w:vAlign w:val="center"/>
          </w:tcPr>
          <w:p w14:paraId="6896833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工厂单位用地面积产能（产值）应高于本省同类行业的平均水平。</w:t>
            </w:r>
          </w:p>
        </w:tc>
        <w:tc>
          <w:tcPr>
            <w:tcW w:w="381" w:type="pct"/>
            <w:tcBorders>
              <w:tl2br w:val="nil"/>
              <w:tr2bl w:val="nil"/>
            </w:tcBorders>
            <w:shd w:val="clear" w:color="auto" w:fill="auto"/>
            <w:vAlign w:val="center"/>
          </w:tcPr>
          <w:p w14:paraId="63B1D0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restart"/>
            <w:tcBorders>
              <w:tl2br w:val="nil"/>
              <w:tr2bl w:val="nil"/>
            </w:tcBorders>
            <w:shd w:val="clear" w:color="auto" w:fill="auto"/>
            <w:vAlign w:val="center"/>
          </w:tcPr>
          <w:p w14:paraId="23F0CB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30 </w:t>
            </w:r>
          </w:p>
        </w:tc>
      </w:tr>
      <w:tr w14:paraId="2F4E0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48BDFAA1">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06F50DEE">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ADECD2D">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7A51470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工厂容积率应不低于《工业项目建设用地控制指标》的要求。</w:t>
            </w:r>
          </w:p>
        </w:tc>
        <w:tc>
          <w:tcPr>
            <w:tcW w:w="381" w:type="pct"/>
            <w:tcBorders>
              <w:tl2br w:val="nil"/>
              <w:tr2bl w:val="nil"/>
            </w:tcBorders>
            <w:shd w:val="clear" w:color="auto" w:fill="auto"/>
            <w:vAlign w:val="center"/>
          </w:tcPr>
          <w:p w14:paraId="49ED68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3E75948C">
            <w:pPr>
              <w:jc w:val="center"/>
              <w:rPr>
                <w:rFonts w:hint="default" w:ascii="Times New Roman" w:hAnsi="Times New Roman" w:eastAsia="仿宋_GB2312" w:cs="Times New Roman"/>
                <w:i w:val="0"/>
                <w:iCs w:val="0"/>
                <w:color w:val="auto"/>
                <w:sz w:val="22"/>
                <w:szCs w:val="22"/>
                <w:u w:val="none"/>
              </w:rPr>
            </w:pPr>
          </w:p>
        </w:tc>
      </w:tr>
      <w:tr w14:paraId="1B79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5A63B36E">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5EF549B">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9AA9346">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1B1DBA2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工厂建筑密度应不低于《工业项目建设用地控制指标》的要求。</w:t>
            </w:r>
          </w:p>
        </w:tc>
        <w:tc>
          <w:tcPr>
            <w:tcW w:w="381" w:type="pct"/>
            <w:tcBorders>
              <w:tl2br w:val="nil"/>
              <w:tr2bl w:val="nil"/>
            </w:tcBorders>
            <w:shd w:val="clear" w:color="auto" w:fill="auto"/>
            <w:vAlign w:val="center"/>
          </w:tcPr>
          <w:p w14:paraId="45BFC8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16D82531">
            <w:pPr>
              <w:jc w:val="center"/>
              <w:rPr>
                <w:rFonts w:hint="default" w:ascii="Times New Roman" w:hAnsi="Times New Roman" w:eastAsia="仿宋_GB2312" w:cs="Times New Roman"/>
                <w:i w:val="0"/>
                <w:iCs w:val="0"/>
                <w:color w:val="auto"/>
                <w:sz w:val="22"/>
                <w:szCs w:val="22"/>
                <w:u w:val="none"/>
              </w:rPr>
            </w:pPr>
          </w:p>
        </w:tc>
      </w:tr>
      <w:tr w14:paraId="61591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7965CDCE">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8739828">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0F42C6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资源利用</w:t>
            </w:r>
          </w:p>
        </w:tc>
        <w:tc>
          <w:tcPr>
            <w:tcW w:w="2700" w:type="pct"/>
            <w:tcBorders>
              <w:tl2br w:val="nil"/>
              <w:tr2bl w:val="nil"/>
            </w:tcBorders>
            <w:shd w:val="clear" w:color="auto" w:fill="auto"/>
            <w:vAlign w:val="center"/>
          </w:tcPr>
          <w:p w14:paraId="53F924C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产品主要原材料消耗量应优于本省同类行业的平均水平。</w:t>
            </w:r>
          </w:p>
        </w:tc>
        <w:tc>
          <w:tcPr>
            <w:tcW w:w="381" w:type="pct"/>
            <w:tcBorders>
              <w:tl2br w:val="nil"/>
              <w:tr2bl w:val="nil"/>
            </w:tcBorders>
            <w:shd w:val="clear" w:color="auto" w:fill="auto"/>
            <w:vAlign w:val="center"/>
          </w:tcPr>
          <w:p w14:paraId="157795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3D9AAAC0">
            <w:pPr>
              <w:jc w:val="center"/>
              <w:rPr>
                <w:rFonts w:hint="default" w:ascii="Times New Roman" w:hAnsi="Times New Roman" w:eastAsia="仿宋_GB2312" w:cs="Times New Roman"/>
                <w:i w:val="0"/>
                <w:iCs w:val="0"/>
                <w:color w:val="auto"/>
                <w:sz w:val="22"/>
                <w:szCs w:val="22"/>
                <w:u w:val="none"/>
              </w:rPr>
            </w:pPr>
          </w:p>
        </w:tc>
      </w:tr>
      <w:tr w14:paraId="01370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4F4E4F91">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06D26E4">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0F17A269">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2F60808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固体废弃物应全部综合利用或处置，工业固体废物综合利用率应优于贵州省平均水平或行业水平（贵州省同类行业）。</w:t>
            </w:r>
          </w:p>
        </w:tc>
        <w:tc>
          <w:tcPr>
            <w:tcW w:w="381" w:type="pct"/>
            <w:tcBorders>
              <w:tl2br w:val="nil"/>
              <w:tr2bl w:val="nil"/>
            </w:tcBorders>
            <w:shd w:val="clear" w:color="auto" w:fill="auto"/>
            <w:vAlign w:val="center"/>
          </w:tcPr>
          <w:p w14:paraId="2596BB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415E7710">
            <w:pPr>
              <w:jc w:val="center"/>
              <w:rPr>
                <w:rFonts w:hint="default" w:ascii="Times New Roman" w:hAnsi="Times New Roman" w:eastAsia="仿宋_GB2312" w:cs="Times New Roman"/>
                <w:i w:val="0"/>
                <w:iCs w:val="0"/>
                <w:color w:val="auto"/>
                <w:sz w:val="22"/>
                <w:szCs w:val="22"/>
                <w:u w:val="none"/>
              </w:rPr>
            </w:pPr>
          </w:p>
        </w:tc>
      </w:tr>
      <w:tr w14:paraId="6B9B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5FE45BDA">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4CF0CE4">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1FC32C32">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7B9ED4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适用时，应计算产品的可回收利用率。</w:t>
            </w:r>
          </w:p>
        </w:tc>
        <w:tc>
          <w:tcPr>
            <w:tcW w:w="381" w:type="pct"/>
            <w:tcBorders>
              <w:tl2br w:val="nil"/>
              <w:tr2bl w:val="nil"/>
            </w:tcBorders>
            <w:shd w:val="clear" w:color="auto" w:fill="auto"/>
            <w:vAlign w:val="center"/>
          </w:tcPr>
          <w:p w14:paraId="3D0D93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0867E891">
            <w:pPr>
              <w:jc w:val="center"/>
              <w:rPr>
                <w:rFonts w:hint="default" w:ascii="Times New Roman" w:hAnsi="Times New Roman" w:eastAsia="仿宋_GB2312" w:cs="Times New Roman"/>
                <w:i w:val="0"/>
                <w:iCs w:val="0"/>
                <w:color w:val="auto"/>
                <w:sz w:val="22"/>
                <w:szCs w:val="22"/>
                <w:u w:val="none"/>
              </w:rPr>
            </w:pPr>
          </w:p>
        </w:tc>
      </w:tr>
      <w:tr w14:paraId="4E417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359" w:type="pct"/>
            <w:vMerge w:val="continue"/>
            <w:tcBorders>
              <w:tl2br w:val="nil"/>
              <w:tr2bl w:val="nil"/>
            </w:tcBorders>
            <w:shd w:val="clear" w:color="auto" w:fill="auto"/>
            <w:vAlign w:val="center"/>
          </w:tcPr>
          <w:p w14:paraId="7847F7F2">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9304EA7">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08A9685">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26F5DD3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废水处理回用率或非常规水利用率等水效指标应优于本省同类行业的平均水平。适用时，单位产品取水量应满足取水定额标准或节水型企业标准的要求。</w:t>
            </w:r>
          </w:p>
        </w:tc>
        <w:tc>
          <w:tcPr>
            <w:tcW w:w="381" w:type="pct"/>
            <w:tcBorders>
              <w:tl2br w:val="nil"/>
              <w:tr2bl w:val="nil"/>
            </w:tcBorders>
            <w:shd w:val="clear" w:color="auto" w:fill="auto"/>
            <w:vAlign w:val="center"/>
          </w:tcPr>
          <w:p w14:paraId="380FA0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25584AF9">
            <w:pPr>
              <w:jc w:val="center"/>
              <w:rPr>
                <w:rFonts w:hint="default" w:ascii="Times New Roman" w:hAnsi="Times New Roman" w:eastAsia="仿宋_GB2312" w:cs="Times New Roman"/>
                <w:i w:val="0"/>
                <w:iCs w:val="0"/>
                <w:color w:val="auto"/>
                <w:sz w:val="22"/>
                <w:szCs w:val="22"/>
                <w:u w:val="none"/>
              </w:rPr>
            </w:pPr>
          </w:p>
        </w:tc>
      </w:tr>
      <w:tr w14:paraId="6A7A5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47419438">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06F7DE7">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69D81C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能源利用</w:t>
            </w:r>
          </w:p>
        </w:tc>
        <w:tc>
          <w:tcPr>
            <w:tcW w:w="2700" w:type="pct"/>
            <w:tcBorders>
              <w:tl2br w:val="nil"/>
              <w:tr2bl w:val="nil"/>
            </w:tcBorders>
            <w:shd w:val="clear" w:color="auto" w:fill="auto"/>
            <w:vAlign w:val="center"/>
          </w:tcPr>
          <w:p w14:paraId="344148C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绿色电力消费量占电力消费总量比例不低于10%。</w:t>
            </w:r>
          </w:p>
        </w:tc>
        <w:tc>
          <w:tcPr>
            <w:tcW w:w="381" w:type="pct"/>
            <w:tcBorders>
              <w:tl2br w:val="nil"/>
              <w:tr2bl w:val="nil"/>
            </w:tcBorders>
            <w:shd w:val="clear" w:color="auto" w:fill="auto"/>
            <w:vAlign w:val="center"/>
          </w:tcPr>
          <w:p w14:paraId="0706C1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6702809B">
            <w:pPr>
              <w:jc w:val="center"/>
              <w:rPr>
                <w:rFonts w:hint="default" w:ascii="Times New Roman" w:hAnsi="Times New Roman" w:eastAsia="仿宋_GB2312" w:cs="Times New Roman"/>
                <w:i w:val="0"/>
                <w:iCs w:val="0"/>
                <w:color w:val="auto"/>
                <w:sz w:val="22"/>
                <w:szCs w:val="22"/>
                <w:u w:val="none"/>
              </w:rPr>
            </w:pPr>
          </w:p>
        </w:tc>
      </w:tr>
      <w:tr w14:paraId="51365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20" w:hRule="atLeast"/>
        </w:trPr>
        <w:tc>
          <w:tcPr>
            <w:tcW w:w="359" w:type="pct"/>
            <w:vMerge w:val="continue"/>
            <w:tcBorders>
              <w:tl2br w:val="nil"/>
              <w:tr2bl w:val="nil"/>
            </w:tcBorders>
            <w:shd w:val="clear" w:color="auto" w:fill="auto"/>
            <w:vAlign w:val="center"/>
          </w:tcPr>
          <w:p w14:paraId="26001DB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49F67910">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4D1D7B8">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6F5E3DC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采用适用的标准计算单位产品综合能耗。适用时，单位产品综合能耗水平应达到或优于国家强制性能源消耗限额标准的先进值（1级能效）或《工业重点领域能效标杆水平和基准水平）》的标杆水平。无相关标准的离散制造业，应结合公开发布的行业数据或统计数据，对单位产值能耗或单位工业增加值能耗指标进行分析。</w:t>
            </w:r>
          </w:p>
        </w:tc>
        <w:tc>
          <w:tcPr>
            <w:tcW w:w="381" w:type="pct"/>
            <w:tcBorders>
              <w:tl2br w:val="nil"/>
              <w:tr2bl w:val="nil"/>
            </w:tcBorders>
            <w:shd w:val="clear" w:color="auto" w:fill="auto"/>
            <w:vAlign w:val="center"/>
          </w:tcPr>
          <w:p w14:paraId="36C8A2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5E924E24">
            <w:pPr>
              <w:jc w:val="center"/>
              <w:rPr>
                <w:rFonts w:hint="default" w:ascii="Times New Roman" w:hAnsi="Times New Roman" w:eastAsia="仿宋_GB2312" w:cs="Times New Roman"/>
                <w:i w:val="0"/>
                <w:iCs w:val="0"/>
                <w:color w:val="auto"/>
                <w:sz w:val="22"/>
                <w:szCs w:val="22"/>
                <w:u w:val="none"/>
              </w:rPr>
            </w:pPr>
          </w:p>
        </w:tc>
      </w:tr>
      <w:tr w14:paraId="5DDFE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2DCB3FB9">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5FCD224">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68EA66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碳排放强度</w:t>
            </w:r>
          </w:p>
        </w:tc>
        <w:tc>
          <w:tcPr>
            <w:tcW w:w="2700" w:type="pct"/>
            <w:tcBorders>
              <w:tl2br w:val="nil"/>
              <w:tr2bl w:val="nil"/>
            </w:tcBorders>
            <w:shd w:val="clear" w:color="auto" w:fill="auto"/>
            <w:vAlign w:val="center"/>
          </w:tcPr>
          <w:p w14:paraId="27FC9FF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碳排放强度应同比下降。</w:t>
            </w:r>
          </w:p>
        </w:tc>
        <w:tc>
          <w:tcPr>
            <w:tcW w:w="381" w:type="pct"/>
            <w:tcBorders>
              <w:tl2br w:val="nil"/>
              <w:tr2bl w:val="nil"/>
            </w:tcBorders>
            <w:shd w:val="clear" w:color="auto" w:fill="auto"/>
            <w:vAlign w:val="center"/>
          </w:tcPr>
          <w:p w14:paraId="7F2363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7349EFE4">
            <w:pPr>
              <w:jc w:val="center"/>
              <w:rPr>
                <w:rFonts w:hint="default" w:ascii="Times New Roman" w:hAnsi="Times New Roman" w:eastAsia="仿宋_GB2312" w:cs="Times New Roman"/>
                <w:i w:val="0"/>
                <w:iCs w:val="0"/>
                <w:color w:val="auto"/>
                <w:sz w:val="22"/>
                <w:szCs w:val="22"/>
                <w:u w:val="none"/>
              </w:rPr>
            </w:pPr>
          </w:p>
        </w:tc>
      </w:tr>
      <w:tr w14:paraId="1126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7D98E83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378228C8">
            <w:pPr>
              <w:jc w:val="center"/>
              <w:rPr>
                <w:rFonts w:hint="default" w:ascii="Times New Roman" w:hAnsi="Times New Roman" w:eastAsia="仿宋_GB2312" w:cs="Times New Roman"/>
                <w:i w:val="0"/>
                <w:iCs w:val="0"/>
                <w:color w:val="auto"/>
                <w:sz w:val="22"/>
                <w:szCs w:val="22"/>
                <w:u w:val="none"/>
              </w:rPr>
            </w:pPr>
          </w:p>
        </w:tc>
        <w:tc>
          <w:tcPr>
            <w:tcW w:w="598" w:type="pct"/>
            <w:tcBorders>
              <w:tl2br w:val="nil"/>
              <w:tr2bl w:val="nil"/>
            </w:tcBorders>
            <w:shd w:val="clear" w:color="auto" w:fill="auto"/>
            <w:vAlign w:val="center"/>
          </w:tcPr>
          <w:p w14:paraId="120C4B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碳抵消比例</w:t>
            </w:r>
          </w:p>
        </w:tc>
        <w:tc>
          <w:tcPr>
            <w:tcW w:w="2700" w:type="pct"/>
            <w:tcBorders>
              <w:tl2br w:val="nil"/>
              <w:tr2bl w:val="nil"/>
            </w:tcBorders>
            <w:shd w:val="clear" w:color="auto" w:fill="auto"/>
            <w:vAlign w:val="center"/>
          </w:tcPr>
          <w:p w14:paraId="63F321D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碳抵消比例应不低于50%。</w:t>
            </w:r>
          </w:p>
        </w:tc>
        <w:tc>
          <w:tcPr>
            <w:tcW w:w="381" w:type="pct"/>
            <w:tcBorders>
              <w:tl2br w:val="nil"/>
              <w:tr2bl w:val="nil"/>
            </w:tcBorders>
            <w:shd w:val="clear" w:color="auto" w:fill="auto"/>
            <w:vAlign w:val="center"/>
          </w:tcPr>
          <w:p w14:paraId="456240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579" w:type="pct"/>
            <w:vMerge w:val="continue"/>
            <w:tcBorders>
              <w:tl2br w:val="nil"/>
              <w:tr2bl w:val="nil"/>
            </w:tcBorders>
            <w:shd w:val="clear" w:color="auto" w:fill="auto"/>
            <w:vAlign w:val="center"/>
          </w:tcPr>
          <w:p w14:paraId="2638384A">
            <w:pPr>
              <w:jc w:val="center"/>
              <w:rPr>
                <w:rFonts w:hint="default" w:ascii="Times New Roman" w:hAnsi="Times New Roman" w:eastAsia="仿宋_GB2312" w:cs="Times New Roman"/>
                <w:i w:val="0"/>
                <w:iCs w:val="0"/>
                <w:color w:val="auto"/>
                <w:sz w:val="22"/>
                <w:szCs w:val="22"/>
                <w:u w:val="none"/>
              </w:rPr>
            </w:pPr>
          </w:p>
        </w:tc>
      </w:tr>
      <w:tr w14:paraId="4DF7A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2FE57387">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BB6B086">
            <w:pPr>
              <w:jc w:val="center"/>
              <w:rPr>
                <w:rFonts w:hint="default" w:ascii="Times New Roman" w:hAnsi="Times New Roman" w:eastAsia="仿宋_GB2312" w:cs="Times New Roman"/>
                <w:i w:val="0"/>
                <w:iCs w:val="0"/>
                <w:color w:val="auto"/>
                <w:sz w:val="22"/>
                <w:szCs w:val="22"/>
                <w:u w:val="none"/>
              </w:rPr>
            </w:pPr>
          </w:p>
        </w:tc>
        <w:tc>
          <w:tcPr>
            <w:tcW w:w="598" w:type="pct"/>
            <w:vMerge w:val="restart"/>
            <w:tcBorders>
              <w:tl2br w:val="nil"/>
              <w:tr2bl w:val="nil"/>
            </w:tcBorders>
            <w:shd w:val="clear" w:color="auto" w:fill="auto"/>
            <w:vAlign w:val="center"/>
          </w:tcPr>
          <w:p w14:paraId="27F40B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持续改进</w:t>
            </w:r>
          </w:p>
        </w:tc>
        <w:tc>
          <w:tcPr>
            <w:tcW w:w="2700" w:type="pct"/>
            <w:tcBorders>
              <w:tl2br w:val="nil"/>
              <w:tr2bl w:val="nil"/>
            </w:tcBorders>
            <w:shd w:val="clear" w:color="auto" w:fill="auto"/>
            <w:vAlign w:val="center"/>
          </w:tcPr>
          <w:p w14:paraId="562C15A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宜按年度编制绿色低碳发展报告。</w:t>
            </w:r>
          </w:p>
        </w:tc>
        <w:tc>
          <w:tcPr>
            <w:tcW w:w="381" w:type="pct"/>
            <w:tcBorders>
              <w:tl2br w:val="nil"/>
              <w:tr2bl w:val="nil"/>
            </w:tcBorders>
            <w:shd w:val="clear" w:color="auto" w:fill="auto"/>
            <w:vAlign w:val="center"/>
          </w:tcPr>
          <w:p w14:paraId="6483FF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4176F03B">
            <w:pPr>
              <w:jc w:val="center"/>
              <w:rPr>
                <w:rFonts w:hint="default" w:ascii="Times New Roman" w:hAnsi="Times New Roman" w:eastAsia="仿宋_GB2312" w:cs="Times New Roman"/>
                <w:i w:val="0"/>
                <w:iCs w:val="0"/>
                <w:color w:val="auto"/>
                <w:sz w:val="22"/>
                <w:szCs w:val="22"/>
                <w:u w:val="none"/>
              </w:rPr>
            </w:pPr>
          </w:p>
        </w:tc>
      </w:tr>
      <w:tr w14:paraId="5A59D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59" w:type="pct"/>
            <w:vMerge w:val="continue"/>
            <w:tcBorders>
              <w:tl2br w:val="nil"/>
              <w:tr2bl w:val="nil"/>
            </w:tcBorders>
            <w:shd w:val="clear" w:color="auto" w:fill="auto"/>
            <w:vAlign w:val="center"/>
          </w:tcPr>
          <w:p w14:paraId="35A3F2F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74C1F07">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309E3BE">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358E50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一般工业固体废物利用量较大时，宜开展工业固体废物资源综合利用评价。</w:t>
            </w:r>
          </w:p>
        </w:tc>
        <w:tc>
          <w:tcPr>
            <w:tcW w:w="381" w:type="pct"/>
            <w:tcBorders>
              <w:tl2br w:val="nil"/>
              <w:tr2bl w:val="nil"/>
            </w:tcBorders>
            <w:shd w:val="clear" w:color="auto" w:fill="auto"/>
            <w:vAlign w:val="center"/>
          </w:tcPr>
          <w:p w14:paraId="07B3F1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429B3F0C">
            <w:pPr>
              <w:jc w:val="center"/>
              <w:rPr>
                <w:rFonts w:hint="default" w:ascii="Times New Roman" w:hAnsi="Times New Roman" w:eastAsia="仿宋_GB2312" w:cs="Times New Roman"/>
                <w:i w:val="0"/>
                <w:iCs w:val="0"/>
                <w:color w:val="auto"/>
                <w:sz w:val="22"/>
                <w:szCs w:val="22"/>
                <w:u w:val="none"/>
              </w:rPr>
            </w:pPr>
          </w:p>
        </w:tc>
      </w:tr>
      <w:tr w14:paraId="54CD2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359" w:type="pct"/>
            <w:vMerge w:val="continue"/>
            <w:tcBorders>
              <w:tl2br w:val="nil"/>
              <w:tr2bl w:val="nil"/>
            </w:tcBorders>
            <w:shd w:val="clear" w:color="auto" w:fill="auto"/>
            <w:vAlign w:val="center"/>
          </w:tcPr>
          <w:p w14:paraId="0995DEC0">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157DAD9C">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40F57CE6">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75EC34B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宜生产绿色低碳产品，按照GB/T 32161对生产的产品进行生态设计产品评价。适用时，满足相关绿色设计产品评价标准要求或低碳产品要求。</w:t>
            </w:r>
          </w:p>
        </w:tc>
        <w:tc>
          <w:tcPr>
            <w:tcW w:w="381" w:type="pct"/>
            <w:tcBorders>
              <w:tl2br w:val="nil"/>
              <w:tr2bl w:val="nil"/>
            </w:tcBorders>
            <w:shd w:val="clear" w:color="auto" w:fill="auto"/>
            <w:vAlign w:val="center"/>
          </w:tcPr>
          <w:p w14:paraId="2E349F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48E4A6A5">
            <w:pPr>
              <w:jc w:val="center"/>
              <w:rPr>
                <w:rFonts w:hint="default" w:ascii="Times New Roman" w:hAnsi="Times New Roman" w:eastAsia="仿宋_GB2312" w:cs="Times New Roman"/>
                <w:i w:val="0"/>
                <w:iCs w:val="0"/>
                <w:color w:val="auto"/>
                <w:sz w:val="22"/>
                <w:szCs w:val="22"/>
                <w:u w:val="none"/>
              </w:rPr>
            </w:pPr>
          </w:p>
        </w:tc>
      </w:tr>
      <w:tr w14:paraId="0A35E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71DE1A9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664B5D1B">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2361A196">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3AB4D82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采用适用的标准开展碳排放核算或核查。</w:t>
            </w:r>
          </w:p>
        </w:tc>
        <w:tc>
          <w:tcPr>
            <w:tcW w:w="381" w:type="pct"/>
            <w:tcBorders>
              <w:tl2br w:val="nil"/>
              <w:tr2bl w:val="nil"/>
            </w:tcBorders>
            <w:shd w:val="clear" w:color="auto" w:fill="auto"/>
            <w:vAlign w:val="center"/>
          </w:tcPr>
          <w:p w14:paraId="03AC51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29A554C2">
            <w:pPr>
              <w:jc w:val="center"/>
              <w:rPr>
                <w:rFonts w:hint="default" w:ascii="Times New Roman" w:hAnsi="Times New Roman" w:eastAsia="仿宋_GB2312" w:cs="Times New Roman"/>
                <w:i w:val="0"/>
                <w:iCs w:val="0"/>
                <w:color w:val="auto"/>
                <w:sz w:val="22"/>
                <w:szCs w:val="22"/>
                <w:u w:val="none"/>
              </w:rPr>
            </w:pPr>
          </w:p>
        </w:tc>
      </w:tr>
      <w:tr w14:paraId="12651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59" w:type="pct"/>
            <w:vMerge w:val="continue"/>
            <w:tcBorders>
              <w:tl2br w:val="nil"/>
              <w:tr2bl w:val="nil"/>
            </w:tcBorders>
            <w:shd w:val="clear" w:color="auto" w:fill="auto"/>
            <w:vAlign w:val="center"/>
          </w:tcPr>
          <w:p w14:paraId="103530F6">
            <w:pPr>
              <w:jc w:val="center"/>
              <w:rPr>
                <w:rFonts w:hint="default" w:ascii="Times New Roman" w:hAnsi="Times New Roman" w:eastAsia="仿宋_GB2312" w:cs="Times New Roman"/>
                <w:i w:val="0"/>
                <w:iCs w:val="0"/>
                <w:color w:val="auto"/>
                <w:sz w:val="22"/>
                <w:szCs w:val="22"/>
                <w:u w:val="none"/>
              </w:rPr>
            </w:pPr>
          </w:p>
        </w:tc>
        <w:tc>
          <w:tcPr>
            <w:tcW w:w="380" w:type="pct"/>
            <w:vMerge w:val="continue"/>
            <w:tcBorders>
              <w:tl2br w:val="nil"/>
              <w:tr2bl w:val="nil"/>
            </w:tcBorders>
            <w:shd w:val="clear" w:color="auto" w:fill="auto"/>
            <w:vAlign w:val="center"/>
          </w:tcPr>
          <w:p w14:paraId="7925A40A">
            <w:pPr>
              <w:jc w:val="center"/>
              <w:rPr>
                <w:rFonts w:hint="default" w:ascii="Times New Roman" w:hAnsi="Times New Roman" w:eastAsia="仿宋_GB2312" w:cs="Times New Roman"/>
                <w:i w:val="0"/>
                <w:iCs w:val="0"/>
                <w:color w:val="auto"/>
                <w:sz w:val="22"/>
                <w:szCs w:val="22"/>
                <w:u w:val="none"/>
              </w:rPr>
            </w:pPr>
          </w:p>
        </w:tc>
        <w:tc>
          <w:tcPr>
            <w:tcW w:w="598" w:type="pct"/>
            <w:vMerge w:val="continue"/>
            <w:tcBorders>
              <w:tl2br w:val="nil"/>
              <w:tr2bl w:val="nil"/>
            </w:tcBorders>
            <w:shd w:val="clear" w:color="auto" w:fill="auto"/>
            <w:vAlign w:val="center"/>
          </w:tcPr>
          <w:p w14:paraId="059BF588">
            <w:pPr>
              <w:jc w:val="center"/>
              <w:rPr>
                <w:rFonts w:hint="default" w:ascii="Times New Roman" w:hAnsi="Times New Roman" w:eastAsia="仿宋_GB2312" w:cs="Times New Roman"/>
                <w:i w:val="0"/>
                <w:iCs w:val="0"/>
                <w:color w:val="auto"/>
                <w:sz w:val="22"/>
                <w:szCs w:val="22"/>
                <w:u w:val="none"/>
              </w:rPr>
            </w:pPr>
          </w:p>
        </w:tc>
        <w:tc>
          <w:tcPr>
            <w:tcW w:w="2700" w:type="pct"/>
            <w:tcBorders>
              <w:tl2br w:val="nil"/>
              <w:tr2bl w:val="nil"/>
            </w:tcBorders>
            <w:shd w:val="clear" w:color="auto" w:fill="auto"/>
            <w:vAlign w:val="center"/>
          </w:tcPr>
          <w:p w14:paraId="06AA147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开展产品碳足迹核算或核查。</w:t>
            </w:r>
          </w:p>
        </w:tc>
        <w:tc>
          <w:tcPr>
            <w:tcW w:w="381" w:type="pct"/>
            <w:tcBorders>
              <w:tl2br w:val="nil"/>
              <w:tr2bl w:val="nil"/>
            </w:tcBorders>
            <w:shd w:val="clear" w:color="auto" w:fill="auto"/>
            <w:vAlign w:val="center"/>
          </w:tcPr>
          <w:p w14:paraId="32367C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579" w:type="pct"/>
            <w:vMerge w:val="continue"/>
            <w:tcBorders>
              <w:tl2br w:val="nil"/>
              <w:tr2bl w:val="nil"/>
            </w:tcBorders>
            <w:shd w:val="clear" w:color="auto" w:fill="auto"/>
            <w:vAlign w:val="center"/>
          </w:tcPr>
          <w:p w14:paraId="560CC5C2">
            <w:pPr>
              <w:jc w:val="center"/>
              <w:rPr>
                <w:rFonts w:hint="default" w:ascii="Times New Roman" w:hAnsi="Times New Roman" w:eastAsia="仿宋_GB2312" w:cs="Times New Roman"/>
                <w:i w:val="0"/>
                <w:iCs w:val="0"/>
                <w:color w:val="auto"/>
                <w:sz w:val="22"/>
                <w:szCs w:val="22"/>
                <w:u w:val="none"/>
              </w:rPr>
            </w:pPr>
          </w:p>
        </w:tc>
      </w:tr>
      <w:tr w14:paraId="4E4B9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038" w:type="pct"/>
            <w:gridSpan w:val="4"/>
            <w:tcBorders>
              <w:tl2br w:val="nil"/>
              <w:tr2bl w:val="nil"/>
            </w:tcBorders>
            <w:shd w:val="clear" w:color="auto" w:fill="auto"/>
            <w:vAlign w:val="center"/>
          </w:tcPr>
          <w:p w14:paraId="3C3F4B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总分</w:t>
            </w:r>
          </w:p>
        </w:tc>
        <w:tc>
          <w:tcPr>
            <w:tcW w:w="381" w:type="pct"/>
            <w:tcBorders>
              <w:tl2br w:val="nil"/>
              <w:tr2bl w:val="nil"/>
            </w:tcBorders>
            <w:shd w:val="clear" w:color="auto" w:fill="auto"/>
            <w:vAlign w:val="center"/>
          </w:tcPr>
          <w:p w14:paraId="003364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500</w:t>
            </w:r>
          </w:p>
        </w:tc>
        <w:tc>
          <w:tcPr>
            <w:tcW w:w="579" w:type="pct"/>
            <w:tcBorders>
              <w:tl2br w:val="nil"/>
              <w:tr2bl w:val="nil"/>
            </w:tcBorders>
            <w:shd w:val="clear" w:color="auto" w:fill="auto"/>
            <w:vAlign w:val="center"/>
          </w:tcPr>
          <w:p w14:paraId="5F8602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100 </w:t>
            </w:r>
          </w:p>
        </w:tc>
      </w:tr>
    </w:tbl>
    <w:p w14:paraId="7CF2D36E">
      <w:pPr>
        <w:bidi w:val="0"/>
        <w:rPr>
          <w:rFonts w:hint="default" w:ascii="Times New Roman" w:hAnsi="Times New Roman" w:cs="Times New Roman"/>
          <w:color w:val="auto"/>
          <w:highlight w:val="none"/>
        </w:rPr>
      </w:pPr>
    </w:p>
    <w:p w14:paraId="61FDA22A">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lang w:val="en-US" w:eastAsia="zh-CN"/>
        </w:rPr>
      </w:pPr>
      <w:bookmarkStart w:id="7" w:name="_Toc30018"/>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二</w:t>
      </w:r>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指标说明</w:t>
      </w:r>
      <w:bookmarkEnd w:id="7"/>
    </w:p>
    <w:p w14:paraId="351E61C7">
      <w:pPr>
        <w:ind w:firstLine="640" w:firstLineChars="200"/>
        <w:rPr>
          <w:rFonts w:hint="default" w:ascii="Times New Roman" w:hAnsi="Times New Roman" w:cs="Times New Roman"/>
          <w:color w:val="auto"/>
          <w:highlight w:val="none"/>
        </w:rPr>
      </w:pPr>
      <w:r>
        <w:rPr>
          <w:rFonts w:hint="default" w:ascii="Times New Roman" w:hAnsi="Times New Roman" w:eastAsia="仿宋_GB2312" w:cs="Times New Roman"/>
          <w:color w:val="auto"/>
          <w:sz w:val="32"/>
          <w:szCs w:val="32"/>
          <w:highlight w:val="none"/>
          <w:lang w:val="en-US" w:eastAsia="zh-CN"/>
        </w:rPr>
        <w:t>评价指标分定性指标和定量指标两类，不区分必选指标和可选指标，根据实际情况进行评价。</w:t>
      </w:r>
    </w:p>
    <w:p w14:paraId="5F0EF518">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8" w:name="_Toc20650"/>
      <w:r>
        <w:rPr>
          <w:rFonts w:hint="default" w:ascii="Times New Roman" w:hAnsi="Times New Roman" w:cs="Times New Roman"/>
          <w:b w:val="0"/>
          <w:bCs/>
          <w:color w:val="auto"/>
          <w:highlight w:val="none"/>
          <w:lang w:val="en-US" w:eastAsia="zh-CN"/>
        </w:rPr>
        <w:t>三、评价方式</w:t>
      </w:r>
      <w:bookmarkEnd w:id="8"/>
    </w:p>
    <w:p w14:paraId="13D6C64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零碳工厂评价可由第一方或第三方组织实施，即可采取自评价或委托具备评价能力的第三方机构开展评价的方式开展评价。针对被评价组织，第一方为组织自身，第三方为与组织没有直接关系的其他组织。</w:t>
      </w:r>
    </w:p>
    <w:p w14:paraId="28BEC16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当评价结果用于对外宣告时，则评价方至少应包括独立于工厂、具备相应能力的第三方组织。</w:t>
      </w:r>
    </w:p>
    <w:p w14:paraId="20B8C6F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第三方组织应具备的基本条件和能力可参考绿色制造第三方评价相关要求。</w:t>
      </w:r>
    </w:p>
    <w:p w14:paraId="788E6147">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9" w:name="_Toc30060"/>
      <w:r>
        <w:rPr>
          <w:rFonts w:hint="default" w:ascii="Times New Roman" w:hAnsi="Times New Roman" w:cs="Times New Roman"/>
          <w:b w:val="0"/>
          <w:bCs/>
          <w:color w:val="auto"/>
          <w:highlight w:val="none"/>
          <w:lang w:val="en-US" w:eastAsia="zh-CN"/>
        </w:rPr>
        <w:t>四、评价流程</w:t>
      </w:r>
      <w:bookmarkEnd w:id="9"/>
    </w:p>
    <w:p w14:paraId="046308FA">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应按以下流程开展零碳工厂评价：</w:t>
      </w:r>
    </w:p>
    <w:p w14:paraId="3FD3290B">
      <w:pPr>
        <w:numPr>
          <w:ilvl w:val="0"/>
          <w:numId w:val="2"/>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成立评价工作小组，明确工作职责；</w:t>
      </w:r>
    </w:p>
    <w:p w14:paraId="0ACC6732">
      <w:pPr>
        <w:numPr>
          <w:ilvl w:val="0"/>
          <w:numId w:val="2"/>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明确评价边界，评价边界应与碳排放核算边界一致，即应以企业法人或视同法人的独立核算单位为边界。如基于地理位置确定，一般为工厂用地面积构成的物理边界。</w:t>
      </w:r>
    </w:p>
    <w:p w14:paraId="3F9DFCB0">
      <w:pPr>
        <w:numPr>
          <w:ilvl w:val="0"/>
          <w:numId w:val="2"/>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收集相关资料，组织开展评价，评价基本要求符合性；</w:t>
      </w:r>
    </w:p>
    <w:p w14:paraId="4E9367EE">
      <w:pPr>
        <w:numPr>
          <w:ilvl w:val="0"/>
          <w:numId w:val="2"/>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核算评价边界内的碳排放数据和碳抵消比例，评价运营管理、节能降碳等指标符合性；</w:t>
      </w:r>
    </w:p>
    <w:p w14:paraId="24F9F3FE">
      <w:pPr>
        <w:numPr>
          <w:ilvl w:val="0"/>
          <w:numId w:val="2"/>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编制评价报告；</w:t>
      </w:r>
    </w:p>
    <w:p w14:paraId="410E4ADE">
      <w:pPr>
        <w:numPr>
          <w:ilvl w:val="0"/>
          <w:numId w:val="2"/>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审核确认评价报告。</w:t>
      </w:r>
    </w:p>
    <w:p w14:paraId="62B8DBDF">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0" w:name="_Toc9638"/>
      <w:r>
        <w:rPr>
          <w:rFonts w:hint="default" w:ascii="Times New Roman" w:hAnsi="Times New Roman" w:cs="Times New Roman"/>
          <w:b w:val="0"/>
          <w:bCs/>
          <w:color w:val="auto"/>
          <w:highlight w:val="none"/>
          <w:lang w:val="en-US" w:eastAsia="zh-CN"/>
        </w:rPr>
        <w:t>五、评价要求</w:t>
      </w:r>
      <w:bookmarkEnd w:id="10"/>
    </w:p>
    <w:p w14:paraId="4E94288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（一）评价主体须符合总则中的一般要求。</w:t>
      </w:r>
    </w:p>
    <w:p w14:paraId="6E7EF87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（二）碳排放量和抵消量应为完整的年度数据。</w:t>
      </w:r>
    </w:p>
    <w:p w14:paraId="4C797AA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（三）不同行业的企业碳排放核算涉及的温室气体可能不同（附件3），具体参考相关标准（附件4）进行核算。</w:t>
      </w:r>
    </w:p>
    <w:p w14:paraId="26ECAD41">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（四）温室气体活动数据和排放因子获取优先级按照下表执行。</w:t>
      </w:r>
    </w:p>
    <w:p w14:paraId="6569B12E">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表2 活动数据和排放因子获取优先级</w:t>
      </w:r>
    </w:p>
    <w:tbl>
      <w:tblPr>
        <w:tblStyle w:val="14"/>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8"/>
        <w:gridCol w:w="5303"/>
        <w:gridCol w:w="1656"/>
      </w:tblGrid>
      <w:tr w14:paraId="085A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blHeader/>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A45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lang w:val="en-US" w:eastAsia="zh-CN"/>
              </w:rPr>
            </w:pPr>
            <w:r>
              <w:rPr>
                <w:rFonts w:hint="default" w:ascii="Times New Roman" w:hAnsi="Times New Roman" w:eastAsia="仿宋_GB2312" w:cs="Times New Roman"/>
                <w:b/>
                <w:bCs/>
                <w:i w:val="0"/>
                <w:iCs w:val="0"/>
                <w:color w:val="auto"/>
                <w:sz w:val="24"/>
                <w:szCs w:val="24"/>
                <w:highlight w:val="none"/>
                <w:u w:val="none"/>
                <w:lang w:val="en-US" w:eastAsia="zh-CN"/>
              </w:rPr>
              <w:t>数据类型</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DCF1">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lang w:val="en-US" w:eastAsia="zh-CN"/>
              </w:rPr>
            </w:pPr>
            <w:r>
              <w:rPr>
                <w:rFonts w:hint="default" w:ascii="Times New Roman" w:hAnsi="Times New Roman" w:eastAsia="仿宋_GB2312" w:cs="Times New Roman"/>
                <w:b/>
                <w:bCs/>
                <w:i w:val="0"/>
                <w:iCs w:val="0"/>
                <w:color w:val="auto"/>
                <w:sz w:val="24"/>
                <w:szCs w:val="24"/>
                <w:highlight w:val="none"/>
                <w:u w:val="none"/>
                <w:lang w:val="en-US" w:eastAsia="zh-CN"/>
              </w:rPr>
              <w:t>描述</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50B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lang w:val="en-US" w:eastAsia="zh-CN"/>
              </w:rPr>
            </w:pPr>
            <w:r>
              <w:rPr>
                <w:rFonts w:hint="default" w:ascii="Times New Roman" w:hAnsi="Times New Roman" w:eastAsia="仿宋_GB2312" w:cs="Times New Roman"/>
                <w:b/>
                <w:bCs/>
                <w:i w:val="0"/>
                <w:iCs w:val="0"/>
                <w:color w:val="auto"/>
                <w:sz w:val="24"/>
                <w:szCs w:val="24"/>
                <w:highlight w:val="none"/>
                <w:u w:val="none"/>
                <w:lang w:val="en-US" w:eastAsia="zh-CN"/>
              </w:rPr>
              <w:t>优先级</w:t>
            </w:r>
          </w:p>
        </w:tc>
      </w:tr>
      <w:tr w14:paraId="58F10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FC5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原始数据</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2870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rPr>
              <w:t>直接计量、监测获得的数据</w:t>
            </w:r>
            <w:r>
              <w:rPr>
                <w:rFonts w:hint="default" w:ascii="Times New Roman" w:hAnsi="Times New Roman" w:eastAsia="仿宋_GB2312" w:cs="Times New Roman"/>
                <w:i w:val="0"/>
                <w:iCs w:val="0"/>
                <w:color w:val="auto"/>
                <w:sz w:val="24"/>
                <w:szCs w:val="24"/>
                <w:highlight w:val="none"/>
                <w:u w:val="none"/>
                <w:lang w:eastAsia="zh-CN"/>
              </w:rPr>
              <w:t>。</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F20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高</w:t>
            </w:r>
          </w:p>
        </w:tc>
      </w:tr>
      <w:tr w14:paraId="3BABB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B1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二次数据</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C3CB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rPr>
              <w:t>通过原始数据折算获得的数据</w:t>
            </w:r>
            <w:r>
              <w:rPr>
                <w:rFonts w:hint="default" w:ascii="Times New Roman" w:hAnsi="Times New Roman" w:eastAsia="仿宋_GB2312" w:cs="Times New Roman"/>
                <w:i w:val="0"/>
                <w:iCs w:val="0"/>
                <w:color w:val="auto"/>
                <w:sz w:val="24"/>
                <w:szCs w:val="24"/>
                <w:highlight w:val="none"/>
                <w:u w:val="none"/>
                <w:lang w:eastAsia="zh-CN"/>
              </w:rPr>
              <w:t>，</w:t>
            </w:r>
            <w:r>
              <w:rPr>
                <w:rFonts w:hint="default" w:ascii="Times New Roman" w:hAnsi="Times New Roman" w:eastAsia="仿宋_GB2312" w:cs="Times New Roman"/>
                <w:i w:val="0"/>
                <w:iCs w:val="0"/>
                <w:color w:val="auto"/>
                <w:sz w:val="24"/>
                <w:szCs w:val="24"/>
                <w:highlight w:val="none"/>
                <w:u w:val="none"/>
              </w:rPr>
              <w:t>如</w:t>
            </w:r>
            <w:r>
              <w:rPr>
                <w:rFonts w:hint="default" w:ascii="Times New Roman" w:hAnsi="Times New Roman" w:eastAsia="仿宋_GB2312" w:cs="Times New Roman"/>
                <w:i w:val="0"/>
                <w:iCs w:val="0"/>
                <w:color w:val="auto"/>
                <w:sz w:val="24"/>
                <w:szCs w:val="24"/>
                <w:highlight w:val="none"/>
                <w:u w:val="none"/>
                <w:lang w:eastAsia="zh-CN"/>
              </w:rPr>
              <w:t>：</w:t>
            </w:r>
            <w:r>
              <w:rPr>
                <w:rFonts w:hint="default" w:ascii="Times New Roman" w:hAnsi="Times New Roman" w:eastAsia="仿宋_GB2312" w:cs="Times New Roman"/>
                <w:i w:val="0"/>
                <w:iCs w:val="0"/>
                <w:color w:val="auto"/>
                <w:sz w:val="24"/>
                <w:szCs w:val="24"/>
                <w:highlight w:val="none"/>
                <w:u w:val="none"/>
              </w:rPr>
              <w:t>根据年度购买量及库存量的变化确定的数据</w:t>
            </w:r>
            <w:r>
              <w:rPr>
                <w:rFonts w:hint="default" w:ascii="Times New Roman" w:hAnsi="Times New Roman" w:eastAsia="仿宋_GB2312" w:cs="Times New Roman"/>
                <w:i w:val="0"/>
                <w:iCs w:val="0"/>
                <w:color w:val="auto"/>
                <w:sz w:val="24"/>
                <w:szCs w:val="24"/>
                <w:highlight w:val="none"/>
                <w:u w:val="none"/>
                <w:lang w:eastAsia="zh-CN"/>
              </w:rPr>
              <w:t>；</w:t>
            </w:r>
            <w:r>
              <w:rPr>
                <w:rFonts w:hint="default" w:ascii="Times New Roman" w:hAnsi="Times New Roman" w:eastAsia="仿宋_GB2312" w:cs="Times New Roman"/>
                <w:i w:val="0"/>
                <w:iCs w:val="0"/>
                <w:color w:val="auto"/>
                <w:sz w:val="24"/>
                <w:szCs w:val="24"/>
                <w:highlight w:val="none"/>
                <w:u w:val="none"/>
              </w:rPr>
              <w:t>根据财务数据折算的数据等</w:t>
            </w:r>
            <w:r>
              <w:rPr>
                <w:rFonts w:hint="default" w:ascii="Times New Roman" w:hAnsi="Times New Roman" w:eastAsia="仿宋_GB2312" w:cs="Times New Roman"/>
                <w:i w:val="0"/>
                <w:iCs w:val="0"/>
                <w:color w:val="auto"/>
                <w:sz w:val="24"/>
                <w:szCs w:val="24"/>
                <w:highlight w:val="none"/>
                <w:u w:val="none"/>
                <w:lang w:eastAsia="zh-CN"/>
              </w:rPr>
              <w:t>。</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83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中</w:t>
            </w:r>
          </w:p>
        </w:tc>
      </w:tr>
      <w:tr w14:paraId="3189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8D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替代数据</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DCD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rPr>
              <w:t>来自相似过程或活动的数据</w:t>
            </w:r>
            <w:r>
              <w:rPr>
                <w:rFonts w:hint="default" w:ascii="Times New Roman" w:hAnsi="Times New Roman" w:eastAsia="仿宋_GB2312" w:cs="Times New Roman"/>
                <w:i w:val="0"/>
                <w:iCs w:val="0"/>
                <w:color w:val="auto"/>
                <w:sz w:val="24"/>
                <w:szCs w:val="24"/>
                <w:highlight w:val="none"/>
                <w:u w:val="none"/>
                <w:lang w:eastAsia="zh-CN"/>
              </w:rPr>
              <w:t>，</w:t>
            </w:r>
            <w:r>
              <w:rPr>
                <w:rFonts w:hint="default" w:ascii="Times New Roman" w:hAnsi="Times New Roman" w:eastAsia="仿宋_GB2312" w:cs="Times New Roman"/>
                <w:i w:val="0"/>
                <w:iCs w:val="0"/>
                <w:color w:val="auto"/>
                <w:sz w:val="24"/>
                <w:szCs w:val="24"/>
                <w:highlight w:val="none"/>
                <w:u w:val="none"/>
              </w:rPr>
              <w:t>如</w:t>
            </w:r>
            <w:r>
              <w:rPr>
                <w:rFonts w:hint="default" w:ascii="Times New Roman" w:hAnsi="Times New Roman" w:eastAsia="仿宋_GB2312" w:cs="Times New Roman"/>
                <w:i w:val="0"/>
                <w:iCs w:val="0"/>
                <w:color w:val="auto"/>
                <w:sz w:val="24"/>
                <w:szCs w:val="24"/>
                <w:highlight w:val="none"/>
                <w:u w:val="none"/>
                <w:lang w:eastAsia="zh-CN"/>
              </w:rPr>
              <w:t>：</w:t>
            </w:r>
            <w:r>
              <w:rPr>
                <w:rFonts w:hint="default" w:ascii="Times New Roman" w:hAnsi="Times New Roman" w:eastAsia="仿宋_GB2312" w:cs="Times New Roman"/>
                <w:i w:val="0"/>
                <w:iCs w:val="0"/>
                <w:color w:val="auto"/>
                <w:sz w:val="24"/>
                <w:szCs w:val="24"/>
                <w:highlight w:val="none"/>
                <w:u w:val="none"/>
              </w:rPr>
              <w:t>计算冷媒逸散量时可采用相似制冷设备的冷媒填充量等</w:t>
            </w:r>
            <w:r>
              <w:rPr>
                <w:rFonts w:hint="default" w:ascii="Times New Roman" w:hAnsi="Times New Roman" w:eastAsia="仿宋_GB2312" w:cs="Times New Roman"/>
                <w:i w:val="0"/>
                <w:iCs w:val="0"/>
                <w:color w:val="auto"/>
                <w:sz w:val="24"/>
                <w:szCs w:val="24"/>
                <w:highlight w:val="none"/>
                <w:u w:val="none"/>
                <w:lang w:eastAsia="zh-CN"/>
              </w:rPr>
              <w:t>。</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C3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低</w:t>
            </w:r>
          </w:p>
        </w:tc>
      </w:tr>
      <w:tr w14:paraId="6F215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D8E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排放因子实测值或测算值</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E960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rPr>
              <w:t>通过工业企业内的直接测量、能量平衡或物料平衡等方法得到的排放因子或相关参数值</w:t>
            </w:r>
            <w:r>
              <w:rPr>
                <w:rFonts w:hint="default" w:ascii="Times New Roman" w:hAnsi="Times New Roman" w:eastAsia="仿宋_GB2312" w:cs="Times New Roman"/>
                <w:i w:val="0"/>
                <w:iCs w:val="0"/>
                <w:color w:val="auto"/>
                <w:sz w:val="24"/>
                <w:szCs w:val="24"/>
                <w:highlight w:val="none"/>
                <w:u w:val="none"/>
                <w:lang w:eastAsia="zh-CN"/>
              </w:rPr>
              <w:t>。</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C6A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高</w:t>
            </w:r>
          </w:p>
        </w:tc>
      </w:tr>
      <w:tr w14:paraId="59BB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29D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排放因子参考值</w:t>
            </w:r>
          </w:p>
        </w:tc>
        <w:tc>
          <w:tcPr>
            <w:tcW w:w="2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D69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rPr>
              <w:t>采用相关指南或文件中提供的排放因子</w:t>
            </w:r>
            <w:r>
              <w:rPr>
                <w:rFonts w:hint="default" w:ascii="Times New Roman" w:hAnsi="Times New Roman" w:eastAsia="仿宋_GB2312" w:cs="Times New Roman"/>
                <w:i w:val="0"/>
                <w:iCs w:val="0"/>
                <w:color w:val="auto"/>
                <w:sz w:val="24"/>
                <w:szCs w:val="24"/>
                <w:highlight w:val="none"/>
                <w:u w:val="none"/>
                <w:lang w:eastAsia="zh-CN"/>
              </w:rPr>
              <w:t>。</w:t>
            </w:r>
          </w:p>
        </w:tc>
        <w:tc>
          <w:tcPr>
            <w:tcW w:w="9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2B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低</w:t>
            </w:r>
          </w:p>
        </w:tc>
      </w:tr>
    </w:tbl>
    <w:p w14:paraId="621749B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（五）实施评价的组织应收集评价证据并对其分析，确保证据的完整性和准确性，对所出具评价报告的真实性和准确性负责。</w:t>
      </w:r>
    </w:p>
    <w:p w14:paraId="595EEF55">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1" w:name="_Toc12067"/>
      <w:r>
        <w:rPr>
          <w:rFonts w:hint="default" w:ascii="Times New Roman" w:hAnsi="Times New Roman" w:cs="Times New Roman"/>
          <w:b w:val="0"/>
          <w:bCs/>
          <w:color w:val="auto"/>
          <w:highlight w:val="none"/>
          <w:lang w:val="en-US" w:eastAsia="zh-CN"/>
        </w:rPr>
        <w:t>六、评价方法</w:t>
      </w:r>
      <w:bookmarkEnd w:id="11"/>
    </w:p>
    <w:p w14:paraId="7BDB31E8">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lang w:val="en-US" w:eastAsia="zh-CN"/>
        </w:rPr>
      </w:pPr>
      <w:bookmarkStart w:id="12" w:name="_Toc8989"/>
      <w:r>
        <w:rPr>
          <w:rFonts w:hint="default" w:ascii="Times New Roman" w:hAnsi="Times New Roman" w:eastAsia="楷体" w:cs="Times New Roman"/>
          <w:b w:val="0"/>
          <w:bCs/>
          <w:color w:val="auto"/>
          <w:highlight w:val="none"/>
          <w:lang w:val="en-US" w:eastAsia="zh-CN"/>
        </w:rPr>
        <w:t>（一）综合得分计算</w:t>
      </w:r>
      <w:bookmarkEnd w:id="12"/>
    </w:p>
    <w:p w14:paraId="72D53C8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对零碳工厂具体指标值进行赋分，对二级指标赋予权重值。碳综合得分按式（1）计算：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89"/>
        <w:gridCol w:w="2689"/>
        <w:gridCol w:w="3681"/>
      </w:tblGrid>
      <w:tr w14:paraId="1FF31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4" w:hRule="atLeast"/>
        </w:trPr>
        <w:tc>
          <w:tcPr>
            <w:tcW w:w="1666" w:type="pct"/>
            <w:tcBorders>
              <w:top w:val="nil"/>
              <w:left w:val="nil"/>
              <w:bottom w:val="nil"/>
              <w:right w:val="nil"/>
            </w:tcBorders>
            <w:shd w:val="clear" w:color="auto" w:fill="auto"/>
            <w:noWrap/>
            <w:vAlign w:val="center"/>
          </w:tcPr>
          <w:p w14:paraId="553B4ABE">
            <w:pPr>
              <w:jc w:val="center"/>
              <w:rPr>
                <w:rFonts w:hint="default" w:ascii="Times New Roman" w:hAnsi="Times New Roman" w:eastAsia="宋体"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24C1030E">
            <w:pPr>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cs="Times New Roman"/>
                <w:color w:val="auto"/>
                <w:position w:val="-28"/>
                <w:highlight w:val="none"/>
                <w:lang w:val="en-US" w:eastAsia="zh-CN"/>
              </w:rPr>
              <w:pict>
                <v:shape id="_x0000_s1028" o:spid="_x0000_s1028" o:spt="75" type="#_x0000_t75" style="position:absolute;left:0pt;margin-left:7.25pt;margin-top:2.45pt;height:36.9pt;width:79.35pt;z-index:251661312;mso-width-relative:page;mso-height-relative:page;" o:ole="t" filled="f" o:preferrelative="t" stroked="f" coordsize="21600,21600">
                  <v:path/>
                  <v:fill on="f" focussize="0,0"/>
                  <v:stroke on="f"/>
                  <v:imagedata r:id="rId9" o:title=""/>
                  <o:lock v:ext="edit" aspectratio="t"/>
                </v:shape>
                <o:OLEObject Type="Embed" ProgID="Equation.KSEE3" ShapeID="_x0000_s1028" DrawAspect="Content" ObjectID="_1468075725" r:id="rId8">
                  <o:LockedField>false</o:LockedField>
                </o:OLEObject>
              </w:pict>
            </w:r>
          </w:p>
        </w:tc>
        <w:tc>
          <w:tcPr>
            <w:tcW w:w="1667" w:type="pct"/>
            <w:tcBorders>
              <w:top w:val="nil"/>
              <w:left w:val="nil"/>
              <w:bottom w:val="nil"/>
              <w:right w:val="nil"/>
            </w:tcBorders>
            <w:shd w:val="clear" w:color="auto" w:fill="auto"/>
            <w:noWrap/>
            <w:vAlign w:val="center"/>
          </w:tcPr>
          <w:p w14:paraId="31D41D22">
            <w:pPr>
              <w:pStyle w:val="16"/>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（1）</w:t>
            </w:r>
          </w:p>
        </w:tc>
      </w:tr>
    </w:tbl>
    <w:p w14:paraId="59440D0C">
      <w:pPr>
        <w:ind w:firstLine="560" w:firstLineChars="200"/>
        <w:rPr>
          <w:rFonts w:hint="default" w:ascii="Times New Roman" w:hAnsi="Times New Roman" w:eastAsia="仿宋_GB2312" w:cs="Times New Roman"/>
          <w:color w:val="auto"/>
          <w:kern w:val="0"/>
          <w:position w:val="-14"/>
          <w:sz w:val="28"/>
          <w:szCs w:val="28"/>
          <w:highlight w:val="none"/>
          <w:lang w:val="en-US" w:eastAsia="zh-CN" w:bidi="ar-SA"/>
        </w:rPr>
      </w:pPr>
      <w:r>
        <w:rPr>
          <w:rFonts w:hint="default" w:ascii="Times New Roman" w:hAnsi="Times New Roman" w:eastAsia="仿宋_GB2312" w:cs="Times New Roman"/>
          <w:color w:val="auto"/>
          <w:kern w:val="0"/>
          <w:position w:val="-14"/>
          <w:sz w:val="28"/>
          <w:szCs w:val="28"/>
          <w:highlight w:val="none"/>
          <w:lang w:val="en-US" w:eastAsia="zh-CN" w:bidi="ar-SA"/>
        </w:rPr>
        <w:t>式中：</w:t>
      </w:r>
    </w:p>
    <w:p w14:paraId="0C4C2F7D">
      <w:pPr>
        <w:ind w:firstLine="560" w:firstLineChars="200"/>
        <w:rPr>
          <w:rFonts w:hint="default" w:ascii="Times New Roman" w:hAnsi="Times New Roman" w:eastAsia="仿宋_GB2312" w:cs="Times New Roman"/>
          <w:color w:val="auto"/>
          <w:kern w:val="0"/>
          <w:position w:val="-14"/>
          <w:sz w:val="28"/>
          <w:szCs w:val="28"/>
          <w:highlight w:val="none"/>
          <w:lang w:val="en-US" w:eastAsia="zh-CN" w:bidi="ar-SA"/>
        </w:rPr>
      </w:pPr>
      <w:r>
        <w:rPr>
          <w:rFonts w:hint="default" w:ascii="Times New Roman" w:hAnsi="Times New Roman" w:eastAsia="仿宋_GB2312" w:cs="Times New Roman"/>
          <w:color w:val="auto"/>
          <w:kern w:val="0"/>
          <w:position w:val="-14"/>
          <w:sz w:val="28"/>
          <w:szCs w:val="28"/>
          <w:highlight w:val="none"/>
          <w:lang w:val="en-US" w:eastAsia="zh-CN" w:bidi="ar-SA"/>
        </w:rPr>
        <w:t>S——零碳工厂综合得分；</w:t>
      </w:r>
    </w:p>
    <w:p w14:paraId="7A2A325E">
      <w:pPr>
        <w:ind w:firstLine="560" w:firstLineChars="200"/>
        <w:rPr>
          <w:rFonts w:hint="default" w:ascii="Times New Roman" w:hAnsi="Times New Roman" w:eastAsia="仿宋_GB2312" w:cs="Times New Roman"/>
          <w:color w:val="auto"/>
          <w:kern w:val="0"/>
          <w:position w:val="-14"/>
          <w:sz w:val="28"/>
          <w:szCs w:val="28"/>
          <w:highlight w:val="none"/>
          <w:lang w:val="en-US" w:eastAsia="zh-CN" w:bidi="ar-SA"/>
        </w:rPr>
      </w:pPr>
      <w:r>
        <w:rPr>
          <w:rFonts w:hint="default" w:ascii="Times New Roman" w:hAnsi="Times New Roman" w:eastAsia="仿宋_GB2312" w:cs="Times New Roman"/>
          <w:color w:val="auto"/>
          <w:kern w:val="0"/>
          <w:position w:val="-14"/>
          <w:sz w:val="28"/>
          <w:szCs w:val="28"/>
          <w:highlight w:val="none"/>
          <w:lang w:val="en-US" w:eastAsia="zh-CN" w:bidi="ar-SA"/>
        </w:rPr>
        <w:t>i</w:t>
      </w:r>
      <w:r>
        <w:rPr>
          <w:rFonts w:hint="eastAsia" w:ascii="Times New Roman" w:hAnsi="Times New Roman" w:eastAsia="仿宋_GB2312" w:cs="Times New Roman"/>
          <w:color w:val="auto"/>
          <w:kern w:val="0"/>
          <w:position w:val="-14"/>
          <w:sz w:val="28"/>
          <w:szCs w:val="28"/>
          <w:highlight w:val="none"/>
          <w:lang w:val="en-US" w:eastAsia="zh-CN" w:bidi="ar-SA"/>
        </w:rPr>
        <w:t xml:space="preserve"> </w:t>
      </w:r>
      <w:r>
        <w:rPr>
          <w:rFonts w:hint="default" w:ascii="Times New Roman" w:hAnsi="Times New Roman" w:eastAsia="仿宋_GB2312" w:cs="Times New Roman"/>
          <w:color w:val="auto"/>
          <w:kern w:val="0"/>
          <w:position w:val="-14"/>
          <w:sz w:val="28"/>
          <w:szCs w:val="28"/>
          <w:highlight w:val="none"/>
          <w:lang w:val="en-US" w:eastAsia="zh-CN" w:bidi="ar-SA"/>
        </w:rPr>
        <w:t>——具体评价要求的序号；</w:t>
      </w:r>
    </w:p>
    <w:p w14:paraId="42184EEA">
      <w:pPr>
        <w:ind w:firstLine="560" w:firstLineChars="200"/>
        <w:rPr>
          <w:rFonts w:hint="default" w:ascii="Times New Roman" w:hAnsi="Times New Roman" w:eastAsia="仿宋_GB2312" w:cs="Times New Roman"/>
          <w:color w:val="auto"/>
          <w:kern w:val="0"/>
          <w:position w:val="-14"/>
          <w:sz w:val="28"/>
          <w:szCs w:val="28"/>
          <w:highlight w:val="none"/>
          <w:lang w:val="en-US" w:eastAsia="zh-CN" w:bidi="ar-SA"/>
        </w:rPr>
      </w:pPr>
      <w:r>
        <w:rPr>
          <w:rFonts w:hint="default" w:ascii="Times New Roman" w:hAnsi="Times New Roman" w:eastAsia="仿宋_GB2312" w:cs="Times New Roman"/>
          <w:color w:val="auto"/>
          <w:kern w:val="0"/>
          <w:position w:val="-14"/>
          <w:sz w:val="28"/>
          <w:szCs w:val="28"/>
          <w:highlight w:val="none"/>
          <w:lang w:val="en-US" w:eastAsia="zh-CN" w:bidi="ar-SA"/>
        </w:rPr>
        <w:t>C</w:t>
      </w:r>
      <w:r>
        <w:rPr>
          <w:rFonts w:hint="default" w:ascii="Times New Roman" w:hAnsi="Times New Roman" w:eastAsia="仿宋_GB2312" w:cs="Times New Roman"/>
          <w:color w:val="auto"/>
          <w:kern w:val="0"/>
          <w:position w:val="-14"/>
          <w:sz w:val="28"/>
          <w:szCs w:val="28"/>
          <w:highlight w:val="none"/>
          <w:vertAlign w:val="subscript"/>
          <w:lang w:val="en-US" w:eastAsia="zh-CN" w:bidi="ar-SA"/>
        </w:rPr>
        <w:t>i</w:t>
      </w:r>
      <w:r>
        <w:rPr>
          <w:rFonts w:hint="default" w:ascii="Times New Roman" w:hAnsi="Times New Roman" w:eastAsia="仿宋_GB2312" w:cs="Times New Roman"/>
          <w:color w:val="auto"/>
          <w:kern w:val="0"/>
          <w:position w:val="-14"/>
          <w:sz w:val="28"/>
          <w:szCs w:val="28"/>
          <w:highlight w:val="none"/>
          <w:lang w:val="en-US" w:eastAsia="zh-CN" w:bidi="ar-SA"/>
        </w:rPr>
        <w:t>——第i项具体评价要求的得分；</w:t>
      </w:r>
    </w:p>
    <w:p w14:paraId="2E9F1D98">
      <w:pPr>
        <w:ind w:firstLine="560" w:firstLineChars="200"/>
        <w:rPr>
          <w:rFonts w:hint="default" w:ascii="Times New Roman" w:hAnsi="Times New Roman" w:eastAsia="仿宋_GB2312" w:cs="Times New Roman"/>
          <w:color w:val="auto"/>
          <w:kern w:val="0"/>
          <w:position w:val="-14"/>
          <w:sz w:val="28"/>
          <w:szCs w:val="28"/>
          <w:highlight w:val="none"/>
          <w:lang w:val="en-US" w:eastAsia="zh-CN" w:bidi="ar-SA"/>
        </w:rPr>
      </w:pPr>
      <w:r>
        <w:rPr>
          <w:rFonts w:hint="default" w:ascii="Times New Roman" w:hAnsi="Times New Roman" w:eastAsia="仿宋_GB2312" w:cs="Times New Roman"/>
          <w:color w:val="auto"/>
          <w:kern w:val="0"/>
          <w:position w:val="-14"/>
          <w:sz w:val="28"/>
          <w:szCs w:val="28"/>
          <w:highlight w:val="none"/>
          <w:lang w:val="en-US" w:eastAsia="zh-CN" w:bidi="ar-SA"/>
        </w:rPr>
        <w:t>W——第i项指标对应的二级指标的权重，%。</w:t>
      </w:r>
    </w:p>
    <w:p w14:paraId="6EA6E2E9">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lang w:val="en-US" w:eastAsia="zh-CN"/>
        </w:rPr>
      </w:pPr>
      <w:bookmarkStart w:id="13" w:name="_Toc14610"/>
      <w:r>
        <w:rPr>
          <w:rFonts w:hint="default" w:ascii="Times New Roman" w:hAnsi="Times New Roman" w:eastAsia="楷体" w:cs="Times New Roman"/>
          <w:b w:val="0"/>
          <w:bCs/>
          <w:color w:val="auto"/>
          <w:highlight w:val="none"/>
          <w:lang w:val="en-US" w:eastAsia="zh-CN"/>
        </w:rPr>
        <w:t>（二）碳抵消比例计算</w:t>
      </w:r>
      <w:bookmarkEnd w:id="13"/>
    </w:p>
    <w:p w14:paraId="73DAE58F">
      <w:pPr>
        <w:pStyle w:val="16"/>
        <w:ind w:left="0" w:leftChars="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碳抵消比例按式（2）计算：</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9"/>
        <w:gridCol w:w="3286"/>
        <w:gridCol w:w="3261"/>
      </w:tblGrid>
      <w:tr w14:paraId="7356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trPr>
        <w:tc>
          <w:tcPr>
            <w:tcW w:w="1385" w:type="pct"/>
            <w:tcBorders>
              <w:top w:val="nil"/>
              <w:left w:val="nil"/>
              <w:bottom w:val="nil"/>
              <w:right w:val="nil"/>
            </w:tcBorders>
            <w:shd w:val="clear" w:color="auto" w:fill="auto"/>
            <w:noWrap/>
            <w:vAlign w:val="center"/>
          </w:tcPr>
          <w:p w14:paraId="4D735633">
            <w:pPr>
              <w:jc w:val="center"/>
              <w:rPr>
                <w:rFonts w:hint="default" w:ascii="Times New Roman" w:hAnsi="Times New Roman" w:eastAsia="等线" w:cs="Times New Roman"/>
                <w:i w:val="0"/>
                <w:iCs w:val="0"/>
                <w:color w:val="auto"/>
                <w:sz w:val="22"/>
                <w:szCs w:val="22"/>
                <w:highlight w:val="none"/>
                <w:u w:val="none"/>
              </w:rPr>
            </w:pPr>
          </w:p>
        </w:tc>
        <w:tc>
          <w:tcPr>
            <w:tcW w:w="1814" w:type="pct"/>
            <w:tcBorders>
              <w:top w:val="nil"/>
              <w:left w:val="nil"/>
              <w:bottom w:val="nil"/>
              <w:right w:val="nil"/>
            </w:tcBorders>
            <w:shd w:val="clear" w:color="auto" w:fill="auto"/>
            <w:noWrap/>
            <w:vAlign w:val="center"/>
          </w:tcPr>
          <w:p w14:paraId="17F55813">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24"/>
                <w:highlight w:val="none"/>
                <w:lang w:val="en-US" w:eastAsia="zh-CN"/>
              </w:rPr>
              <w:pict>
                <v:shape id="_x0000_s1027" o:spid="_x0000_s1027" o:spt="75" type="#_x0000_t75" style="position:absolute;left:0pt;margin-left:8.9pt;margin-top:7.2pt;height:28.4pt;width:129.7pt;z-index:251660288;mso-width-relative:page;mso-height-relative:page;" o:ole="t" filled="f" o:preferrelative="t" stroked="f" coordsize="21600,21600">
                  <v:path/>
                  <v:fill on="f" focussize="0,0"/>
                  <v:stroke on="f"/>
                  <v:imagedata r:id="rId11" o:title=""/>
                  <o:lock v:ext="edit" aspectratio="t"/>
                </v:shape>
                <o:OLEObject Type="Embed" ProgID="Equation.KSEE3" ShapeID="_x0000_s1027" DrawAspect="Content" ObjectID="_1468075726" r:id="rId10">
                  <o:LockedField>false</o:LockedField>
                </o:OLEObject>
              </w:pict>
            </w:r>
          </w:p>
        </w:tc>
        <w:tc>
          <w:tcPr>
            <w:tcW w:w="1800" w:type="pct"/>
            <w:tcBorders>
              <w:top w:val="nil"/>
              <w:left w:val="nil"/>
              <w:bottom w:val="nil"/>
              <w:right w:val="nil"/>
            </w:tcBorders>
            <w:shd w:val="clear" w:color="auto" w:fill="auto"/>
            <w:noWrap/>
            <w:vAlign w:val="center"/>
          </w:tcPr>
          <w:p w14:paraId="4229D5B8">
            <w:pPr>
              <w:pStyle w:val="16"/>
              <w:ind w:left="0" w:leftChars="0" w:firstLine="0" w:firstLineChars="0"/>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w:t>
            </w:r>
          </w:p>
        </w:tc>
      </w:tr>
    </w:tbl>
    <w:p w14:paraId="193EE28D">
      <w:pPr>
        <w:pStyle w:val="16"/>
        <w:ind w:left="0" w:leftChars="0" w:firstLine="0" w:firstLineChars="0"/>
        <w:rPr>
          <w:rFonts w:hint="default" w:ascii="Times New Roman" w:hAnsi="Times New Roman" w:cs="Times New Roman"/>
          <w:color w:val="auto"/>
          <w:position w:val="-14"/>
          <w:highlight w:val="none"/>
          <w:lang w:val="en-US" w:eastAsia="zh-CN"/>
        </w:rPr>
      </w:pPr>
    </w:p>
    <w:p w14:paraId="5472AD0F">
      <w:pPr>
        <w:pStyle w:val="16"/>
        <w:ind w:firstLine="420"/>
        <w:rPr>
          <w:rFonts w:hint="default" w:ascii="Times New Roman" w:hAnsi="Times New Roman" w:eastAsia="仿宋_GB2312" w:cs="Times New Roman"/>
          <w:color w:val="auto"/>
          <w:position w:val="-14"/>
          <w:sz w:val="28"/>
          <w:szCs w:val="28"/>
          <w:highlight w:val="none"/>
          <w:lang w:val="en-US" w:eastAsia="zh-CN"/>
        </w:rPr>
      </w:pPr>
      <w:r>
        <w:rPr>
          <w:rFonts w:hint="default" w:ascii="Times New Roman" w:hAnsi="Times New Roman" w:eastAsia="仿宋_GB2312" w:cs="Times New Roman"/>
          <w:color w:val="auto"/>
          <w:position w:val="-14"/>
          <w:sz w:val="28"/>
          <w:szCs w:val="28"/>
          <w:highlight w:val="none"/>
          <w:lang w:val="en-US" w:eastAsia="zh-CN"/>
        </w:rPr>
        <w:t>式中：</w:t>
      </w:r>
    </w:p>
    <w:p w14:paraId="52E82DD3">
      <w:pPr>
        <w:pStyle w:val="16"/>
        <w:rPr>
          <w:rFonts w:hint="default" w:ascii="Times New Roman" w:hAnsi="Times New Roman" w:eastAsia="仿宋_GB2312" w:cs="Times New Roman"/>
          <w:color w:val="auto"/>
          <w:position w:val="-14"/>
          <w:sz w:val="28"/>
          <w:szCs w:val="28"/>
          <w:highlight w:val="none"/>
          <w:lang w:val="en-US" w:eastAsia="zh-CN"/>
        </w:rPr>
      </w:pPr>
      <w:r>
        <w:rPr>
          <w:rFonts w:hint="default" w:ascii="Times New Roman" w:hAnsi="Times New Roman" w:eastAsia="仿宋_GB2312" w:cs="Times New Roman"/>
          <w:color w:val="auto"/>
          <w:position w:val="-14"/>
          <w:sz w:val="28"/>
          <w:szCs w:val="28"/>
          <w:highlight w:val="none"/>
          <w:lang w:val="en-US" w:eastAsia="zh-CN"/>
        </w:rPr>
        <w:t>S     ——碳抵消比例，%；</w:t>
      </w:r>
    </w:p>
    <w:p w14:paraId="075923CA">
      <w:pPr>
        <w:pStyle w:val="16"/>
        <w:ind w:left="1959" w:leftChars="266" w:hanging="1400" w:hangingChars="500"/>
        <w:rPr>
          <w:rFonts w:hint="default" w:ascii="Times New Roman" w:hAnsi="Times New Roman" w:eastAsia="仿宋_GB2312" w:cs="Times New Roman"/>
          <w:color w:val="auto"/>
          <w:position w:val="-14"/>
          <w:sz w:val="28"/>
          <w:szCs w:val="28"/>
          <w:highlight w:val="none"/>
          <w:lang w:val="en-US" w:eastAsia="zh-CN"/>
        </w:rPr>
      </w:pPr>
      <w:r>
        <w:rPr>
          <w:rFonts w:hint="default" w:ascii="Times New Roman" w:hAnsi="Times New Roman" w:eastAsia="仿宋_GB2312" w:cs="Times New Roman"/>
          <w:color w:val="auto"/>
          <w:position w:val="-14"/>
          <w:sz w:val="28"/>
          <w:szCs w:val="28"/>
          <w:highlight w:val="none"/>
          <w:lang w:val="en-US" w:eastAsia="zh-CN"/>
        </w:rPr>
        <w:t>E</w:t>
      </w:r>
      <w:r>
        <w:rPr>
          <w:rFonts w:hint="default" w:ascii="Times New Roman" w:hAnsi="Times New Roman" w:eastAsia="仿宋_GB2312" w:cs="Times New Roman"/>
          <w:color w:val="auto"/>
          <w:position w:val="-14"/>
          <w:sz w:val="28"/>
          <w:szCs w:val="28"/>
          <w:highlight w:val="none"/>
          <w:vertAlign w:val="subscript"/>
          <w:lang w:val="en-US" w:eastAsia="zh-CN"/>
        </w:rPr>
        <w:t>边界内抵消</w:t>
      </w:r>
      <w:r>
        <w:rPr>
          <w:rFonts w:hint="default" w:ascii="Times New Roman" w:hAnsi="Times New Roman" w:eastAsia="仿宋_GB2312" w:cs="Times New Roman"/>
          <w:color w:val="auto"/>
          <w:position w:val="-14"/>
          <w:sz w:val="28"/>
          <w:szCs w:val="28"/>
          <w:highlight w:val="none"/>
          <w:lang w:val="en-US" w:eastAsia="zh-CN"/>
        </w:rPr>
        <w:t>——核算边界内的碳排放抵消量（如边界内自建可再生能源项目产生的碳排放抵消量），单位为吨二氧化碳当量（tCO</w:t>
      </w:r>
      <w:r>
        <w:rPr>
          <w:rFonts w:hint="default" w:ascii="Times New Roman" w:hAnsi="Times New Roman" w:eastAsia="仿宋_GB2312" w:cs="Times New Roman"/>
          <w:color w:val="auto"/>
          <w:position w:val="-14"/>
          <w:sz w:val="28"/>
          <w:szCs w:val="28"/>
          <w:highlight w:val="none"/>
          <w:vertAlign w:val="subscript"/>
          <w:lang w:val="en-US" w:eastAsia="zh-CN"/>
        </w:rPr>
        <w:t>2</w:t>
      </w:r>
      <w:r>
        <w:rPr>
          <w:rFonts w:hint="default" w:ascii="Times New Roman" w:hAnsi="Times New Roman" w:eastAsia="仿宋_GB2312" w:cs="Times New Roman"/>
          <w:color w:val="auto"/>
          <w:position w:val="-14"/>
          <w:sz w:val="28"/>
          <w:szCs w:val="28"/>
          <w:highlight w:val="none"/>
          <w:lang w:val="en-US" w:eastAsia="zh-CN"/>
        </w:rPr>
        <w:t>e)；</w:t>
      </w:r>
    </w:p>
    <w:p w14:paraId="216578C2">
      <w:pPr>
        <w:pStyle w:val="16"/>
        <w:ind w:left="1959" w:leftChars="266" w:hanging="1400" w:hangingChars="500"/>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position w:val="-14"/>
          <w:sz w:val="28"/>
          <w:szCs w:val="28"/>
          <w:highlight w:val="none"/>
          <w:lang w:val="en-US" w:eastAsia="zh-CN"/>
        </w:rPr>
        <w:t>E</w:t>
      </w:r>
      <w:r>
        <w:rPr>
          <w:rFonts w:hint="default" w:ascii="Times New Roman" w:hAnsi="Times New Roman" w:eastAsia="仿宋_GB2312" w:cs="Times New Roman"/>
          <w:color w:val="auto"/>
          <w:position w:val="-14"/>
          <w:sz w:val="28"/>
          <w:szCs w:val="28"/>
          <w:highlight w:val="none"/>
          <w:vertAlign w:val="subscript"/>
          <w:lang w:val="en-US" w:eastAsia="zh-CN"/>
        </w:rPr>
        <w:t>边界外抵消</w:t>
      </w:r>
      <w:r>
        <w:rPr>
          <w:rFonts w:hint="default" w:ascii="Times New Roman" w:hAnsi="Times New Roman" w:eastAsia="仿宋_GB2312" w:cs="Times New Roman"/>
          <w:color w:val="auto"/>
          <w:position w:val="-14"/>
          <w:sz w:val="28"/>
          <w:szCs w:val="28"/>
          <w:highlight w:val="none"/>
          <w:lang w:val="en-US" w:eastAsia="zh-CN"/>
        </w:rPr>
        <w:t>——核算边界外的碳排放抵消量（如CEA、CCER、绿色电力、绿证等产生的碳排放抵消量），单位为吨二氧化碳当量（tCO</w:t>
      </w:r>
      <w:r>
        <w:rPr>
          <w:rFonts w:hint="default" w:ascii="Times New Roman" w:hAnsi="Times New Roman" w:eastAsia="仿宋_GB2312" w:cs="Times New Roman"/>
          <w:color w:val="auto"/>
          <w:position w:val="-14"/>
          <w:sz w:val="28"/>
          <w:szCs w:val="28"/>
          <w:highlight w:val="none"/>
          <w:vertAlign w:val="subscript"/>
          <w:lang w:val="en-US" w:eastAsia="zh-CN"/>
        </w:rPr>
        <w:t>2</w:t>
      </w:r>
      <w:r>
        <w:rPr>
          <w:rFonts w:hint="default" w:ascii="Times New Roman" w:hAnsi="Times New Roman" w:eastAsia="仿宋_GB2312" w:cs="Times New Roman"/>
          <w:color w:val="auto"/>
          <w:position w:val="-14"/>
          <w:sz w:val="28"/>
          <w:szCs w:val="28"/>
          <w:highlight w:val="none"/>
          <w:lang w:val="en-US" w:eastAsia="zh-CN"/>
        </w:rPr>
        <w:t>e)。</w:t>
      </w:r>
    </w:p>
    <w:p w14:paraId="4C44EEFC">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14" w:name="_Toc30715"/>
      <w:r>
        <w:rPr>
          <w:rFonts w:hint="default" w:ascii="Times New Roman" w:hAnsi="Times New Roman" w:eastAsia="楷体" w:cs="Times New Roman"/>
          <w:b w:val="0"/>
          <w:bCs/>
          <w:color w:val="auto"/>
          <w:highlight w:val="none"/>
          <w:lang w:val="en-US" w:eastAsia="zh-CN"/>
        </w:rPr>
        <w:t>（三）零碳工厂分类</w:t>
      </w:r>
      <w:bookmarkEnd w:id="14"/>
    </w:p>
    <w:p w14:paraId="23507B9B">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根据碳抵消比例将零碳工厂分为零碳工厂（创建型）和零碳工厂（示范型），如表3所示。</w:t>
      </w:r>
    </w:p>
    <w:p w14:paraId="610AAB8D">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表3 零碳工厂类型及等级</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4"/>
        <w:gridCol w:w="3466"/>
        <w:gridCol w:w="3486"/>
      </w:tblGrid>
      <w:tr w14:paraId="786D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4B38">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4"/>
                <w:szCs w:val="24"/>
                <w:highlight w:val="none"/>
                <w:u w:val="none"/>
                <w:lang w:val="en-US" w:eastAsia="zh-CN" w:bidi="ar"/>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序号</w:t>
            </w:r>
          </w:p>
        </w:tc>
        <w:tc>
          <w:tcPr>
            <w:tcW w:w="19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0CA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碳抵消比例S（%）</w:t>
            </w:r>
          </w:p>
        </w:tc>
        <w:tc>
          <w:tcPr>
            <w:tcW w:w="1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3A4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类型</w:t>
            </w:r>
          </w:p>
        </w:tc>
      </w:tr>
      <w:tr w14:paraId="229E5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9E3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1</w:t>
            </w:r>
          </w:p>
        </w:tc>
        <w:tc>
          <w:tcPr>
            <w:tcW w:w="19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CB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S≥50</w:t>
            </w:r>
          </w:p>
        </w:tc>
        <w:tc>
          <w:tcPr>
            <w:tcW w:w="1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5B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创建型</w:t>
            </w:r>
          </w:p>
        </w:tc>
      </w:tr>
      <w:tr w14:paraId="20A3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EF3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2</w:t>
            </w:r>
          </w:p>
        </w:tc>
        <w:tc>
          <w:tcPr>
            <w:tcW w:w="19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95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S≥90</w:t>
            </w:r>
          </w:p>
        </w:tc>
        <w:tc>
          <w:tcPr>
            <w:tcW w:w="1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73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示范型</w:t>
            </w:r>
          </w:p>
        </w:tc>
      </w:tr>
    </w:tbl>
    <w:p w14:paraId="6B6B15C6">
      <w:pPr>
        <w:bidi w:val="0"/>
        <w:rPr>
          <w:rFonts w:hint="default" w:ascii="Times New Roman" w:hAnsi="Times New Roman" w:cs="Times New Roman"/>
          <w:color w:val="auto"/>
          <w:highlight w:val="none"/>
          <w:lang w:val="en-US" w:eastAsia="zh-CN"/>
        </w:rPr>
      </w:pPr>
    </w:p>
    <w:p w14:paraId="750A6961">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5" w:name="_Toc30105"/>
      <w:r>
        <w:rPr>
          <w:rFonts w:hint="default" w:ascii="Times New Roman" w:hAnsi="Times New Roman" w:cs="Times New Roman"/>
          <w:b w:val="0"/>
          <w:bCs/>
          <w:color w:val="auto"/>
          <w:highlight w:val="none"/>
          <w:lang w:val="en-US" w:eastAsia="zh-CN"/>
        </w:rPr>
        <w:t>七、评价报告</w:t>
      </w:r>
      <w:bookmarkEnd w:id="15"/>
    </w:p>
    <w:p w14:paraId="5BFFB1F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开展零碳工厂评价应规范评价报告格式。零碳工厂评价报告格式详见附件1。</w:t>
      </w:r>
    </w:p>
    <w:p w14:paraId="2295E396">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6" w:name="_Toc22432"/>
      <w:r>
        <w:rPr>
          <w:rFonts w:hint="default" w:ascii="Times New Roman" w:hAnsi="Times New Roman" w:cs="Times New Roman"/>
          <w:b w:val="0"/>
          <w:bCs/>
          <w:color w:val="auto"/>
          <w:highlight w:val="none"/>
          <w:lang w:val="en-US" w:eastAsia="zh-CN"/>
        </w:rPr>
        <w:t>八、监督管理</w:t>
      </w:r>
      <w:bookmarkEnd w:id="16"/>
    </w:p>
    <w:p w14:paraId="7BCEAFB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（一）对零碳工厂名单实施动态管理。零碳工厂应每年填报动态管理表，对填写内容的真实性和准确性负责，并于每年6月前向省工业和信息化厅报送上年度零碳绩效关键指标情况。</w:t>
      </w:r>
    </w:p>
    <w:p w14:paraId="23ADFD7C">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（二）各级工业和信息化主管部门应加强对本地区零碳工厂的指导、监督、检查，不定期进行现场抽查复核，持续跟踪和分析零碳工厂创建成效。</w:t>
      </w:r>
    </w:p>
    <w:p w14:paraId="0078F98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对于关键指标不符合零碳工厂评价要求的，以及发生重大及以上生产安全和质量事故、Ⅱ级（重大）及以上突发环境污染事件的，市级工业和信息化主管部门应及时上报贵州省工业和信息化厅，贵州省工业和信息化厅将其从名单中移出并进行公布。</w:t>
      </w:r>
    </w:p>
    <w:p w14:paraId="5888ECBA">
      <w:pPr>
        <w:rPr>
          <w:rFonts w:hint="default" w:ascii="Times New Roman" w:hAnsi="Times New Roman" w:eastAsia="仿宋_GB2312" w:cs="Times New Roman"/>
          <w:color w:val="auto"/>
          <w:sz w:val="32"/>
          <w:szCs w:val="32"/>
          <w:highlight w:val="none"/>
          <w:lang w:val="en-US" w:eastAsia="zh-CN"/>
        </w:rPr>
      </w:pPr>
    </w:p>
    <w:p w14:paraId="0586CD24">
      <w:pPr>
        <w:rPr>
          <w:rFonts w:hint="default" w:ascii="Times New Roman" w:hAnsi="Times New Roman" w:eastAsia="仿宋_GB2312" w:cs="Times New Roman"/>
          <w:color w:val="auto"/>
          <w:sz w:val="32"/>
          <w:szCs w:val="32"/>
          <w:highlight w:val="none"/>
          <w:lang w:val="en-US" w:eastAsia="zh-CN"/>
        </w:rPr>
      </w:pPr>
    </w:p>
    <w:p w14:paraId="39F915F8">
      <w:pPr>
        <w:rPr>
          <w:rFonts w:hint="default" w:ascii="Times New Roman" w:hAnsi="Times New Roman" w:eastAsia="仿宋_GB2312" w:cs="Times New Roman"/>
          <w:color w:val="auto"/>
          <w:sz w:val="32"/>
          <w:szCs w:val="32"/>
          <w:highlight w:val="none"/>
          <w:lang w:val="en-US" w:eastAsia="zh-CN"/>
        </w:rPr>
      </w:pPr>
    </w:p>
    <w:p w14:paraId="68A00709">
      <w:pPr>
        <w:rPr>
          <w:rFonts w:hint="default" w:ascii="Times New Roman" w:hAnsi="Times New Roman" w:eastAsia="仿宋_GB2312" w:cs="Times New Roman"/>
          <w:color w:val="auto"/>
          <w:sz w:val="32"/>
          <w:szCs w:val="32"/>
          <w:highlight w:val="none"/>
          <w:lang w:val="en-US" w:eastAsia="zh-CN"/>
        </w:rPr>
      </w:pPr>
    </w:p>
    <w:p w14:paraId="67994EC4">
      <w:pPr>
        <w:rPr>
          <w:rFonts w:hint="default" w:ascii="Times New Roman" w:hAnsi="Times New Roman" w:eastAsia="仿宋_GB2312" w:cs="Times New Roman"/>
          <w:color w:val="auto"/>
          <w:sz w:val="32"/>
          <w:szCs w:val="32"/>
          <w:highlight w:val="none"/>
          <w:lang w:val="en-US" w:eastAsia="zh-CN"/>
        </w:rPr>
      </w:pPr>
    </w:p>
    <w:p w14:paraId="789FCD2C">
      <w:pPr>
        <w:rPr>
          <w:rFonts w:hint="default" w:ascii="Times New Roman" w:hAnsi="Times New Roman" w:eastAsia="仿宋_GB2312" w:cs="Times New Roman"/>
          <w:color w:val="auto"/>
          <w:sz w:val="32"/>
          <w:szCs w:val="32"/>
          <w:highlight w:val="none"/>
          <w:lang w:val="en-US" w:eastAsia="zh-CN"/>
        </w:rPr>
      </w:pPr>
    </w:p>
    <w:p w14:paraId="5763848D">
      <w:pPr>
        <w:rPr>
          <w:rFonts w:hint="default" w:ascii="Times New Roman" w:hAnsi="Times New Roman" w:eastAsia="仿宋_GB2312" w:cs="Times New Roman"/>
          <w:color w:val="auto"/>
          <w:sz w:val="32"/>
          <w:szCs w:val="32"/>
          <w:highlight w:val="none"/>
          <w:lang w:val="en-US" w:eastAsia="zh-CN"/>
        </w:rPr>
      </w:pPr>
    </w:p>
    <w:p w14:paraId="005E119B">
      <w:pPr>
        <w:rPr>
          <w:rFonts w:hint="default" w:ascii="Times New Roman" w:hAnsi="Times New Roman" w:eastAsia="仿宋_GB2312" w:cs="Times New Roman"/>
          <w:color w:val="auto"/>
          <w:sz w:val="32"/>
          <w:szCs w:val="32"/>
          <w:highlight w:val="none"/>
          <w:lang w:val="en-US" w:eastAsia="zh-CN"/>
        </w:rPr>
      </w:pPr>
    </w:p>
    <w:p w14:paraId="18CB18DF">
      <w:pPr>
        <w:rPr>
          <w:rFonts w:hint="default" w:ascii="Times New Roman" w:hAnsi="Times New Roman" w:eastAsia="仿宋_GB2312" w:cs="Times New Roman"/>
          <w:color w:val="auto"/>
          <w:sz w:val="32"/>
          <w:szCs w:val="32"/>
          <w:highlight w:val="none"/>
          <w:lang w:val="en-US" w:eastAsia="zh-CN"/>
        </w:rPr>
      </w:pPr>
    </w:p>
    <w:p w14:paraId="36B8CFE7">
      <w:pPr>
        <w:rPr>
          <w:rFonts w:hint="default" w:ascii="Times New Roman" w:hAnsi="Times New Roman" w:eastAsia="仿宋_GB2312" w:cs="Times New Roman"/>
          <w:color w:val="auto"/>
          <w:sz w:val="32"/>
          <w:szCs w:val="32"/>
          <w:highlight w:val="none"/>
          <w:lang w:val="en-US" w:eastAsia="zh-CN"/>
        </w:rPr>
      </w:pPr>
    </w:p>
    <w:p w14:paraId="5BAC567D">
      <w:pPr>
        <w:rPr>
          <w:rFonts w:hint="default" w:ascii="Times New Roman" w:hAnsi="Times New Roman" w:eastAsia="仿宋_GB2312" w:cs="Times New Roman"/>
          <w:color w:val="auto"/>
          <w:sz w:val="32"/>
          <w:szCs w:val="32"/>
          <w:highlight w:val="none"/>
          <w:lang w:val="en-US" w:eastAsia="zh-CN"/>
        </w:rPr>
      </w:pPr>
    </w:p>
    <w:p w14:paraId="735AE383">
      <w:pPr>
        <w:rPr>
          <w:rFonts w:hint="default" w:ascii="Times New Roman" w:hAnsi="Times New Roman" w:eastAsia="仿宋_GB2312" w:cs="Times New Roman"/>
          <w:color w:val="auto"/>
          <w:sz w:val="32"/>
          <w:szCs w:val="32"/>
          <w:highlight w:val="none"/>
          <w:lang w:val="en-US" w:eastAsia="zh-CN"/>
        </w:rPr>
      </w:pPr>
    </w:p>
    <w:p w14:paraId="24D5A729">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17" w:name="_Toc17173"/>
      <w:r>
        <w:rPr>
          <w:rFonts w:hint="default" w:ascii="Times New Roman" w:hAnsi="Times New Roman" w:cs="Times New Roman"/>
          <w:b w:val="0"/>
          <w:bCs/>
          <w:color w:val="auto"/>
          <w:highlight w:val="none"/>
          <w:lang w:val="en-US" w:eastAsia="zh-CN"/>
        </w:rPr>
        <w:t>附件1 零碳工厂评价报告格式</w:t>
      </w:r>
      <w:bookmarkEnd w:id="17"/>
    </w:p>
    <w:p w14:paraId="48A1D118">
      <w:pPr>
        <w:rPr>
          <w:rFonts w:hint="default" w:ascii="Times New Roman" w:hAnsi="Times New Roman" w:eastAsia="仿宋_GB2312" w:cs="Times New Roman"/>
          <w:color w:val="auto"/>
          <w:sz w:val="32"/>
          <w:szCs w:val="32"/>
          <w:highlight w:val="none"/>
          <w:lang w:val="en-US" w:eastAsia="zh-CN"/>
        </w:rPr>
      </w:pPr>
    </w:p>
    <w:p w14:paraId="6CB72C99">
      <w:pPr>
        <w:rPr>
          <w:rFonts w:hint="default" w:ascii="Times New Roman" w:hAnsi="Times New Roman" w:eastAsia="仿宋_GB2312" w:cs="Times New Roman"/>
          <w:color w:val="auto"/>
          <w:sz w:val="32"/>
          <w:szCs w:val="32"/>
          <w:highlight w:val="none"/>
          <w:lang w:val="en-US" w:eastAsia="zh-CN"/>
        </w:rPr>
      </w:pPr>
    </w:p>
    <w:p w14:paraId="678B9DB1">
      <w:pPr>
        <w:rPr>
          <w:rFonts w:hint="default" w:ascii="Times New Roman" w:hAnsi="Times New Roman" w:eastAsia="仿宋_GB2312" w:cs="Times New Roman"/>
          <w:color w:val="auto"/>
          <w:sz w:val="32"/>
          <w:szCs w:val="32"/>
          <w:highlight w:val="none"/>
          <w:lang w:val="en-US" w:eastAsia="zh-CN"/>
        </w:rPr>
      </w:pPr>
    </w:p>
    <w:p w14:paraId="558C4E11">
      <w:pPr>
        <w:jc w:val="center"/>
        <w:rPr>
          <w:rFonts w:hint="default" w:ascii="Times New Roman" w:hAnsi="Times New Roman" w:eastAsia="黑体" w:cs="Times New Roman"/>
          <w:b w:val="0"/>
          <w:bCs w:val="0"/>
          <w:color w:val="auto"/>
          <w:sz w:val="52"/>
          <w:szCs w:val="52"/>
          <w:highlight w:val="none"/>
          <w:lang w:val="en-US" w:eastAsia="zh-CN"/>
        </w:rPr>
      </w:pPr>
      <w:r>
        <w:rPr>
          <w:rFonts w:hint="default" w:ascii="Times New Roman" w:hAnsi="Times New Roman" w:eastAsia="黑体" w:cs="Times New Roman"/>
          <w:b w:val="0"/>
          <w:bCs w:val="0"/>
          <w:color w:val="auto"/>
          <w:sz w:val="52"/>
          <w:szCs w:val="52"/>
          <w:highlight w:val="none"/>
          <w:lang w:val="en-US" w:eastAsia="zh-CN"/>
        </w:rPr>
        <w:t>零碳工厂评价报告</w:t>
      </w:r>
    </w:p>
    <w:p w14:paraId="30D13D25">
      <w:pPr>
        <w:rPr>
          <w:rFonts w:hint="default" w:ascii="Times New Roman" w:hAnsi="Times New Roman" w:eastAsia="仿宋_GB2312" w:cs="Times New Roman"/>
          <w:color w:val="auto"/>
          <w:sz w:val="32"/>
          <w:szCs w:val="32"/>
          <w:highlight w:val="none"/>
          <w:lang w:val="en-US" w:eastAsia="zh-CN"/>
        </w:rPr>
      </w:pPr>
    </w:p>
    <w:p w14:paraId="0A209B2F">
      <w:pPr>
        <w:rPr>
          <w:rFonts w:hint="default" w:ascii="Times New Roman" w:hAnsi="Times New Roman" w:eastAsia="仿宋_GB2312" w:cs="Times New Roman"/>
          <w:color w:val="auto"/>
          <w:sz w:val="32"/>
          <w:szCs w:val="32"/>
          <w:highlight w:val="none"/>
          <w:lang w:val="en-US" w:eastAsia="zh-CN"/>
        </w:rPr>
      </w:pPr>
    </w:p>
    <w:p w14:paraId="628331E6">
      <w:pPr>
        <w:rPr>
          <w:rFonts w:hint="default" w:ascii="Times New Roman" w:hAnsi="Times New Roman" w:eastAsia="仿宋_GB2312" w:cs="Times New Roman"/>
          <w:color w:val="auto"/>
          <w:sz w:val="32"/>
          <w:szCs w:val="32"/>
          <w:highlight w:val="none"/>
          <w:lang w:val="en-US" w:eastAsia="zh-CN"/>
        </w:rPr>
      </w:pPr>
    </w:p>
    <w:p w14:paraId="4EE02666">
      <w:pPr>
        <w:rPr>
          <w:rFonts w:hint="default" w:ascii="Times New Roman" w:hAnsi="Times New Roman" w:eastAsia="仿宋_GB2312" w:cs="Times New Roman"/>
          <w:color w:val="auto"/>
          <w:sz w:val="32"/>
          <w:szCs w:val="32"/>
          <w:highlight w:val="none"/>
          <w:lang w:val="en-US" w:eastAsia="zh-CN"/>
        </w:rPr>
      </w:pPr>
    </w:p>
    <w:p w14:paraId="57B75D34">
      <w:pPr>
        <w:rPr>
          <w:rFonts w:hint="default" w:ascii="Times New Roman" w:hAnsi="Times New Roman" w:eastAsia="仿宋_GB2312" w:cs="Times New Roman"/>
          <w:color w:val="auto"/>
          <w:sz w:val="32"/>
          <w:szCs w:val="32"/>
          <w:highlight w:val="none"/>
          <w:lang w:val="en-US" w:eastAsia="zh-CN"/>
        </w:rPr>
      </w:pPr>
    </w:p>
    <w:p w14:paraId="5C5A6A0F">
      <w:pPr>
        <w:rPr>
          <w:rFonts w:hint="default" w:ascii="Times New Roman" w:hAnsi="Times New Roman" w:eastAsia="仿宋_GB2312" w:cs="Times New Roman"/>
          <w:color w:val="auto"/>
          <w:sz w:val="32"/>
          <w:szCs w:val="32"/>
          <w:highlight w:val="none"/>
          <w:lang w:val="en-US" w:eastAsia="zh-CN"/>
        </w:rPr>
      </w:pPr>
    </w:p>
    <w:p w14:paraId="1CB6FC9A">
      <w:pPr>
        <w:rPr>
          <w:rFonts w:hint="default" w:ascii="Times New Roman" w:hAnsi="Times New Roman" w:eastAsia="仿宋_GB2312" w:cs="Times New Roman"/>
          <w:color w:val="auto"/>
          <w:sz w:val="32"/>
          <w:szCs w:val="32"/>
          <w:highlight w:val="none"/>
          <w:lang w:val="en-US" w:eastAsia="zh-CN"/>
        </w:rPr>
      </w:pPr>
    </w:p>
    <w:p w14:paraId="3AF1870A">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工厂名称：</w:t>
      </w:r>
      <w:r>
        <w:rPr>
          <w:rFonts w:hint="default" w:ascii="Times New Roman" w:hAnsi="Times New Roman" w:eastAsia="仿宋_GB2312" w:cs="Times New Roman"/>
          <w:color w:val="auto"/>
          <w:sz w:val="32"/>
          <w:szCs w:val="32"/>
          <w:highlight w:val="none"/>
          <w:u w:val="single"/>
          <w:lang w:val="en-US" w:eastAsia="zh-CN"/>
        </w:rPr>
        <w:t xml:space="preserve">                         </w:t>
      </w:r>
    </w:p>
    <w:p w14:paraId="45CC1AEA">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评价方式：</w:t>
      </w:r>
      <w:r>
        <w:rPr>
          <w:rFonts w:hint="default" w:ascii="Times New Roman" w:hAnsi="Times New Roman" w:eastAsia="仿宋_GB2312" w:cs="Times New Roman"/>
          <w:color w:val="auto"/>
          <w:sz w:val="32"/>
          <w:szCs w:val="32"/>
          <w:highlight w:val="none"/>
          <w:u w:val="single"/>
          <w:lang w:val="en-US" w:eastAsia="zh-CN"/>
        </w:rPr>
        <w:t xml:space="preserve">  （自评价/第三方评价）  </w:t>
      </w:r>
    </w:p>
    <w:p w14:paraId="7A4099A4">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评价机构：</w:t>
      </w:r>
      <w:r>
        <w:rPr>
          <w:rFonts w:hint="default" w:ascii="Times New Roman" w:hAnsi="Times New Roman" w:eastAsia="仿宋_GB2312" w:cs="Times New Roman"/>
          <w:color w:val="auto"/>
          <w:sz w:val="32"/>
          <w:szCs w:val="32"/>
          <w:highlight w:val="none"/>
          <w:u w:val="single"/>
          <w:lang w:val="en-US" w:eastAsia="zh-CN"/>
        </w:rPr>
        <w:t xml:space="preserve"> （如自评价则写工厂名称）</w:t>
      </w:r>
    </w:p>
    <w:p w14:paraId="771E48A8">
      <w:pPr>
        <w:ind w:firstLine="1280" w:firstLineChars="400"/>
        <w:rPr>
          <w:rFonts w:hint="default" w:ascii="Times New Roman" w:hAnsi="Times New Roman" w:eastAsia="仿宋_GB2312" w:cs="Times New Roman"/>
          <w:color w:val="auto"/>
          <w:sz w:val="32"/>
          <w:szCs w:val="32"/>
          <w:u w:val="single"/>
          <w:lang w:val="en-US" w:eastAsia="zh-CN"/>
        </w:rPr>
      </w:pPr>
    </w:p>
    <w:p w14:paraId="57436272">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w:t>
      </w:r>
    </w:p>
    <w:p w14:paraId="3E366E2E">
      <w:pPr>
        <w:rPr>
          <w:rFonts w:hint="default" w:ascii="Times New Roman" w:hAnsi="Times New Roman" w:eastAsia="仿宋_GB2312" w:cs="Times New Roman"/>
          <w:color w:val="auto"/>
          <w:sz w:val="32"/>
          <w:szCs w:val="32"/>
          <w:highlight w:val="none"/>
          <w:lang w:val="en-US" w:eastAsia="zh-CN"/>
        </w:rPr>
      </w:pPr>
    </w:p>
    <w:p w14:paraId="19EAA8D2">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贵州省工业和信息化厅制</w:t>
      </w:r>
    </w:p>
    <w:p w14:paraId="60883851">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    年    月    日</w:t>
      </w:r>
    </w:p>
    <w:p w14:paraId="45D7DC68">
      <w:pPr>
        <w:pStyle w:val="7"/>
        <w:bidi w:val="0"/>
        <w:jc w:val="center"/>
        <w:rPr>
          <w:rFonts w:hint="default" w:ascii="Times New Roman" w:hAnsi="Times New Roman" w:cs="Times New Roman"/>
          <w:b w:val="0"/>
          <w:bCs/>
          <w:color w:val="auto"/>
          <w:sz w:val="32"/>
          <w:szCs w:val="32"/>
          <w:highlight w:val="none"/>
          <w:lang w:val="en-US" w:eastAsia="zh-CN"/>
        </w:rPr>
      </w:pPr>
      <w:r>
        <w:rPr>
          <w:rFonts w:hint="default" w:ascii="Times New Roman" w:hAnsi="Times New Roman" w:cs="Times New Roman"/>
          <w:b w:val="0"/>
          <w:bCs/>
          <w:color w:val="auto"/>
          <w:sz w:val="32"/>
          <w:szCs w:val="32"/>
          <w:highlight w:val="none"/>
          <w:lang w:val="en-US" w:eastAsia="zh-CN"/>
        </w:rPr>
        <w:t>基本信息表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47"/>
        <w:gridCol w:w="2367"/>
        <w:gridCol w:w="2262"/>
        <w:gridCol w:w="2285"/>
      </w:tblGrid>
      <w:tr w14:paraId="790F1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B75590">
            <w:pPr>
              <w:keepNext w:val="0"/>
              <w:keepLines w:val="0"/>
              <w:widowControl/>
              <w:suppressLineNumbers w:val="0"/>
              <w:jc w:val="left"/>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一、工厂基本信息</w:t>
            </w:r>
          </w:p>
        </w:tc>
      </w:tr>
      <w:tr w14:paraId="39E3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90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工厂名称</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97971">
            <w:pPr>
              <w:jc w:val="center"/>
              <w:rPr>
                <w:rFonts w:hint="default" w:ascii="Times New Roman" w:hAnsi="Times New Roman" w:eastAsia="仿宋_GB2312" w:cs="Times New Roman"/>
                <w:i w:val="0"/>
                <w:iCs w:val="0"/>
                <w:color w:val="auto"/>
                <w:sz w:val="24"/>
                <w:szCs w:val="24"/>
                <w:u w:val="none"/>
              </w:rPr>
            </w:pPr>
          </w:p>
        </w:tc>
      </w:tr>
      <w:tr w14:paraId="67E3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79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通讯地址</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D6EC9D">
            <w:pPr>
              <w:jc w:val="center"/>
              <w:rPr>
                <w:rFonts w:hint="default" w:ascii="Times New Roman" w:hAnsi="Times New Roman" w:eastAsia="仿宋_GB2312" w:cs="Times New Roman"/>
                <w:i w:val="0"/>
                <w:iCs w:val="0"/>
                <w:color w:val="auto"/>
                <w:sz w:val="24"/>
                <w:szCs w:val="24"/>
                <w:u w:val="none"/>
              </w:rPr>
            </w:pPr>
          </w:p>
        </w:tc>
      </w:tr>
      <w:tr w14:paraId="79605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42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所属行业</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1622B">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F6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主要产品</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3386">
            <w:pPr>
              <w:jc w:val="center"/>
              <w:rPr>
                <w:rFonts w:hint="default" w:ascii="Times New Roman" w:hAnsi="Times New Roman" w:eastAsia="仿宋_GB2312" w:cs="Times New Roman"/>
                <w:i w:val="0"/>
                <w:iCs w:val="0"/>
                <w:color w:val="auto"/>
                <w:sz w:val="24"/>
                <w:szCs w:val="24"/>
                <w:u w:val="none"/>
              </w:rPr>
            </w:pPr>
          </w:p>
        </w:tc>
      </w:tr>
      <w:tr w14:paraId="2936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56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单位性质</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9BAE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内资（□国有□集体□民营）□中外合资□港澳台□外商独资</w:t>
            </w:r>
          </w:p>
        </w:tc>
      </w:tr>
      <w:tr w14:paraId="1CD02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8D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统一社会信用代码</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6A3B">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519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法定代表人</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A2828">
            <w:pPr>
              <w:jc w:val="center"/>
              <w:rPr>
                <w:rFonts w:hint="default" w:ascii="Times New Roman" w:hAnsi="Times New Roman" w:eastAsia="仿宋_GB2312" w:cs="Times New Roman"/>
                <w:i w:val="0"/>
                <w:iCs w:val="0"/>
                <w:color w:val="auto"/>
                <w:sz w:val="24"/>
                <w:szCs w:val="24"/>
                <w:u w:val="none"/>
              </w:rPr>
            </w:pPr>
          </w:p>
        </w:tc>
      </w:tr>
      <w:tr w14:paraId="0B9CC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01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注册机关</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97A7">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D2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注册资本</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32535">
            <w:pPr>
              <w:jc w:val="center"/>
              <w:rPr>
                <w:rFonts w:hint="default" w:ascii="Times New Roman" w:hAnsi="Times New Roman" w:eastAsia="仿宋_GB2312" w:cs="Times New Roman"/>
                <w:i w:val="0"/>
                <w:iCs w:val="0"/>
                <w:color w:val="auto"/>
                <w:sz w:val="24"/>
                <w:szCs w:val="24"/>
                <w:u w:val="none"/>
              </w:rPr>
            </w:pPr>
          </w:p>
        </w:tc>
      </w:tr>
      <w:tr w14:paraId="58CF8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203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成立日期</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3A34">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B5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有效期</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7F6B4">
            <w:pPr>
              <w:jc w:val="center"/>
              <w:rPr>
                <w:rFonts w:hint="default" w:ascii="Times New Roman" w:hAnsi="Times New Roman" w:eastAsia="仿宋_GB2312" w:cs="Times New Roman"/>
                <w:i w:val="0"/>
                <w:iCs w:val="0"/>
                <w:color w:val="auto"/>
                <w:sz w:val="24"/>
                <w:szCs w:val="24"/>
                <w:u w:val="none"/>
              </w:rPr>
            </w:pPr>
          </w:p>
        </w:tc>
      </w:tr>
      <w:tr w14:paraId="19C6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1F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申报工作联系部门</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A4A26">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4E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联系人</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6423">
            <w:pPr>
              <w:jc w:val="center"/>
              <w:rPr>
                <w:rFonts w:hint="default" w:ascii="Times New Roman" w:hAnsi="Times New Roman" w:eastAsia="仿宋_GB2312" w:cs="Times New Roman"/>
                <w:i w:val="0"/>
                <w:iCs w:val="0"/>
                <w:color w:val="auto"/>
                <w:sz w:val="24"/>
                <w:szCs w:val="24"/>
                <w:u w:val="none"/>
              </w:rPr>
            </w:pPr>
          </w:p>
        </w:tc>
      </w:tr>
      <w:tr w14:paraId="6A067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06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联系电话</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5D18">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F1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电子邮箱</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8FA37">
            <w:pPr>
              <w:jc w:val="center"/>
              <w:rPr>
                <w:rFonts w:hint="default" w:ascii="Times New Roman" w:hAnsi="Times New Roman" w:eastAsia="仿宋_GB2312" w:cs="Times New Roman"/>
                <w:i w:val="0"/>
                <w:iCs w:val="0"/>
                <w:color w:val="auto"/>
                <w:sz w:val="24"/>
                <w:szCs w:val="24"/>
                <w:u w:val="none"/>
              </w:rPr>
            </w:pPr>
          </w:p>
        </w:tc>
      </w:tr>
      <w:tr w14:paraId="4C7BD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C8275">
            <w:pPr>
              <w:keepNext w:val="0"/>
              <w:keepLines w:val="0"/>
              <w:widowControl/>
              <w:suppressLineNumbers w:val="0"/>
              <w:jc w:val="left"/>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二、第三方机构信息（自评价时无需填写）</w:t>
            </w:r>
          </w:p>
        </w:tc>
      </w:tr>
      <w:tr w14:paraId="5A0BF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541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第三方机构名称</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E46597">
            <w:pPr>
              <w:jc w:val="center"/>
              <w:rPr>
                <w:rFonts w:hint="default" w:ascii="Times New Roman" w:hAnsi="Times New Roman" w:eastAsia="仿宋_GB2312" w:cs="Times New Roman"/>
                <w:i w:val="0"/>
                <w:iCs w:val="0"/>
                <w:color w:val="auto"/>
                <w:sz w:val="24"/>
                <w:szCs w:val="24"/>
                <w:u w:val="none"/>
              </w:rPr>
            </w:pPr>
          </w:p>
        </w:tc>
      </w:tr>
      <w:tr w14:paraId="03CE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6F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第三方机构地址</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D0526">
            <w:pPr>
              <w:jc w:val="center"/>
              <w:rPr>
                <w:rFonts w:hint="default" w:ascii="Times New Roman" w:hAnsi="Times New Roman" w:eastAsia="仿宋_GB2312" w:cs="Times New Roman"/>
                <w:i w:val="0"/>
                <w:iCs w:val="0"/>
                <w:color w:val="auto"/>
                <w:sz w:val="24"/>
                <w:szCs w:val="24"/>
                <w:u w:val="none"/>
              </w:rPr>
            </w:pPr>
          </w:p>
        </w:tc>
      </w:tr>
      <w:tr w14:paraId="79A1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04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机构法定代表人</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5117A">
            <w:pPr>
              <w:jc w:val="left"/>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C8A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机构联系人</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A377">
            <w:pPr>
              <w:jc w:val="left"/>
              <w:rPr>
                <w:rFonts w:hint="default" w:ascii="Times New Roman" w:hAnsi="Times New Roman" w:eastAsia="仿宋_GB2312" w:cs="Times New Roman"/>
                <w:i w:val="0"/>
                <w:iCs w:val="0"/>
                <w:color w:val="auto"/>
                <w:sz w:val="24"/>
                <w:szCs w:val="24"/>
                <w:u w:val="none"/>
              </w:rPr>
            </w:pPr>
          </w:p>
        </w:tc>
      </w:tr>
      <w:tr w14:paraId="794C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E7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报告编制负责人</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8658">
            <w:pPr>
              <w:jc w:val="left"/>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AF7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负责人电话</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7F178">
            <w:pPr>
              <w:jc w:val="left"/>
              <w:rPr>
                <w:rFonts w:hint="default" w:ascii="Times New Roman" w:hAnsi="Times New Roman" w:eastAsia="仿宋_GB2312" w:cs="Times New Roman"/>
                <w:i w:val="0"/>
                <w:iCs w:val="0"/>
                <w:color w:val="auto"/>
                <w:sz w:val="24"/>
                <w:szCs w:val="24"/>
                <w:u w:val="none"/>
              </w:rPr>
            </w:pPr>
          </w:p>
        </w:tc>
      </w:tr>
      <w:tr w14:paraId="4255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20FFE">
            <w:pPr>
              <w:keepNext w:val="0"/>
              <w:keepLines w:val="0"/>
              <w:widowControl/>
              <w:suppressLineNumbers w:val="0"/>
              <w:jc w:val="left"/>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三、零碳工厂评价结果</w:t>
            </w:r>
          </w:p>
        </w:tc>
      </w:tr>
      <w:tr w14:paraId="5DB4D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2E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评价得分</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84B5">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82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零碳工厂等级</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AAFD">
            <w:pPr>
              <w:jc w:val="left"/>
              <w:rPr>
                <w:rFonts w:hint="default" w:ascii="Times New Roman" w:hAnsi="Times New Roman" w:eastAsia="仿宋_GB2312" w:cs="Times New Roman"/>
                <w:b/>
                <w:bCs/>
                <w:i w:val="0"/>
                <w:iCs w:val="0"/>
                <w:color w:val="auto"/>
                <w:sz w:val="24"/>
                <w:szCs w:val="24"/>
                <w:u w:val="none"/>
              </w:rPr>
            </w:pPr>
          </w:p>
        </w:tc>
      </w:tr>
      <w:tr w14:paraId="5686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A6E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绿色电力消费量</w:t>
            </w:r>
          </w:p>
          <w:p w14:paraId="5E2809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占比（%）</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B405C">
            <w:pPr>
              <w:jc w:val="center"/>
              <w:rPr>
                <w:rFonts w:hint="default" w:ascii="Times New Roman" w:hAnsi="Times New Roman" w:eastAsia="仿宋_GB2312" w:cs="Times New Roman"/>
                <w:i w:val="0"/>
                <w:iCs w:val="0"/>
                <w:color w:val="auto"/>
                <w:sz w:val="24"/>
                <w:szCs w:val="24"/>
                <w:u w:val="none"/>
              </w:rPr>
            </w:pPr>
          </w:p>
        </w:tc>
        <w:tc>
          <w:tcPr>
            <w:tcW w:w="1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65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碳抵消比例（%）</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965A">
            <w:pPr>
              <w:jc w:val="center"/>
              <w:rPr>
                <w:rFonts w:hint="default" w:ascii="Times New Roman" w:hAnsi="Times New Roman" w:eastAsia="仿宋_GB2312" w:cs="Times New Roman"/>
                <w:i w:val="0"/>
                <w:iCs w:val="0"/>
                <w:color w:val="auto"/>
                <w:sz w:val="24"/>
                <w:szCs w:val="24"/>
                <w:u w:val="none"/>
              </w:rPr>
            </w:pPr>
          </w:p>
        </w:tc>
      </w:tr>
      <w:tr w14:paraId="1909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9A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工厂主要亮点</w:t>
            </w:r>
          </w:p>
        </w:tc>
        <w:tc>
          <w:tcPr>
            <w:tcW w:w="38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28ABD">
            <w:pPr>
              <w:jc w:val="center"/>
              <w:rPr>
                <w:rFonts w:hint="default" w:ascii="Times New Roman" w:hAnsi="Times New Roman" w:eastAsia="仿宋_GB2312" w:cs="Times New Roman"/>
                <w:i w:val="0"/>
                <w:iCs w:val="0"/>
                <w:color w:val="auto"/>
                <w:sz w:val="24"/>
                <w:szCs w:val="24"/>
                <w:u w:val="none"/>
              </w:rPr>
            </w:pPr>
          </w:p>
        </w:tc>
      </w:tr>
      <w:tr w14:paraId="3719D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A77DEF">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材料真实性承诺</w:t>
            </w:r>
          </w:p>
        </w:tc>
      </w:tr>
      <w:tr w14:paraId="3719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290863">
            <w:pPr>
              <w:keepNext w:val="0"/>
              <w:keepLines w:val="0"/>
              <w:widowControl/>
              <w:suppressLineNumbers w:val="0"/>
              <w:ind w:firstLine="48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p w14:paraId="11263471">
            <w:pPr>
              <w:keepNext w:val="0"/>
              <w:keepLines w:val="0"/>
              <w:widowControl/>
              <w:suppressLineNumbers w:val="0"/>
              <w:ind w:firstLine="48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Style w:val="20"/>
                <w:rFonts w:hint="default" w:ascii="Times New Roman" w:hAnsi="Times New Roman" w:cs="Times New Roman"/>
                <w:color w:val="auto"/>
                <w:highlight w:val="none"/>
                <w:lang w:val="en-US" w:eastAsia="zh-CN" w:bidi="ar"/>
              </w:rPr>
              <w:t>（自评价）</w:t>
            </w:r>
            <w:r>
              <w:rPr>
                <w:rFonts w:hint="default" w:ascii="Times New Roman" w:hAnsi="Times New Roman" w:eastAsia="仿宋_GB2312" w:cs="Times New Roman"/>
                <w:i w:val="0"/>
                <w:iCs w:val="0"/>
                <w:color w:val="auto"/>
                <w:kern w:val="0"/>
                <w:sz w:val="24"/>
                <w:szCs w:val="24"/>
                <w:highlight w:val="none"/>
                <w:u w:val="none"/>
                <w:lang w:val="en-US" w:eastAsia="zh-CN" w:bidi="ar"/>
              </w:rPr>
              <w:t>本单位承诺，对照《贵州省零碳工厂评价要求》，已对工厂进行了全面的评价，提交的材料真实有效，本评价报告客观公正，结论证据充分，真实、准确地反映了评价结果和结论。本单位已充分了解评价报告的严肃性，评价过程若存在弄虚作假或故意隐瞒相关问题，愿承担所有责任。</w:t>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    </w:t>
            </w:r>
            <w:r>
              <w:rPr>
                <w:rStyle w:val="20"/>
                <w:rFonts w:hint="default" w:ascii="Times New Roman" w:hAnsi="Times New Roman" w:cs="Times New Roman"/>
                <w:color w:val="auto"/>
                <w:highlight w:val="none"/>
                <w:lang w:val="en-US" w:eastAsia="zh-CN" w:bidi="ar"/>
              </w:rPr>
              <w:t>（第三方评价）</w:t>
            </w:r>
            <w:r>
              <w:rPr>
                <w:rFonts w:hint="default" w:ascii="Times New Roman" w:hAnsi="Times New Roman" w:eastAsia="仿宋_GB2312" w:cs="Times New Roman"/>
                <w:i w:val="0"/>
                <w:iCs w:val="0"/>
                <w:color w:val="auto"/>
                <w:kern w:val="0"/>
                <w:sz w:val="24"/>
                <w:szCs w:val="24"/>
                <w:highlight w:val="none"/>
                <w:u w:val="none"/>
                <w:lang w:val="en-US" w:eastAsia="zh-CN" w:bidi="ar"/>
              </w:rPr>
              <w:t>本机构承诺，对照《贵州省零碳工厂评价要求》，已按规范完整的评价程序对受评价方进行了全面的评价，受评价方提交的材料真实有效，本评价报告客观公正，结论证据充分，真实、准确地反映了评价过程的发现，严谨地出具结论。本机构已充分了解评价报告的严肃性，评价过程若存在弄虚作假或故意隐瞒受评价方问题，本机构愿承担所有责任。</w:t>
            </w:r>
          </w:p>
          <w:p w14:paraId="3B67E0E7">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p w14:paraId="0317AE03">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p w14:paraId="64C1A790">
            <w:pPr>
              <w:keepNext w:val="0"/>
              <w:keepLines w:val="0"/>
              <w:widowControl/>
              <w:suppressLineNumbers w:val="0"/>
              <w:ind w:firstLine="5582" w:firstLineChars="2326"/>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法人代表签字：</w:t>
            </w:r>
          </w:p>
          <w:p w14:paraId="05B662FC">
            <w:pPr>
              <w:keepNext w:val="0"/>
              <w:keepLines w:val="0"/>
              <w:widowControl/>
              <w:suppressLineNumbers w:val="0"/>
              <w:ind w:firstLine="5760" w:firstLineChars="24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（单位公章）</w:t>
            </w:r>
          </w:p>
          <w:p w14:paraId="030AC082">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p>
        </w:tc>
      </w:tr>
    </w:tbl>
    <w:p w14:paraId="3C647B40">
      <w:pPr>
        <w:rPr>
          <w:rFonts w:hint="default" w:ascii="Times New Roman" w:hAnsi="Times New Roman" w:cs="Times New Roman"/>
          <w:color w:val="auto"/>
          <w:lang w:val="en-US" w:eastAsia="zh-CN"/>
        </w:rPr>
      </w:pPr>
    </w:p>
    <w:p w14:paraId="1F9A467C">
      <w:pPr>
        <w:rPr>
          <w:rFonts w:hint="default" w:ascii="Times New Roman" w:hAnsi="Times New Roman" w:eastAsia="仿宋_GB2312" w:cs="Times New Roman"/>
          <w:color w:val="auto"/>
          <w:sz w:val="32"/>
          <w:szCs w:val="32"/>
          <w:highlight w:val="none"/>
          <w:lang w:val="en-US" w:eastAsia="zh-CN"/>
        </w:rPr>
      </w:pPr>
    </w:p>
    <w:p w14:paraId="43F68D4D">
      <w:pPr>
        <w:jc w:val="center"/>
        <w:rPr>
          <w:rFonts w:hint="default" w:ascii="Times New Roman" w:hAnsi="Times New Roman" w:eastAsia="黑体" w:cs="Times New Roman"/>
          <w:color w:val="auto"/>
          <w:sz w:val="36"/>
          <w:szCs w:val="36"/>
          <w:highlight w:val="none"/>
          <w:lang w:val="en-US" w:eastAsia="zh-CN"/>
        </w:rPr>
      </w:pPr>
      <w:r>
        <w:rPr>
          <w:rFonts w:hint="default" w:ascii="Times New Roman" w:hAnsi="Times New Roman" w:eastAsia="黑体" w:cs="Times New Roman"/>
          <w:color w:val="auto"/>
          <w:sz w:val="36"/>
          <w:szCs w:val="36"/>
          <w:highlight w:val="none"/>
          <w:lang w:val="en-US" w:eastAsia="zh-CN"/>
        </w:rPr>
        <w:t>零碳工厂评价报告（格式）</w:t>
      </w:r>
    </w:p>
    <w:p w14:paraId="13FBAB97">
      <w:pPr>
        <w:jc w:val="center"/>
        <w:rPr>
          <w:rFonts w:hint="default" w:ascii="Times New Roman" w:hAnsi="Times New Roman" w:eastAsia="黑体" w:cs="Times New Roman"/>
          <w:color w:val="auto"/>
          <w:sz w:val="32"/>
          <w:szCs w:val="32"/>
          <w:highlight w:val="none"/>
          <w:lang w:val="en-US" w:eastAsia="zh-CN"/>
        </w:rPr>
      </w:pPr>
    </w:p>
    <w:p w14:paraId="65ADB446">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目录</w:t>
      </w:r>
    </w:p>
    <w:p w14:paraId="32336427">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p>
    <w:p w14:paraId="309D2273">
      <w:pPr>
        <w:rPr>
          <w:rFonts w:hint="default" w:ascii="Times New Roman" w:hAnsi="Times New Roman" w:eastAsia="仿宋_GB2312" w:cs="Times New Roman"/>
          <w:color w:val="auto"/>
          <w:sz w:val="32"/>
          <w:szCs w:val="32"/>
          <w:highlight w:val="none"/>
          <w:lang w:val="en-US" w:eastAsia="zh-CN"/>
        </w:rPr>
      </w:pPr>
    </w:p>
    <w:p w14:paraId="210103B0">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一、概述</w:t>
      </w:r>
    </w:p>
    <w:p w14:paraId="1C23ED5E">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（一）评价概述</w:t>
      </w:r>
    </w:p>
    <w:p w14:paraId="1CCF6AD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评价目的、范围、准则，评价方式、评价组织安排等情况等。</w:t>
      </w:r>
    </w:p>
    <w:p w14:paraId="3DE0B867">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（二）企业概况</w:t>
      </w:r>
    </w:p>
    <w:p w14:paraId="5F54821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介绍企业基本情况（基本信息、发展现状、工艺产品、生产经营状况、主要开展的节能降碳工作等）等。（涉及具体数据的宜列出近三年的数据情况）</w:t>
      </w:r>
    </w:p>
    <w:p w14:paraId="0693D642">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二、碳排放核算</w:t>
      </w:r>
    </w:p>
    <w:p w14:paraId="5059E6B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能源资源消费情况；碳排放量核算；碳抵消量（绿电、绿证等）核算。（近三年数据）</w:t>
      </w:r>
    </w:p>
    <w:p w14:paraId="2BB7F5B9">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三、零碳措施、目标、策略及承诺</w:t>
      </w:r>
    </w:p>
    <w:p w14:paraId="3D10227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创建零碳工厂采取的主要措施，未来几年拟实现的零碳目标、采取的策略，说明未来的发展目标，在持续推进零碳工厂建设方面拟开展的重点工作，拟实施的重大项目情况等。对预期实现的零碳目标进行承诺。</w:t>
      </w:r>
    </w:p>
    <w:p w14:paraId="5DF84389">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四、评价内容</w:t>
      </w:r>
    </w:p>
    <w:p w14:paraId="4A6A72D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围绕评价指标体系中的基本要求、设施设备、运营管理、节能降碳、污染防治、绩效与持续改进等方面，对各项评价指标的符合性进行描述和评价。</w:t>
      </w:r>
    </w:p>
    <w:p w14:paraId="7ECF5A25">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（一）基本要求符合性</w:t>
      </w:r>
    </w:p>
    <w:p w14:paraId="72EFD2A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逐项说明各项基本要求的符合性情况。</w:t>
      </w:r>
    </w:p>
    <w:p w14:paraId="3E0563A1">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（二）评价指标符合性</w:t>
      </w:r>
    </w:p>
    <w:p w14:paraId="2875868A">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逐项说明设施设备、运营管理、节能降碳、污染防治、绩效与持续改进等各项评价指标的符合性情况。（相关数据应以图表形式呈现）</w:t>
      </w:r>
    </w:p>
    <w:p w14:paraId="12AB2BD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五、评价结论</w:t>
      </w:r>
    </w:p>
    <w:p w14:paraId="3056CAD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对工厂是否符合零碳工厂要求进行总体评价，给出评价得分，并描述各项一级指标得分情况，说明零碳工厂符合的等级和类型，填写零碳工厂评价指标表。</w:t>
      </w:r>
    </w:p>
    <w:p w14:paraId="55500BC5">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表1-1 零碳工厂指标评价表</w:t>
      </w:r>
    </w:p>
    <w:tbl>
      <w:tblPr>
        <w:tblStyle w:val="14"/>
        <w:tblW w:w="5294" w:type="pct"/>
        <w:tblInd w:w="-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0"/>
        <w:gridCol w:w="843"/>
        <w:gridCol w:w="783"/>
        <w:gridCol w:w="4990"/>
        <w:gridCol w:w="677"/>
        <w:gridCol w:w="912"/>
        <w:gridCol w:w="699"/>
      </w:tblGrid>
      <w:tr w14:paraId="1C74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 w:hRule="atLeast"/>
          <w:tblHeader/>
        </w:trPr>
        <w:tc>
          <w:tcPr>
            <w:tcW w:w="360" w:type="pct"/>
            <w:tcBorders>
              <w:tl2br w:val="nil"/>
              <w:tr2bl w:val="nil"/>
            </w:tcBorders>
            <w:shd w:val="clear" w:color="auto" w:fill="auto"/>
            <w:vAlign w:val="center"/>
          </w:tcPr>
          <w:p w14:paraId="633D3250">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序号</w:t>
            </w:r>
          </w:p>
        </w:tc>
        <w:tc>
          <w:tcPr>
            <w:tcW w:w="439" w:type="pct"/>
            <w:tcBorders>
              <w:tl2br w:val="nil"/>
              <w:tr2bl w:val="nil"/>
            </w:tcBorders>
            <w:shd w:val="clear" w:color="auto" w:fill="auto"/>
            <w:vAlign w:val="center"/>
          </w:tcPr>
          <w:p w14:paraId="1B38479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一级指标</w:t>
            </w:r>
          </w:p>
        </w:tc>
        <w:tc>
          <w:tcPr>
            <w:tcW w:w="408" w:type="pct"/>
            <w:tcBorders>
              <w:tl2br w:val="nil"/>
              <w:tr2bl w:val="nil"/>
            </w:tcBorders>
            <w:shd w:val="clear" w:color="auto" w:fill="auto"/>
            <w:vAlign w:val="center"/>
          </w:tcPr>
          <w:p w14:paraId="6AC800D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二级指标</w:t>
            </w:r>
          </w:p>
        </w:tc>
        <w:tc>
          <w:tcPr>
            <w:tcW w:w="2599" w:type="pct"/>
            <w:tcBorders>
              <w:tl2br w:val="nil"/>
              <w:tr2bl w:val="nil"/>
            </w:tcBorders>
            <w:shd w:val="clear" w:color="auto" w:fill="auto"/>
            <w:vAlign w:val="center"/>
          </w:tcPr>
          <w:p w14:paraId="6D6D040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具体评价要求</w:t>
            </w:r>
          </w:p>
        </w:tc>
        <w:tc>
          <w:tcPr>
            <w:tcW w:w="353" w:type="pct"/>
            <w:tcBorders>
              <w:tl2br w:val="nil"/>
              <w:tr2bl w:val="nil"/>
            </w:tcBorders>
            <w:shd w:val="clear" w:color="auto" w:fill="auto"/>
            <w:vAlign w:val="center"/>
          </w:tcPr>
          <w:p w14:paraId="2B60783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分值</w:t>
            </w:r>
          </w:p>
        </w:tc>
        <w:tc>
          <w:tcPr>
            <w:tcW w:w="475" w:type="pct"/>
            <w:tcBorders>
              <w:tl2br w:val="nil"/>
              <w:tr2bl w:val="nil"/>
            </w:tcBorders>
            <w:shd w:val="clear" w:color="auto" w:fill="auto"/>
            <w:vAlign w:val="center"/>
          </w:tcPr>
          <w:p w14:paraId="598B1C6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权重（%）</w:t>
            </w:r>
          </w:p>
        </w:tc>
        <w:tc>
          <w:tcPr>
            <w:tcW w:w="364" w:type="pct"/>
            <w:tcBorders>
              <w:tl2br w:val="nil"/>
              <w:tr2bl w:val="nil"/>
            </w:tcBorders>
            <w:shd w:val="clear" w:color="auto" w:fill="auto"/>
            <w:vAlign w:val="center"/>
          </w:tcPr>
          <w:p w14:paraId="711F0EC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得分</w:t>
            </w:r>
          </w:p>
        </w:tc>
      </w:tr>
      <w:tr w14:paraId="38773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restart"/>
            <w:tcBorders>
              <w:tl2br w:val="nil"/>
              <w:tr2bl w:val="nil"/>
            </w:tcBorders>
            <w:shd w:val="clear" w:color="auto" w:fill="auto"/>
            <w:noWrap/>
            <w:vAlign w:val="center"/>
          </w:tcPr>
          <w:p w14:paraId="06BD8B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0</w:t>
            </w:r>
          </w:p>
        </w:tc>
        <w:tc>
          <w:tcPr>
            <w:tcW w:w="439" w:type="pct"/>
            <w:vMerge w:val="restart"/>
            <w:tcBorders>
              <w:tl2br w:val="nil"/>
              <w:tr2bl w:val="nil"/>
            </w:tcBorders>
            <w:shd w:val="clear" w:color="auto" w:fill="auto"/>
            <w:vAlign w:val="center"/>
          </w:tcPr>
          <w:p w14:paraId="4E0CB2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基本要求</w:t>
            </w:r>
          </w:p>
        </w:tc>
        <w:tc>
          <w:tcPr>
            <w:tcW w:w="408" w:type="pct"/>
            <w:vMerge w:val="restart"/>
            <w:tcBorders>
              <w:tl2br w:val="nil"/>
              <w:tr2bl w:val="nil"/>
            </w:tcBorders>
            <w:shd w:val="clear" w:color="auto" w:fill="auto"/>
            <w:vAlign w:val="center"/>
          </w:tcPr>
          <w:p w14:paraId="6FCF40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合规性要求</w:t>
            </w:r>
          </w:p>
        </w:tc>
        <w:tc>
          <w:tcPr>
            <w:tcW w:w="2599" w:type="pct"/>
            <w:tcBorders>
              <w:tl2br w:val="nil"/>
              <w:tr2bl w:val="nil"/>
            </w:tcBorders>
            <w:shd w:val="clear" w:color="auto" w:fill="auto"/>
            <w:vAlign w:val="center"/>
          </w:tcPr>
          <w:p w14:paraId="02E5EF9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依法设立并具有独立法人资格或者视同法人的独立核算单位，且从事实际生产的制造型企业。</w:t>
            </w:r>
          </w:p>
        </w:tc>
        <w:tc>
          <w:tcPr>
            <w:tcW w:w="353" w:type="pct"/>
            <w:tcBorders>
              <w:tl2br w:val="nil"/>
              <w:tr2bl w:val="nil"/>
            </w:tcBorders>
            <w:shd w:val="clear" w:color="auto" w:fill="auto"/>
            <w:vAlign w:val="center"/>
          </w:tcPr>
          <w:p w14:paraId="270B8E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6935D1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223686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57192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noWrap/>
            <w:vAlign w:val="center"/>
          </w:tcPr>
          <w:p w14:paraId="4DB03140">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36A65990">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602DE194">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490EB6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正常经营生产三年及以上（无工商注销、连续停产12个月以上、被市场监督管理部门列入经营异常名单等情况）。</w:t>
            </w:r>
          </w:p>
        </w:tc>
        <w:tc>
          <w:tcPr>
            <w:tcW w:w="353" w:type="pct"/>
            <w:tcBorders>
              <w:tl2br w:val="nil"/>
              <w:tr2bl w:val="nil"/>
            </w:tcBorders>
            <w:shd w:val="clear" w:color="auto" w:fill="auto"/>
            <w:vAlign w:val="center"/>
          </w:tcPr>
          <w:p w14:paraId="376ED8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45CC88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304B53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6AE6C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noWrap/>
            <w:vAlign w:val="center"/>
          </w:tcPr>
          <w:p w14:paraId="47A76DF9">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1F4F7115">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6E0BD63">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16FCC4F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近三年无较大及以上安全（含网络安全、数据安全）、质量、环境污染等事故。</w:t>
            </w:r>
          </w:p>
        </w:tc>
        <w:tc>
          <w:tcPr>
            <w:tcW w:w="353" w:type="pct"/>
            <w:tcBorders>
              <w:tl2br w:val="nil"/>
              <w:tr2bl w:val="nil"/>
            </w:tcBorders>
            <w:shd w:val="clear" w:color="auto" w:fill="auto"/>
            <w:vAlign w:val="center"/>
          </w:tcPr>
          <w:p w14:paraId="2A7BA9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4883A6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01FC78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7FAC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noWrap/>
            <w:vAlign w:val="center"/>
          </w:tcPr>
          <w:p w14:paraId="13F40724">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093EF29">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24A1643">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3D82500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信用良好，未被列为失信被执行人，无偷漏税行为。</w:t>
            </w:r>
          </w:p>
        </w:tc>
        <w:tc>
          <w:tcPr>
            <w:tcW w:w="353" w:type="pct"/>
            <w:tcBorders>
              <w:tl2br w:val="nil"/>
              <w:tr2bl w:val="nil"/>
            </w:tcBorders>
            <w:shd w:val="clear" w:color="auto" w:fill="auto"/>
            <w:vAlign w:val="center"/>
          </w:tcPr>
          <w:p w14:paraId="07A5F9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19AAE1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717360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1D91E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noWrap/>
            <w:vAlign w:val="center"/>
          </w:tcPr>
          <w:p w14:paraId="2A3F1A0D">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626CE9F">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1690E354">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185B1D5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在有关政府部门相关督查工作中未被发现存在严重问题。</w:t>
            </w:r>
          </w:p>
        </w:tc>
        <w:tc>
          <w:tcPr>
            <w:tcW w:w="353" w:type="pct"/>
            <w:tcBorders>
              <w:tl2br w:val="nil"/>
              <w:tr2bl w:val="nil"/>
            </w:tcBorders>
            <w:shd w:val="clear" w:color="auto" w:fill="auto"/>
            <w:vAlign w:val="center"/>
          </w:tcPr>
          <w:p w14:paraId="297D78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7CB954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0D06D2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3A924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noWrap/>
            <w:vAlign w:val="center"/>
          </w:tcPr>
          <w:p w14:paraId="2CFB0CC9">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8DBC9EE">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5FA45C7">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34D85A2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近三年未被列入工业节能监察整改名单。</w:t>
            </w:r>
          </w:p>
        </w:tc>
        <w:tc>
          <w:tcPr>
            <w:tcW w:w="353" w:type="pct"/>
            <w:tcBorders>
              <w:tl2br w:val="nil"/>
              <w:tr2bl w:val="nil"/>
            </w:tcBorders>
            <w:shd w:val="clear" w:color="auto" w:fill="auto"/>
            <w:vAlign w:val="center"/>
          </w:tcPr>
          <w:p w14:paraId="0325D8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2DEBCA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70B514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26F9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noWrap/>
            <w:vAlign w:val="center"/>
          </w:tcPr>
          <w:p w14:paraId="75C56305">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A306900">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495E5F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基础性要求</w:t>
            </w:r>
          </w:p>
        </w:tc>
        <w:tc>
          <w:tcPr>
            <w:tcW w:w="2599" w:type="pct"/>
            <w:tcBorders>
              <w:tl2br w:val="nil"/>
              <w:tr2bl w:val="nil"/>
            </w:tcBorders>
            <w:shd w:val="clear" w:color="auto" w:fill="auto"/>
            <w:vAlign w:val="center"/>
          </w:tcPr>
          <w:p w14:paraId="4EBE13A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符合《产业结构调整指导目录》《绿色低碳转型产业指导目录》等绿色低碳产业政策要求。</w:t>
            </w:r>
          </w:p>
        </w:tc>
        <w:tc>
          <w:tcPr>
            <w:tcW w:w="353" w:type="pct"/>
            <w:tcBorders>
              <w:tl2br w:val="nil"/>
              <w:tr2bl w:val="nil"/>
            </w:tcBorders>
            <w:shd w:val="clear" w:color="auto" w:fill="auto"/>
            <w:vAlign w:val="center"/>
          </w:tcPr>
          <w:p w14:paraId="2D9283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37C1C1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6AB744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09BF6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noWrap/>
            <w:vAlign w:val="center"/>
          </w:tcPr>
          <w:p w14:paraId="56C6F111">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01280E0">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793B826A">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A4D022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相关手续齐全规范。</w:t>
            </w:r>
          </w:p>
        </w:tc>
        <w:tc>
          <w:tcPr>
            <w:tcW w:w="353" w:type="pct"/>
            <w:tcBorders>
              <w:tl2br w:val="nil"/>
              <w:tr2bl w:val="nil"/>
            </w:tcBorders>
            <w:shd w:val="clear" w:color="auto" w:fill="auto"/>
            <w:vAlign w:val="center"/>
          </w:tcPr>
          <w:p w14:paraId="0074C8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475" w:type="pct"/>
            <w:tcBorders>
              <w:tl2br w:val="nil"/>
              <w:tr2bl w:val="nil"/>
            </w:tcBorders>
            <w:shd w:val="clear" w:color="auto" w:fill="auto"/>
            <w:vAlign w:val="center"/>
          </w:tcPr>
          <w:p w14:paraId="72BD82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c>
          <w:tcPr>
            <w:tcW w:w="364" w:type="pct"/>
            <w:tcBorders>
              <w:tl2br w:val="nil"/>
              <w:tr2bl w:val="nil"/>
            </w:tcBorders>
            <w:shd w:val="clear" w:color="auto" w:fill="auto"/>
            <w:vAlign w:val="center"/>
          </w:tcPr>
          <w:p w14:paraId="158680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w:t>
            </w:r>
          </w:p>
        </w:tc>
      </w:tr>
      <w:tr w14:paraId="0362E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restart"/>
            <w:tcBorders>
              <w:tl2br w:val="nil"/>
              <w:tr2bl w:val="nil"/>
            </w:tcBorders>
            <w:shd w:val="clear" w:color="auto" w:fill="auto"/>
            <w:vAlign w:val="center"/>
          </w:tcPr>
          <w:p w14:paraId="3FD725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w:t>
            </w:r>
          </w:p>
        </w:tc>
        <w:tc>
          <w:tcPr>
            <w:tcW w:w="439" w:type="pct"/>
            <w:vMerge w:val="restart"/>
            <w:tcBorders>
              <w:tl2br w:val="nil"/>
              <w:tr2bl w:val="nil"/>
            </w:tcBorders>
            <w:shd w:val="clear" w:color="auto" w:fill="auto"/>
            <w:vAlign w:val="center"/>
          </w:tcPr>
          <w:p w14:paraId="4F38F5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设施设备</w:t>
            </w:r>
          </w:p>
        </w:tc>
        <w:tc>
          <w:tcPr>
            <w:tcW w:w="408" w:type="pct"/>
            <w:vMerge w:val="restart"/>
            <w:tcBorders>
              <w:tl2br w:val="nil"/>
              <w:tr2bl w:val="nil"/>
            </w:tcBorders>
            <w:shd w:val="clear" w:color="auto" w:fill="auto"/>
            <w:vAlign w:val="center"/>
          </w:tcPr>
          <w:p w14:paraId="6A4776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建筑</w:t>
            </w:r>
          </w:p>
        </w:tc>
        <w:tc>
          <w:tcPr>
            <w:tcW w:w="2599" w:type="pct"/>
            <w:tcBorders>
              <w:tl2br w:val="nil"/>
              <w:tr2bl w:val="nil"/>
            </w:tcBorders>
            <w:shd w:val="clear" w:color="auto" w:fill="auto"/>
            <w:vAlign w:val="center"/>
          </w:tcPr>
          <w:p w14:paraId="33F2D16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应使用列入绿色建材产品名录的绿色建材产品。</w:t>
            </w:r>
          </w:p>
        </w:tc>
        <w:tc>
          <w:tcPr>
            <w:tcW w:w="353" w:type="pct"/>
            <w:tcBorders>
              <w:tl2br w:val="nil"/>
              <w:tr2bl w:val="nil"/>
            </w:tcBorders>
            <w:shd w:val="clear" w:color="auto" w:fill="auto"/>
            <w:vAlign w:val="center"/>
          </w:tcPr>
          <w:p w14:paraId="46C293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restart"/>
            <w:tcBorders>
              <w:tl2br w:val="nil"/>
              <w:tr2bl w:val="nil"/>
            </w:tcBorders>
            <w:shd w:val="clear" w:color="auto" w:fill="auto"/>
            <w:vAlign w:val="center"/>
          </w:tcPr>
          <w:p w14:paraId="3EED6C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 </w:t>
            </w:r>
          </w:p>
        </w:tc>
        <w:tc>
          <w:tcPr>
            <w:tcW w:w="364" w:type="pct"/>
            <w:tcBorders>
              <w:tl2br w:val="nil"/>
              <w:tr2bl w:val="nil"/>
            </w:tcBorders>
            <w:shd w:val="clear" w:color="auto" w:fill="auto"/>
            <w:vAlign w:val="center"/>
          </w:tcPr>
          <w:p w14:paraId="227B86A3">
            <w:pPr>
              <w:jc w:val="center"/>
              <w:rPr>
                <w:rFonts w:hint="default" w:ascii="Times New Roman" w:hAnsi="Times New Roman" w:eastAsia="仿宋_GB2312" w:cs="Times New Roman"/>
                <w:i w:val="0"/>
                <w:iCs w:val="0"/>
                <w:color w:val="auto"/>
                <w:sz w:val="22"/>
                <w:szCs w:val="22"/>
                <w:u w:val="none"/>
              </w:rPr>
            </w:pPr>
          </w:p>
        </w:tc>
      </w:tr>
      <w:tr w14:paraId="55B4A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470155F2">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5E03E7B">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3170A1B">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48DF5C6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主体结构应采用钢结构、木结构、混凝土结构等符合工业化建造要求、资源消耗和环境影响小的结构体系与建筑构件。</w:t>
            </w:r>
          </w:p>
        </w:tc>
        <w:tc>
          <w:tcPr>
            <w:tcW w:w="353" w:type="pct"/>
            <w:tcBorders>
              <w:tl2br w:val="nil"/>
              <w:tr2bl w:val="nil"/>
            </w:tcBorders>
            <w:shd w:val="clear" w:color="auto" w:fill="auto"/>
            <w:vAlign w:val="center"/>
          </w:tcPr>
          <w:p w14:paraId="20D7CA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2F5FD11A">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3E239F8">
            <w:pPr>
              <w:jc w:val="center"/>
              <w:rPr>
                <w:rFonts w:hint="default" w:ascii="Times New Roman" w:hAnsi="Times New Roman" w:eastAsia="仿宋_GB2312" w:cs="Times New Roman"/>
                <w:i w:val="0"/>
                <w:iCs w:val="0"/>
                <w:color w:val="auto"/>
                <w:sz w:val="22"/>
                <w:szCs w:val="22"/>
                <w:u w:val="none"/>
              </w:rPr>
            </w:pPr>
          </w:p>
        </w:tc>
      </w:tr>
      <w:tr w14:paraId="10CD4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20BED92F">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1CD3713">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B01D4B9">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23BD50A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建筑室内采光宜充分利用自然光。</w:t>
            </w:r>
          </w:p>
        </w:tc>
        <w:tc>
          <w:tcPr>
            <w:tcW w:w="353" w:type="pct"/>
            <w:tcBorders>
              <w:tl2br w:val="nil"/>
              <w:tr2bl w:val="nil"/>
            </w:tcBorders>
            <w:shd w:val="clear" w:color="auto" w:fill="auto"/>
            <w:vAlign w:val="center"/>
          </w:tcPr>
          <w:p w14:paraId="0407C1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4BEFEACC">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3F424C6">
            <w:pPr>
              <w:jc w:val="center"/>
              <w:rPr>
                <w:rFonts w:hint="default" w:ascii="Times New Roman" w:hAnsi="Times New Roman" w:eastAsia="仿宋_GB2312" w:cs="Times New Roman"/>
                <w:i w:val="0"/>
                <w:iCs w:val="0"/>
                <w:color w:val="auto"/>
                <w:sz w:val="22"/>
                <w:szCs w:val="22"/>
                <w:u w:val="none"/>
              </w:rPr>
            </w:pPr>
          </w:p>
        </w:tc>
      </w:tr>
      <w:tr w14:paraId="0139A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24B17E58">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07E0154">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65E277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公共设备</w:t>
            </w:r>
          </w:p>
        </w:tc>
        <w:tc>
          <w:tcPr>
            <w:tcW w:w="2599" w:type="pct"/>
            <w:tcBorders>
              <w:tl2br w:val="nil"/>
              <w:tr2bl w:val="nil"/>
            </w:tcBorders>
            <w:shd w:val="clear" w:color="auto" w:fill="auto"/>
            <w:vAlign w:val="center"/>
          </w:tcPr>
          <w:p w14:paraId="6E6E4B9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应使用先进高效的照明、空调、电梯等设备。</w:t>
            </w:r>
          </w:p>
        </w:tc>
        <w:tc>
          <w:tcPr>
            <w:tcW w:w="353" w:type="pct"/>
            <w:tcBorders>
              <w:tl2br w:val="nil"/>
              <w:tr2bl w:val="nil"/>
            </w:tcBorders>
            <w:shd w:val="clear" w:color="auto" w:fill="auto"/>
            <w:vAlign w:val="center"/>
          </w:tcPr>
          <w:p w14:paraId="47CB01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7B6E44C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4C21CDA">
            <w:pPr>
              <w:jc w:val="center"/>
              <w:rPr>
                <w:rFonts w:hint="default" w:ascii="Times New Roman" w:hAnsi="Times New Roman" w:eastAsia="仿宋_GB2312" w:cs="Times New Roman"/>
                <w:i w:val="0"/>
                <w:iCs w:val="0"/>
                <w:color w:val="auto"/>
                <w:sz w:val="22"/>
                <w:szCs w:val="22"/>
                <w:u w:val="none"/>
              </w:rPr>
            </w:pPr>
          </w:p>
        </w:tc>
      </w:tr>
      <w:tr w14:paraId="3745C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1A12F2C5">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3CF6A7E4">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3E636DE0">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2DD0835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不同场所的照明应进行分级设计，公共场所的照明应采取分区、分组与定时自动调光等措施。</w:t>
            </w:r>
          </w:p>
        </w:tc>
        <w:tc>
          <w:tcPr>
            <w:tcW w:w="353" w:type="pct"/>
            <w:tcBorders>
              <w:tl2br w:val="nil"/>
              <w:tr2bl w:val="nil"/>
            </w:tcBorders>
            <w:shd w:val="clear" w:color="auto" w:fill="auto"/>
            <w:vAlign w:val="center"/>
          </w:tcPr>
          <w:p w14:paraId="6840AF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42A9CC7C">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4066EE49">
            <w:pPr>
              <w:jc w:val="center"/>
              <w:rPr>
                <w:rFonts w:hint="default" w:ascii="Times New Roman" w:hAnsi="Times New Roman" w:eastAsia="仿宋_GB2312" w:cs="Times New Roman"/>
                <w:i w:val="0"/>
                <w:iCs w:val="0"/>
                <w:color w:val="auto"/>
                <w:sz w:val="22"/>
                <w:szCs w:val="22"/>
                <w:u w:val="none"/>
              </w:rPr>
            </w:pPr>
          </w:p>
        </w:tc>
      </w:tr>
      <w:tr w14:paraId="339AA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51D4EAA">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D6E47F8">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147C22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运输设备</w:t>
            </w:r>
          </w:p>
        </w:tc>
        <w:tc>
          <w:tcPr>
            <w:tcW w:w="2599" w:type="pct"/>
            <w:tcBorders>
              <w:tl2br w:val="nil"/>
              <w:tr2bl w:val="nil"/>
            </w:tcBorders>
            <w:shd w:val="clear" w:color="auto" w:fill="auto"/>
            <w:vAlign w:val="center"/>
          </w:tcPr>
          <w:p w14:paraId="11AE0BD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适用时，厂区内宜尽量使用低碳运输车辆。</w:t>
            </w:r>
          </w:p>
        </w:tc>
        <w:tc>
          <w:tcPr>
            <w:tcW w:w="353" w:type="pct"/>
            <w:tcBorders>
              <w:tl2br w:val="nil"/>
              <w:tr2bl w:val="nil"/>
            </w:tcBorders>
            <w:shd w:val="clear" w:color="auto" w:fill="auto"/>
            <w:vAlign w:val="center"/>
          </w:tcPr>
          <w:p w14:paraId="5CFB61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15B440D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98111A1">
            <w:pPr>
              <w:jc w:val="center"/>
              <w:rPr>
                <w:rFonts w:hint="default" w:ascii="Times New Roman" w:hAnsi="Times New Roman" w:eastAsia="仿宋_GB2312" w:cs="Times New Roman"/>
                <w:i w:val="0"/>
                <w:iCs w:val="0"/>
                <w:color w:val="auto"/>
                <w:sz w:val="22"/>
                <w:szCs w:val="22"/>
                <w:u w:val="none"/>
              </w:rPr>
            </w:pPr>
          </w:p>
        </w:tc>
      </w:tr>
      <w:tr w14:paraId="2E66C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2DF2D247">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E8CB2DC">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5BA508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用能设备</w:t>
            </w:r>
          </w:p>
        </w:tc>
        <w:tc>
          <w:tcPr>
            <w:tcW w:w="2599" w:type="pct"/>
            <w:tcBorders>
              <w:tl2br w:val="nil"/>
              <w:tr2bl w:val="nil"/>
            </w:tcBorders>
            <w:shd w:val="clear" w:color="auto" w:fill="auto"/>
            <w:vAlign w:val="center"/>
          </w:tcPr>
          <w:p w14:paraId="3881AE0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应未使用国家明令禁止生产、使用或列入禁止、淘汰目录的设备</w:t>
            </w:r>
          </w:p>
        </w:tc>
        <w:tc>
          <w:tcPr>
            <w:tcW w:w="353" w:type="pct"/>
            <w:tcBorders>
              <w:tl2br w:val="nil"/>
              <w:tr2bl w:val="nil"/>
            </w:tcBorders>
            <w:shd w:val="clear" w:color="auto" w:fill="auto"/>
            <w:vAlign w:val="center"/>
          </w:tcPr>
          <w:p w14:paraId="4238A3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35424F3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C8CF2E9">
            <w:pPr>
              <w:jc w:val="center"/>
              <w:rPr>
                <w:rFonts w:hint="default" w:ascii="Times New Roman" w:hAnsi="Times New Roman" w:eastAsia="仿宋_GB2312" w:cs="Times New Roman"/>
                <w:i w:val="0"/>
                <w:iCs w:val="0"/>
                <w:color w:val="auto"/>
                <w:sz w:val="22"/>
                <w:szCs w:val="22"/>
                <w:u w:val="none"/>
              </w:rPr>
            </w:pPr>
          </w:p>
        </w:tc>
      </w:tr>
      <w:tr w14:paraId="1D437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0816B148">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1A5B527">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220C08BF">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72E004B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宜使用能效达到节能水平或先进水平的变压器、电机、锅炉、风机、泵、压缩机等重点用能设备。</w:t>
            </w:r>
          </w:p>
        </w:tc>
        <w:tc>
          <w:tcPr>
            <w:tcW w:w="353" w:type="pct"/>
            <w:tcBorders>
              <w:tl2br w:val="nil"/>
              <w:tr2bl w:val="nil"/>
            </w:tcBorders>
            <w:shd w:val="clear" w:color="auto" w:fill="auto"/>
            <w:vAlign w:val="center"/>
          </w:tcPr>
          <w:p w14:paraId="134816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6AE54144">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0361376">
            <w:pPr>
              <w:jc w:val="center"/>
              <w:rPr>
                <w:rFonts w:hint="default" w:ascii="Times New Roman" w:hAnsi="Times New Roman" w:eastAsia="仿宋_GB2312" w:cs="Times New Roman"/>
                <w:i w:val="0"/>
                <w:iCs w:val="0"/>
                <w:color w:val="auto"/>
                <w:sz w:val="22"/>
                <w:szCs w:val="22"/>
                <w:u w:val="none"/>
              </w:rPr>
            </w:pPr>
          </w:p>
        </w:tc>
      </w:tr>
      <w:tr w14:paraId="2694E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05A792F3">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9E166C2">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52D184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计量器具</w:t>
            </w:r>
          </w:p>
        </w:tc>
        <w:tc>
          <w:tcPr>
            <w:tcW w:w="2599" w:type="pct"/>
            <w:tcBorders>
              <w:tl2br w:val="nil"/>
              <w:tr2bl w:val="nil"/>
            </w:tcBorders>
            <w:shd w:val="clear" w:color="auto" w:fill="auto"/>
            <w:vAlign w:val="center"/>
          </w:tcPr>
          <w:p w14:paraId="3CE57A6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应依据GB 17167、GB 24789等要求配备、使用和管理能源、水以及其他资源的计量器具和装置。</w:t>
            </w:r>
          </w:p>
        </w:tc>
        <w:tc>
          <w:tcPr>
            <w:tcW w:w="353" w:type="pct"/>
            <w:tcBorders>
              <w:tl2br w:val="nil"/>
              <w:tr2bl w:val="nil"/>
            </w:tcBorders>
            <w:shd w:val="clear" w:color="auto" w:fill="auto"/>
            <w:vAlign w:val="center"/>
          </w:tcPr>
          <w:p w14:paraId="22DEF5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015EC78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72DDC6B">
            <w:pPr>
              <w:jc w:val="center"/>
              <w:rPr>
                <w:rFonts w:hint="default" w:ascii="Times New Roman" w:hAnsi="Times New Roman" w:eastAsia="仿宋_GB2312" w:cs="Times New Roman"/>
                <w:i w:val="0"/>
                <w:iCs w:val="0"/>
                <w:color w:val="auto"/>
                <w:sz w:val="22"/>
                <w:szCs w:val="22"/>
                <w:u w:val="none"/>
              </w:rPr>
            </w:pPr>
          </w:p>
        </w:tc>
      </w:tr>
      <w:tr w14:paraId="677FD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60" w:type="pct"/>
            <w:vMerge w:val="restart"/>
            <w:tcBorders>
              <w:tl2br w:val="nil"/>
              <w:tr2bl w:val="nil"/>
            </w:tcBorders>
            <w:shd w:val="clear" w:color="auto" w:fill="auto"/>
            <w:vAlign w:val="center"/>
          </w:tcPr>
          <w:p w14:paraId="343A7C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w:t>
            </w:r>
          </w:p>
        </w:tc>
        <w:tc>
          <w:tcPr>
            <w:tcW w:w="439" w:type="pct"/>
            <w:vMerge w:val="restart"/>
            <w:tcBorders>
              <w:tl2br w:val="nil"/>
              <w:tr2bl w:val="nil"/>
            </w:tcBorders>
            <w:shd w:val="clear" w:color="auto" w:fill="auto"/>
            <w:vAlign w:val="center"/>
          </w:tcPr>
          <w:p w14:paraId="092A54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运营管理</w:t>
            </w:r>
          </w:p>
        </w:tc>
        <w:tc>
          <w:tcPr>
            <w:tcW w:w="408" w:type="pct"/>
            <w:tcBorders>
              <w:tl2br w:val="nil"/>
              <w:tr2bl w:val="nil"/>
            </w:tcBorders>
            <w:shd w:val="clear" w:color="auto" w:fill="auto"/>
            <w:vAlign w:val="center"/>
          </w:tcPr>
          <w:p w14:paraId="55F06C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管理机构</w:t>
            </w:r>
          </w:p>
        </w:tc>
        <w:tc>
          <w:tcPr>
            <w:tcW w:w="2599" w:type="pct"/>
            <w:tcBorders>
              <w:tl2br w:val="nil"/>
              <w:tr2bl w:val="nil"/>
            </w:tcBorders>
            <w:shd w:val="clear" w:color="auto" w:fill="auto"/>
            <w:vAlign w:val="center"/>
          </w:tcPr>
          <w:p w14:paraId="56078AC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应设有零碳工厂管理机构，并明确相关工作职责、权限以及最高管理者的领导作用。</w:t>
            </w:r>
          </w:p>
        </w:tc>
        <w:tc>
          <w:tcPr>
            <w:tcW w:w="353" w:type="pct"/>
            <w:tcBorders>
              <w:tl2br w:val="nil"/>
              <w:tr2bl w:val="nil"/>
            </w:tcBorders>
            <w:shd w:val="clear" w:color="auto" w:fill="auto"/>
            <w:vAlign w:val="center"/>
          </w:tcPr>
          <w:p w14:paraId="129D26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475" w:type="pct"/>
            <w:vMerge w:val="restart"/>
            <w:tcBorders>
              <w:tl2br w:val="nil"/>
              <w:tr2bl w:val="nil"/>
            </w:tcBorders>
            <w:shd w:val="clear" w:color="auto" w:fill="auto"/>
            <w:vAlign w:val="center"/>
          </w:tcPr>
          <w:p w14:paraId="342BBF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20 </w:t>
            </w:r>
          </w:p>
        </w:tc>
        <w:tc>
          <w:tcPr>
            <w:tcW w:w="364" w:type="pct"/>
            <w:tcBorders>
              <w:tl2br w:val="nil"/>
              <w:tr2bl w:val="nil"/>
            </w:tcBorders>
            <w:shd w:val="clear" w:color="auto" w:fill="auto"/>
            <w:vAlign w:val="center"/>
          </w:tcPr>
          <w:p w14:paraId="775D78DC">
            <w:pPr>
              <w:jc w:val="center"/>
              <w:rPr>
                <w:rFonts w:hint="default" w:ascii="Times New Roman" w:hAnsi="Times New Roman" w:eastAsia="仿宋_GB2312" w:cs="Times New Roman"/>
                <w:i w:val="0"/>
                <w:iCs w:val="0"/>
                <w:color w:val="auto"/>
                <w:sz w:val="22"/>
                <w:szCs w:val="22"/>
                <w:u w:val="none"/>
              </w:rPr>
            </w:pPr>
          </w:p>
        </w:tc>
      </w:tr>
      <w:tr w14:paraId="104B3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212230FD">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3007D4C">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630F6B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制度方案</w:t>
            </w:r>
          </w:p>
        </w:tc>
        <w:tc>
          <w:tcPr>
            <w:tcW w:w="2599" w:type="pct"/>
            <w:tcBorders>
              <w:tl2br w:val="nil"/>
              <w:tr2bl w:val="nil"/>
            </w:tcBorders>
            <w:shd w:val="clear" w:color="auto" w:fill="auto"/>
            <w:vAlign w:val="center"/>
          </w:tcPr>
          <w:p w14:paraId="23349DF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应制定零碳工厂的中长期规划、实施方案。</w:t>
            </w:r>
          </w:p>
        </w:tc>
        <w:tc>
          <w:tcPr>
            <w:tcW w:w="353" w:type="pct"/>
            <w:tcBorders>
              <w:tl2br w:val="nil"/>
              <w:tr2bl w:val="nil"/>
            </w:tcBorders>
            <w:shd w:val="clear" w:color="auto" w:fill="auto"/>
            <w:vAlign w:val="center"/>
          </w:tcPr>
          <w:p w14:paraId="3DE7A0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475" w:type="pct"/>
            <w:vMerge w:val="continue"/>
            <w:tcBorders>
              <w:tl2br w:val="nil"/>
              <w:tr2bl w:val="nil"/>
            </w:tcBorders>
            <w:shd w:val="clear" w:color="auto" w:fill="auto"/>
            <w:vAlign w:val="center"/>
          </w:tcPr>
          <w:p w14:paraId="6B075F7B">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517202F">
            <w:pPr>
              <w:jc w:val="center"/>
              <w:rPr>
                <w:rFonts w:hint="default" w:ascii="Times New Roman" w:hAnsi="Times New Roman" w:eastAsia="仿宋_GB2312" w:cs="Times New Roman"/>
                <w:i w:val="0"/>
                <w:iCs w:val="0"/>
                <w:color w:val="auto"/>
                <w:sz w:val="22"/>
                <w:szCs w:val="22"/>
                <w:u w:val="none"/>
              </w:rPr>
            </w:pPr>
          </w:p>
        </w:tc>
      </w:tr>
      <w:tr w14:paraId="79422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0B5B86C6">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15C346FC">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17D60B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教育培训</w:t>
            </w:r>
          </w:p>
        </w:tc>
        <w:tc>
          <w:tcPr>
            <w:tcW w:w="2599" w:type="pct"/>
            <w:tcBorders>
              <w:tl2br w:val="nil"/>
              <w:tr2bl w:val="nil"/>
            </w:tcBorders>
            <w:shd w:val="clear" w:color="auto" w:fill="auto"/>
            <w:vAlign w:val="center"/>
          </w:tcPr>
          <w:p w14:paraId="14B6CEF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应开展零碳工厂、绿色低碳相关政策、标准、知识的教育、培训。</w:t>
            </w:r>
          </w:p>
        </w:tc>
        <w:tc>
          <w:tcPr>
            <w:tcW w:w="353" w:type="pct"/>
            <w:tcBorders>
              <w:tl2br w:val="nil"/>
              <w:tr2bl w:val="nil"/>
            </w:tcBorders>
            <w:shd w:val="clear" w:color="auto" w:fill="auto"/>
            <w:vAlign w:val="center"/>
          </w:tcPr>
          <w:p w14:paraId="2DE9A0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475" w:type="pct"/>
            <w:vMerge w:val="continue"/>
            <w:tcBorders>
              <w:tl2br w:val="nil"/>
              <w:tr2bl w:val="nil"/>
            </w:tcBorders>
            <w:shd w:val="clear" w:color="auto" w:fill="auto"/>
            <w:vAlign w:val="center"/>
          </w:tcPr>
          <w:p w14:paraId="15342B15">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40AF71B7">
            <w:pPr>
              <w:jc w:val="center"/>
              <w:rPr>
                <w:rFonts w:hint="default" w:ascii="Times New Roman" w:hAnsi="Times New Roman" w:eastAsia="仿宋_GB2312" w:cs="Times New Roman"/>
                <w:i w:val="0"/>
                <w:iCs w:val="0"/>
                <w:color w:val="auto"/>
                <w:sz w:val="22"/>
                <w:szCs w:val="22"/>
                <w:u w:val="none"/>
              </w:rPr>
            </w:pPr>
          </w:p>
        </w:tc>
      </w:tr>
      <w:tr w14:paraId="4613B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5C018970">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0333731">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5444A3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管理体系</w:t>
            </w:r>
          </w:p>
        </w:tc>
        <w:tc>
          <w:tcPr>
            <w:tcW w:w="2599" w:type="pct"/>
            <w:tcBorders>
              <w:tl2br w:val="nil"/>
              <w:tr2bl w:val="nil"/>
            </w:tcBorders>
            <w:shd w:val="clear" w:color="auto" w:fill="auto"/>
            <w:vAlign w:val="center"/>
          </w:tcPr>
          <w:p w14:paraId="4911437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19001的质量管理体系，宜通过质量管理体系第三方认证或相关认证。</w:t>
            </w:r>
          </w:p>
        </w:tc>
        <w:tc>
          <w:tcPr>
            <w:tcW w:w="353" w:type="pct"/>
            <w:tcBorders>
              <w:tl2br w:val="nil"/>
              <w:tr2bl w:val="nil"/>
            </w:tcBorders>
            <w:shd w:val="clear" w:color="auto" w:fill="auto"/>
            <w:vAlign w:val="center"/>
          </w:tcPr>
          <w:p w14:paraId="0AF45D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3D53891A">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981D743">
            <w:pPr>
              <w:jc w:val="center"/>
              <w:rPr>
                <w:rFonts w:hint="default" w:ascii="Times New Roman" w:hAnsi="Times New Roman" w:eastAsia="仿宋_GB2312" w:cs="Times New Roman"/>
                <w:i w:val="0"/>
                <w:iCs w:val="0"/>
                <w:color w:val="auto"/>
                <w:sz w:val="22"/>
                <w:szCs w:val="22"/>
                <w:u w:val="none"/>
              </w:rPr>
            </w:pPr>
          </w:p>
        </w:tc>
      </w:tr>
      <w:tr w14:paraId="39326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7BDC8002">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6AA50BB">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F4827C6">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E59509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45001的职业健康安全管理体系，宜通过职业健康安全管理体系第三方认证。</w:t>
            </w:r>
          </w:p>
        </w:tc>
        <w:tc>
          <w:tcPr>
            <w:tcW w:w="353" w:type="pct"/>
            <w:tcBorders>
              <w:tl2br w:val="nil"/>
              <w:tr2bl w:val="nil"/>
            </w:tcBorders>
            <w:shd w:val="clear" w:color="auto" w:fill="auto"/>
            <w:vAlign w:val="center"/>
          </w:tcPr>
          <w:p w14:paraId="127813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7AC35AA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5518D67C">
            <w:pPr>
              <w:jc w:val="center"/>
              <w:rPr>
                <w:rFonts w:hint="default" w:ascii="Times New Roman" w:hAnsi="Times New Roman" w:eastAsia="仿宋_GB2312" w:cs="Times New Roman"/>
                <w:i w:val="0"/>
                <w:iCs w:val="0"/>
                <w:color w:val="auto"/>
                <w:sz w:val="22"/>
                <w:szCs w:val="22"/>
                <w:u w:val="none"/>
              </w:rPr>
            </w:pPr>
          </w:p>
        </w:tc>
      </w:tr>
      <w:tr w14:paraId="2286B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4AFC87F4">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898C191">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7617CB0">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4E8E366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应建立、实施并满足GB/T 24001的环境管理体系，宜通过环境管理体系第三方认证。</w:t>
            </w:r>
          </w:p>
        </w:tc>
        <w:tc>
          <w:tcPr>
            <w:tcW w:w="353" w:type="pct"/>
            <w:tcBorders>
              <w:tl2br w:val="nil"/>
              <w:tr2bl w:val="nil"/>
            </w:tcBorders>
            <w:shd w:val="clear" w:color="auto" w:fill="auto"/>
            <w:vAlign w:val="center"/>
          </w:tcPr>
          <w:p w14:paraId="483FD9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477770F4">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4A5BE674">
            <w:pPr>
              <w:jc w:val="center"/>
              <w:rPr>
                <w:rFonts w:hint="default" w:ascii="Times New Roman" w:hAnsi="Times New Roman" w:eastAsia="仿宋_GB2312" w:cs="Times New Roman"/>
                <w:i w:val="0"/>
                <w:iCs w:val="0"/>
                <w:color w:val="auto"/>
                <w:sz w:val="22"/>
                <w:szCs w:val="22"/>
                <w:u w:val="none"/>
              </w:rPr>
            </w:pPr>
          </w:p>
        </w:tc>
      </w:tr>
      <w:tr w14:paraId="17419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2BE1DCD1">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3E14416E">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799F28B9">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2791261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应建立、实施满足GB/T 23331的能源管理体系，宜通过能源管理体系第三方认证。</w:t>
            </w:r>
          </w:p>
        </w:tc>
        <w:tc>
          <w:tcPr>
            <w:tcW w:w="353" w:type="pct"/>
            <w:tcBorders>
              <w:tl2br w:val="nil"/>
              <w:tr2bl w:val="nil"/>
            </w:tcBorders>
            <w:shd w:val="clear" w:color="auto" w:fill="auto"/>
            <w:vAlign w:val="center"/>
          </w:tcPr>
          <w:p w14:paraId="2B19B8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6EB8CA0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98D51DD">
            <w:pPr>
              <w:jc w:val="center"/>
              <w:rPr>
                <w:rFonts w:hint="default" w:ascii="Times New Roman" w:hAnsi="Times New Roman" w:eastAsia="仿宋_GB2312" w:cs="Times New Roman"/>
                <w:i w:val="0"/>
                <w:iCs w:val="0"/>
                <w:color w:val="auto"/>
                <w:sz w:val="22"/>
                <w:szCs w:val="22"/>
                <w:u w:val="none"/>
              </w:rPr>
            </w:pPr>
          </w:p>
        </w:tc>
      </w:tr>
      <w:tr w14:paraId="0D036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7A7763E9">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3E338BA9">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CF14765">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noWrap/>
            <w:vAlign w:val="center"/>
          </w:tcPr>
          <w:p w14:paraId="40C4EFB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宜建立、实施满足GB/T 19022的测量管理体系。</w:t>
            </w:r>
          </w:p>
        </w:tc>
        <w:tc>
          <w:tcPr>
            <w:tcW w:w="353" w:type="pct"/>
            <w:tcBorders>
              <w:tl2br w:val="nil"/>
              <w:tr2bl w:val="nil"/>
            </w:tcBorders>
            <w:shd w:val="clear" w:color="auto" w:fill="auto"/>
            <w:vAlign w:val="center"/>
          </w:tcPr>
          <w:p w14:paraId="6A85D8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475" w:type="pct"/>
            <w:vMerge w:val="continue"/>
            <w:tcBorders>
              <w:tl2br w:val="nil"/>
              <w:tr2bl w:val="nil"/>
            </w:tcBorders>
            <w:shd w:val="clear" w:color="auto" w:fill="auto"/>
            <w:vAlign w:val="center"/>
          </w:tcPr>
          <w:p w14:paraId="7E2552A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E6B0A01">
            <w:pPr>
              <w:jc w:val="center"/>
              <w:rPr>
                <w:rFonts w:hint="default" w:ascii="Times New Roman" w:hAnsi="Times New Roman" w:eastAsia="仿宋_GB2312" w:cs="Times New Roman"/>
                <w:i w:val="0"/>
                <w:iCs w:val="0"/>
                <w:color w:val="auto"/>
                <w:sz w:val="22"/>
                <w:szCs w:val="22"/>
                <w:u w:val="none"/>
              </w:rPr>
            </w:pPr>
          </w:p>
        </w:tc>
      </w:tr>
      <w:tr w14:paraId="7BDF3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19019AE6">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8F1D419">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2B87E51C">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E5072B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宜建立、实施规范的碳排放管理体系或温室气体管理体系。</w:t>
            </w:r>
          </w:p>
        </w:tc>
        <w:tc>
          <w:tcPr>
            <w:tcW w:w="353" w:type="pct"/>
            <w:tcBorders>
              <w:tl2br w:val="nil"/>
              <w:tr2bl w:val="nil"/>
            </w:tcBorders>
            <w:shd w:val="clear" w:color="auto" w:fill="auto"/>
            <w:vAlign w:val="center"/>
          </w:tcPr>
          <w:p w14:paraId="31109B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2078AC00">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64BA808">
            <w:pPr>
              <w:jc w:val="center"/>
              <w:rPr>
                <w:rFonts w:hint="default" w:ascii="Times New Roman" w:hAnsi="Times New Roman" w:eastAsia="仿宋_GB2312" w:cs="Times New Roman"/>
                <w:i w:val="0"/>
                <w:iCs w:val="0"/>
                <w:color w:val="auto"/>
                <w:sz w:val="22"/>
                <w:szCs w:val="22"/>
                <w:u w:val="none"/>
              </w:rPr>
            </w:pPr>
          </w:p>
        </w:tc>
      </w:tr>
      <w:tr w14:paraId="4B87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F39E737">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182C669">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72702C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智能管理</w:t>
            </w:r>
          </w:p>
        </w:tc>
        <w:tc>
          <w:tcPr>
            <w:tcW w:w="2599" w:type="pct"/>
            <w:tcBorders>
              <w:tl2br w:val="nil"/>
              <w:tr2bl w:val="nil"/>
            </w:tcBorders>
            <w:shd w:val="clear" w:color="auto" w:fill="auto"/>
            <w:vAlign w:val="center"/>
          </w:tcPr>
          <w:p w14:paraId="0161112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宜建有能源管理系统。</w:t>
            </w:r>
          </w:p>
        </w:tc>
        <w:tc>
          <w:tcPr>
            <w:tcW w:w="353" w:type="pct"/>
            <w:tcBorders>
              <w:tl2br w:val="nil"/>
              <w:tr2bl w:val="nil"/>
            </w:tcBorders>
            <w:shd w:val="clear" w:color="auto" w:fill="auto"/>
            <w:vAlign w:val="center"/>
          </w:tcPr>
          <w:p w14:paraId="33880B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6</w:t>
            </w:r>
          </w:p>
        </w:tc>
        <w:tc>
          <w:tcPr>
            <w:tcW w:w="475" w:type="pct"/>
            <w:vMerge w:val="continue"/>
            <w:tcBorders>
              <w:tl2br w:val="nil"/>
              <w:tr2bl w:val="nil"/>
            </w:tcBorders>
            <w:shd w:val="clear" w:color="auto" w:fill="auto"/>
            <w:vAlign w:val="center"/>
          </w:tcPr>
          <w:p w14:paraId="5E6C3D80">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4869879">
            <w:pPr>
              <w:jc w:val="center"/>
              <w:rPr>
                <w:rFonts w:hint="default" w:ascii="Times New Roman" w:hAnsi="Times New Roman" w:eastAsia="仿宋_GB2312" w:cs="Times New Roman"/>
                <w:i w:val="0"/>
                <w:iCs w:val="0"/>
                <w:color w:val="auto"/>
                <w:sz w:val="22"/>
                <w:szCs w:val="22"/>
                <w:u w:val="none"/>
              </w:rPr>
            </w:pPr>
          </w:p>
        </w:tc>
      </w:tr>
      <w:tr w14:paraId="3A772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6C1D37B1">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E72BECF">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89C27C9">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732B71B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宜建有碳排放管理系统。</w:t>
            </w:r>
          </w:p>
        </w:tc>
        <w:tc>
          <w:tcPr>
            <w:tcW w:w="353" w:type="pct"/>
            <w:tcBorders>
              <w:tl2br w:val="nil"/>
              <w:tr2bl w:val="nil"/>
            </w:tcBorders>
            <w:shd w:val="clear" w:color="auto" w:fill="auto"/>
            <w:vAlign w:val="center"/>
          </w:tcPr>
          <w:p w14:paraId="739AC8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0BD781B8">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9D47BCB">
            <w:pPr>
              <w:jc w:val="center"/>
              <w:rPr>
                <w:rFonts w:hint="default" w:ascii="Times New Roman" w:hAnsi="Times New Roman" w:eastAsia="仿宋_GB2312" w:cs="Times New Roman"/>
                <w:i w:val="0"/>
                <w:iCs w:val="0"/>
                <w:color w:val="auto"/>
                <w:sz w:val="22"/>
                <w:szCs w:val="22"/>
                <w:u w:val="none"/>
              </w:rPr>
            </w:pPr>
          </w:p>
        </w:tc>
      </w:tr>
      <w:tr w14:paraId="6800E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765580CE">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BB2F146">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01B8B1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信息公开</w:t>
            </w:r>
          </w:p>
        </w:tc>
        <w:tc>
          <w:tcPr>
            <w:tcW w:w="2599" w:type="pct"/>
            <w:tcBorders>
              <w:tl2br w:val="nil"/>
              <w:tr2bl w:val="nil"/>
            </w:tcBorders>
            <w:shd w:val="clear" w:color="auto" w:fill="auto"/>
            <w:vAlign w:val="center"/>
          </w:tcPr>
          <w:p w14:paraId="0A61D22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应按年度发布社会责任报告或ESG报告。</w:t>
            </w:r>
          </w:p>
        </w:tc>
        <w:tc>
          <w:tcPr>
            <w:tcW w:w="353" w:type="pct"/>
            <w:tcBorders>
              <w:tl2br w:val="nil"/>
              <w:tr2bl w:val="nil"/>
            </w:tcBorders>
            <w:shd w:val="clear" w:color="auto" w:fill="auto"/>
            <w:vAlign w:val="center"/>
          </w:tcPr>
          <w:p w14:paraId="4BDB77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475" w:type="pct"/>
            <w:vMerge w:val="continue"/>
            <w:tcBorders>
              <w:tl2br w:val="nil"/>
              <w:tr2bl w:val="nil"/>
            </w:tcBorders>
            <w:shd w:val="clear" w:color="auto" w:fill="auto"/>
            <w:vAlign w:val="center"/>
          </w:tcPr>
          <w:p w14:paraId="6FC35605">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3275BD2">
            <w:pPr>
              <w:jc w:val="center"/>
              <w:rPr>
                <w:rFonts w:hint="default" w:ascii="Times New Roman" w:hAnsi="Times New Roman" w:eastAsia="仿宋_GB2312" w:cs="Times New Roman"/>
                <w:i w:val="0"/>
                <w:iCs w:val="0"/>
                <w:color w:val="auto"/>
                <w:sz w:val="22"/>
                <w:szCs w:val="22"/>
                <w:u w:val="none"/>
              </w:rPr>
            </w:pPr>
          </w:p>
        </w:tc>
      </w:tr>
      <w:tr w14:paraId="26AC7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4DFEBB0">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6EA1394">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B8F5E82">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47E9345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应按年度公开碳排放数据。</w:t>
            </w:r>
          </w:p>
        </w:tc>
        <w:tc>
          <w:tcPr>
            <w:tcW w:w="353" w:type="pct"/>
            <w:tcBorders>
              <w:tl2br w:val="nil"/>
              <w:tr2bl w:val="nil"/>
            </w:tcBorders>
            <w:shd w:val="clear" w:color="auto" w:fill="auto"/>
            <w:vAlign w:val="center"/>
          </w:tcPr>
          <w:p w14:paraId="6C9A9B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475" w:type="pct"/>
            <w:vMerge w:val="continue"/>
            <w:tcBorders>
              <w:tl2br w:val="nil"/>
              <w:tr2bl w:val="nil"/>
            </w:tcBorders>
            <w:shd w:val="clear" w:color="auto" w:fill="auto"/>
            <w:vAlign w:val="center"/>
          </w:tcPr>
          <w:p w14:paraId="1421F90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0F4838A">
            <w:pPr>
              <w:jc w:val="center"/>
              <w:rPr>
                <w:rFonts w:hint="default" w:ascii="Times New Roman" w:hAnsi="Times New Roman" w:eastAsia="仿宋_GB2312" w:cs="Times New Roman"/>
                <w:i w:val="0"/>
                <w:iCs w:val="0"/>
                <w:color w:val="auto"/>
                <w:sz w:val="22"/>
                <w:szCs w:val="22"/>
                <w:u w:val="none"/>
              </w:rPr>
            </w:pPr>
          </w:p>
        </w:tc>
      </w:tr>
      <w:tr w14:paraId="6060B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restart"/>
            <w:tcBorders>
              <w:tl2br w:val="nil"/>
              <w:tr2bl w:val="nil"/>
            </w:tcBorders>
            <w:shd w:val="clear" w:color="auto" w:fill="auto"/>
            <w:vAlign w:val="center"/>
          </w:tcPr>
          <w:p w14:paraId="713A16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439" w:type="pct"/>
            <w:vMerge w:val="restart"/>
            <w:tcBorders>
              <w:tl2br w:val="nil"/>
              <w:tr2bl w:val="nil"/>
            </w:tcBorders>
            <w:shd w:val="clear" w:color="auto" w:fill="auto"/>
            <w:vAlign w:val="center"/>
          </w:tcPr>
          <w:p w14:paraId="0303EC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节能降碳</w:t>
            </w:r>
          </w:p>
        </w:tc>
        <w:tc>
          <w:tcPr>
            <w:tcW w:w="408" w:type="pct"/>
            <w:tcBorders>
              <w:tl2br w:val="nil"/>
              <w:tr2bl w:val="nil"/>
            </w:tcBorders>
            <w:shd w:val="clear" w:color="auto" w:fill="auto"/>
            <w:vAlign w:val="center"/>
          </w:tcPr>
          <w:p w14:paraId="6244444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低碳零碳能源利用</w:t>
            </w:r>
          </w:p>
        </w:tc>
        <w:tc>
          <w:tcPr>
            <w:tcW w:w="2599" w:type="pct"/>
            <w:tcBorders>
              <w:tl2br w:val="nil"/>
              <w:tr2bl w:val="nil"/>
            </w:tcBorders>
            <w:shd w:val="clear" w:color="auto" w:fill="auto"/>
            <w:vAlign w:val="center"/>
          </w:tcPr>
          <w:p w14:paraId="2B5FCD4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宜使用太阳能、风能、水能、生物质能、地热能、核能等低碳零碳能源。</w:t>
            </w:r>
          </w:p>
        </w:tc>
        <w:tc>
          <w:tcPr>
            <w:tcW w:w="353" w:type="pct"/>
            <w:tcBorders>
              <w:tl2br w:val="nil"/>
              <w:tr2bl w:val="nil"/>
            </w:tcBorders>
            <w:shd w:val="clear" w:color="auto" w:fill="auto"/>
            <w:vAlign w:val="center"/>
          </w:tcPr>
          <w:p w14:paraId="473DE8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restart"/>
            <w:tcBorders>
              <w:tl2br w:val="nil"/>
              <w:tr2bl w:val="nil"/>
            </w:tcBorders>
            <w:shd w:val="clear" w:color="auto" w:fill="auto"/>
            <w:vAlign w:val="center"/>
          </w:tcPr>
          <w:p w14:paraId="33C83F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30 </w:t>
            </w:r>
          </w:p>
        </w:tc>
        <w:tc>
          <w:tcPr>
            <w:tcW w:w="364" w:type="pct"/>
            <w:tcBorders>
              <w:tl2br w:val="nil"/>
              <w:tr2bl w:val="nil"/>
            </w:tcBorders>
            <w:shd w:val="clear" w:color="auto" w:fill="auto"/>
            <w:vAlign w:val="center"/>
          </w:tcPr>
          <w:p w14:paraId="1C5CA341">
            <w:pPr>
              <w:jc w:val="center"/>
              <w:rPr>
                <w:rFonts w:hint="default" w:ascii="Times New Roman" w:hAnsi="Times New Roman" w:eastAsia="仿宋_GB2312" w:cs="Times New Roman"/>
                <w:i w:val="0"/>
                <w:iCs w:val="0"/>
                <w:color w:val="auto"/>
                <w:sz w:val="22"/>
                <w:szCs w:val="22"/>
                <w:u w:val="none"/>
              </w:rPr>
            </w:pPr>
          </w:p>
        </w:tc>
      </w:tr>
      <w:tr w14:paraId="7D365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C2697AD">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2BC7D0C">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3FF22D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节能降碳措施</w:t>
            </w:r>
          </w:p>
        </w:tc>
        <w:tc>
          <w:tcPr>
            <w:tcW w:w="2599" w:type="pct"/>
            <w:tcBorders>
              <w:tl2br w:val="nil"/>
              <w:tr2bl w:val="nil"/>
            </w:tcBorders>
            <w:shd w:val="clear" w:color="auto" w:fill="auto"/>
            <w:vAlign w:val="center"/>
          </w:tcPr>
          <w:p w14:paraId="56AE33E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生产线应使用先进适用的工艺技术。</w:t>
            </w:r>
          </w:p>
        </w:tc>
        <w:tc>
          <w:tcPr>
            <w:tcW w:w="353" w:type="pct"/>
            <w:tcBorders>
              <w:tl2br w:val="nil"/>
              <w:tr2bl w:val="nil"/>
            </w:tcBorders>
            <w:shd w:val="clear" w:color="auto" w:fill="auto"/>
            <w:vAlign w:val="center"/>
          </w:tcPr>
          <w:p w14:paraId="33F011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68687EE1">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46AB6D47">
            <w:pPr>
              <w:jc w:val="center"/>
              <w:rPr>
                <w:rFonts w:hint="default" w:ascii="Times New Roman" w:hAnsi="Times New Roman" w:eastAsia="仿宋_GB2312" w:cs="Times New Roman"/>
                <w:i w:val="0"/>
                <w:iCs w:val="0"/>
                <w:color w:val="auto"/>
                <w:sz w:val="22"/>
                <w:szCs w:val="22"/>
                <w:u w:val="none"/>
              </w:rPr>
            </w:pPr>
          </w:p>
        </w:tc>
      </w:tr>
      <w:tr w14:paraId="54C8D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16F8720E">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522F1F1">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B9F3E54">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CC8629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适用时，宜通过原燃料替代减少碳排放。</w:t>
            </w:r>
          </w:p>
        </w:tc>
        <w:tc>
          <w:tcPr>
            <w:tcW w:w="353" w:type="pct"/>
            <w:tcBorders>
              <w:tl2br w:val="nil"/>
              <w:tr2bl w:val="nil"/>
            </w:tcBorders>
            <w:shd w:val="clear" w:color="auto" w:fill="auto"/>
            <w:vAlign w:val="center"/>
          </w:tcPr>
          <w:p w14:paraId="00423B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7FC61CB1">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8280768">
            <w:pPr>
              <w:jc w:val="center"/>
              <w:rPr>
                <w:rFonts w:hint="default" w:ascii="Times New Roman" w:hAnsi="Times New Roman" w:eastAsia="仿宋_GB2312" w:cs="Times New Roman"/>
                <w:i w:val="0"/>
                <w:iCs w:val="0"/>
                <w:color w:val="auto"/>
                <w:sz w:val="22"/>
                <w:szCs w:val="22"/>
                <w:u w:val="none"/>
              </w:rPr>
            </w:pPr>
          </w:p>
        </w:tc>
      </w:tr>
      <w:tr w14:paraId="0B3C2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690320BB">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A5E45AD">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ABF0852">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7236EB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适用时，宜利用余热余压。</w:t>
            </w:r>
          </w:p>
        </w:tc>
        <w:tc>
          <w:tcPr>
            <w:tcW w:w="353" w:type="pct"/>
            <w:tcBorders>
              <w:tl2br w:val="nil"/>
              <w:tr2bl w:val="nil"/>
            </w:tcBorders>
            <w:shd w:val="clear" w:color="auto" w:fill="auto"/>
            <w:vAlign w:val="center"/>
          </w:tcPr>
          <w:p w14:paraId="6F23E4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3D37445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05AB3BC">
            <w:pPr>
              <w:jc w:val="center"/>
              <w:rPr>
                <w:rFonts w:hint="default" w:ascii="Times New Roman" w:hAnsi="Times New Roman" w:eastAsia="仿宋_GB2312" w:cs="Times New Roman"/>
                <w:i w:val="0"/>
                <w:iCs w:val="0"/>
                <w:color w:val="auto"/>
                <w:sz w:val="22"/>
                <w:szCs w:val="22"/>
                <w:u w:val="none"/>
              </w:rPr>
            </w:pPr>
          </w:p>
        </w:tc>
      </w:tr>
      <w:tr w14:paraId="67657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2D7B5D03">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3F2BA5D">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7029ADF6">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77F5BDA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宜实施技术工艺升级、用能设备更新等节能降碳改造。</w:t>
            </w:r>
          </w:p>
        </w:tc>
        <w:tc>
          <w:tcPr>
            <w:tcW w:w="353" w:type="pct"/>
            <w:tcBorders>
              <w:tl2br w:val="nil"/>
              <w:tr2bl w:val="nil"/>
            </w:tcBorders>
            <w:shd w:val="clear" w:color="auto" w:fill="auto"/>
            <w:vAlign w:val="center"/>
          </w:tcPr>
          <w:p w14:paraId="02637B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4C648BB3">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A34D4CC">
            <w:pPr>
              <w:jc w:val="center"/>
              <w:rPr>
                <w:rFonts w:hint="default" w:ascii="Times New Roman" w:hAnsi="Times New Roman" w:eastAsia="仿宋_GB2312" w:cs="Times New Roman"/>
                <w:i w:val="0"/>
                <w:iCs w:val="0"/>
                <w:color w:val="auto"/>
                <w:sz w:val="22"/>
                <w:szCs w:val="22"/>
                <w:u w:val="none"/>
              </w:rPr>
            </w:pPr>
          </w:p>
        </w:tc>
      </w:tr>
      <w:tr w14:paraId="7E580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6E6B831">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B33B846">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114E40A1">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6DC4245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宜实施屋顶光伏或建筑光伏一体化。</w:t>
            </w:r>
          </w:p>
        </w:tc>
        <w:tc>
          <w:tcPr>
            <w:tcW w:w="353" w:type="pct"/>
            <w:tcBorders>
              <w:tl2br w:val="nil"/>
              <w:tr2bl w:val="nil"/>
            </w:tcBorders>
            <w:shd w:val="clear" w:color="auto" w:fill="auto"/>
            <w:vAlign w:val="center"/>
          </w:tcPr>
          <w:p w14:paraId="19163E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6578F77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CB8A5CC">
            <w:pPr>
              <w:jc w:val="center"/>
              <w:rPr>
                <w:rFonts w:hint="default" w:ascii="Times New Roman" w:hAnsi="Times New Roman" w:eastAsia="仿宋_GB2312" w:cs="Times New Roman"/>
                <w:i w:val="0"/>
                <w:iCs w:val="0"/>
                <w:color w:val="auto"/>
                <w:sz w:val="22"/>
                <w:szCs w:val="22"/>
                <w:u w:val="none"/>
              </w:rPr>
            </w:pPr>
          </w:p>
        </w:tc>
      </w:tr>
      <w:tr w14:paraId="15ADF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B7F2D0E">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E7E51C6">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6303B483">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1D89569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宜使用低碳、零碳、负碳技术。</w:t>
            </w:r>
          </w:p>
        </w:tc>
        <w:tc>
          <w:tcPr>
            <w:tcW w:w="353" w:type="pct"/>
            <w:tcBorders>
              <w:tl2br w:val="nil"/>
              <w:tr2bl w:val="nil"/>
            </w:tcBorders>
            <w:shd w:val="clear" w:color="auto" w:fill="auto"/>
            <w:vAlign w:val="center"/>
          </w:tcPr>
          <w:p w14:paraId="517300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2219A5E7">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5BA3CB00">
            <w:pPr>
              <w:jc w:val="center"/>
              <w:rPr>
                <w:rFonts w:hint="default" w:ascii="Times New Roman" w:hAnsi="Times New Roman" w:eastAsia="仿宋_GB2312" w:cs="Times New Roman"/>
                <w:i w:val="0"/>
                <w:iCs w:val="0"/>
                <w:color w:val="auto"/>
                <w:sz w:val="22"/>
                <w:szCs w:val="22"/>
                <w:u w:val="none"/>
              </w:rPr>
            </w:pPr>
          </w:p>
        </w:tc>
      </w:tr>
      <w:tr w14:paraId="43FBE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75DCA5B0">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82B38FF">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1BD426A7">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281AFB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宜使用工业绿色微电网技术。</w:t>
            </w:r>
          </w:p>
        </w:tc>
        <w:tc>
          <w:tcPr>
            <w:tcW w:w="353" w:type="pct"/>
            <w:tcBorders>
              <w:tl2br w:val="nil"/>
              <w:tr2bl w:val="nil"/>
            </w:tcBorders>
            <w:shd w:val="clear" w:color="auto" w:fill="auto"/>
            <w:vAlign w:val="center"/>
          </w:tcPr>
          <w:p w14:paraId="64BD90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5D4878DB">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1FE37F5">
            <w:pPr>
              <w:jc w:val="center"/>
              <w:rPr>
                <w:rFonts w:hint="default" w:ascii="Times New Roman" w:hAnsi="Times New Roman" w:eastAsia="仿宋_GB2312" w:cs="Times New Roman"/>
                <w:i w:val="0"/>
                <w:iCs w:val="0"/>
                <w:color w:val="auto"/>
                <w:sz w:val="22"/>
                <w:szCs w:val="22"/>
                <w:u w:val="none"/>
              </w:rPr>
            </w:pPr>
          </w:p>
        </w:tc>
      </w:tr>
      <w:tr w14:paraId="3B5F4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1E08E0DA">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69BD713">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7A2361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w:t>
            </w:r>
          </w:p>
        </w:tc>
        <w:tc>
          <w:tcPr>
            <w:tcW w:w="2599" w:type="pct"/>
            <w:tcBorders>
              <w:tl2br w:val="nil"/>
              <w:tr2bl w:val="nil"/>
            </w:tcBorders>
            <w:shd w:val="clear" w:color="auto" w:fill="auto"/>
            <w:vAlign w:val="center"/>
          </w:tcPr>
          <w:p w14:paraId="0D05EE4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通过自主实施可再生能源项目、购买使用绿色电力、购买绿证、购买国家核证自愿减排量(CCER)等方式实现碳抵消。</w:t>
            </w:r>
          </w:p>
        </w:tc>
        <w:tc>
          <w:tcPr>
            <w:tcW w:w="353" w:type="pct"/>
            <w:tcBorders>
              <w:tl2br w:val="nil"/>
              <w:tr2bl w:val="nil"/>
            </w:tcBorders>
            <w:shd w:val="clear" w:color="auto" w:fill="auto"/>
            <w:vAlign w:val="center"/>
          </w:tcPr>
          <w:p w14:paraId="2FE251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58E4457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99243A6">
            <w:pPr>
              <w:jc w:val="center"/>
              <w:rPr>
                <w:rFonts w:hint="default" w:ascii="Times New Roman" w:hAnsi="Times New Roman" w:eastAsia="仿宋_GB2312" w:cs="Times New Roman"/>
                <w:i w:val="0"/>
                <w:iCs w:val="0"/>
                <w:color w:val="auto"/>
                <w:sz w:val="22"/>
                <w:szCs w:val="22"/>
                <w:u w:val="none"/>
              </w:rPr>
            </w:pPr>
          </w:p>
        </w:tc>
      </w:tr>
      <w:tr w14:paraId="1AC5A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restart"/>
            <w:tcBorders>
              <w:tl2br w:val="nil"/>
              <w:tr2bl w:val="nil"/>
            </w:tcBorders>
            <w:shd w:val="clear" w:color="auto" w:fill="auto"/>
            <w:vAlign w:val="center"/>
          </w:tcPr>
          <w:p w14:paraId="5BE328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439" w:type="pct"/>
            <w:vMerge w:val="restart"/>
            <w:tcBorders>
              <w:tl2br w:val="nil"/>
              <w:tr2bl w:val="nil"/>
            </w:tcBorders>
            <w:shd w:val="clear" w:color="auto" w:fill="auto"/>
            <w:vAlign w:val="center"/>
          </w:tcPr>
          <w:p w14:paraId="6A4D9D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污染防治</w:t>
            </w:r>
          </w:p>
        </w:tc>
        <w:tc>
          <w:tcPr>
            <w:tcW w:w="408" w:type="pct"/>
            <w:tcBorders>
              <w:tl2br w:val="nil"/>
              <w:tr2bl w:val="nil"/>
            </w:tcBorders>
            <w:shd w:val="clear" w:color="auto" w:fill="auto"/>
            <w:vAlign w:val="center"/>
          </w:tcPr>
          <w:p w14:paraId="794237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环保投入</w:t>
            </w:r>
          </w:p>
        </w:tc>
        <w:tc>
          <w:tcPr>
            <w:tcW w:w="2599" w:type="pct"/>
            <w:tcBorders>
              <w:tl2br w:val="nil"/>
              <w:tr2bl w:val="nil"/>
            </w:tcBorders>
            <w:shd w:val="clear" w:color="auto" w:fill="auto"/>
            <w:vAlign w:val="center"/>
          </w:tcPr>
          <w:p w14:paraId="28ACFEF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应投入、建设适宜的污染物处理设施设备、监测设备等。</w:t>
            </w:r>
          </w:p>
        </w:tc>
        <w:tc>
          <w:tcPr>
            <w:tcW w:w="353" w:type="pct"/>
            <w:tcBorders>
              <w:tl2br w:val="nil"/>
              <w:tr2bl w:val="nil"/>
            </w:tcBorders>
            <w:shd w:val="clear" w:color="auto" w:fill="auto"/>
            <w:vAlign w:val="center"/>
          </w:tcPr>
          <w:p w14:paraId="6F0BC6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restart"/>
            <w:tcBorders>
              <w:tl2br w:val="nil"/>
              <w:tr2bl w:val="nil"/>
            </w:tcBorders>
            <w:shd w:val="clear" w:color="auto" w:fill="auto"/>
            <w:vAlign w:val="center"/>
          </w:tcPr>
          <w:p w14:paraId="2F1B74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 </w:t>
            </w:r>
          </w:p>
        </w:tc>
        <w:tc>
          <w:tcPr>
            <w:tcW w:w="364" w:type="pct"/>
            <w:tcBorders>
              <w:tl2br w:val="nil"/>
              <w:tr2bl w:val="nil"/>
            </w:tcBorders>
            <w:shd w:val="clear" w:color="auto" w:fill="auto"/>
            <w:vAlign w:val="center"/>
          </w:tcPr>
          <w:p w14:paraId="548E7EC4">
            <w:pPr>
              <w:jc w:val="center"/>
              <w:rPr>
                <w:rFonts w:hint="default" w:ascii="Times New Roman" w:hAnsi="Times New Roman" w:eastAsia="仿宋_GB2312" w:cs="Times New Roman"/>
                <w:i w:val="0"/>
                <w:iCs w:val="0"/>
                <w:color w:val="auto"/>
                <w:sz w:val="22"/>
                <w:szCs w:val="22"/>
                <w:u w:val="none"/>
              </w:rPr>
            </w:pPr>
          </w:p>
        </w:tc>
      </w:tr>
      <w:tr w14:paraId="0A036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4E471A4C">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0226634">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0A6CD4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环境排放</w:t>
            </w:r>
          </w:p>
        </w:tc>
        <w:tc>
          <w:tcPr>
            <w:tcW w:w="2599" w:type="pct"/>
            <w:tcBorders>
              <w:tl2br w:val="nil"/>
              <w:tr2bl w:val="nil"/>
            </w:tcBorders>
            <w:shd w:val="clear" w:color="auto" w:fill="auto"/>
            <w:vAlign w:val="center"/>
          </w:tcPr>
          <w:p w14:paraId="6D06DAD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大气污染物排放应符合相关国家标准、行业标准及地方标准的要求。</w:t>
            </w:r>
          </w:p>
        </w:tc>
        <w:tc>
          <w:tcPr>
            <w:tcW w:w="353" w:type="pct"/>
            <w:tcBorders>
              <w:tl2br w:val="nil"/>
              <w:tr2bl w:val="nil"/>
            </w:tcBorders>
            <w:shd w:val="clear" w:color="auto" w:fill="auto"/>
            <w:vAlign w:val="center"/>
          </w:tcPr>
          <w:p w14:paraId="7AF0C2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7E42C179">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8C65D59">
            <w:pPr>
              <w:jc w:val="center"/>
              <w:rPr>
                <w:rFonts w:hint="default" w:ascii="Times New Roman" w:hAnsi="Times New Roman" w:eastAsia="仿宋_GB2312" w:cs="Times New Roman"/>
                <w:i w:val="0"/>
                <w:iCs w:val="0"/>
                <w:color w:val="auto"/>
                <w:sz w:val="22"/>
                <w:szCs w:val="22"/>
                <w:u w:val="none"/>
              </w:rPr>
            </w:pPr>
          </w:p>
        </w:tc>
      </w:tr>
      <w:tr w14:paraId="71D3F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299DAA83">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06AA2BE">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6854F722">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3BBB34D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水体污染物排放应符合相关国家标准、行业标准及地方标准的要求。</w:t>
            </w:r>
          </w:p>
        </w:tc>
        <w:tc>
          <w:tcPr>
            <w:tcW w:w="353" w:type="pct"/>
            <w:tcBorders>
              <w:tl2br w:val="nil"/>
              <w:tr2bl w:val="nil"/>
            </w:tcBorders>
            <w:shd w:val="clear" w:color="auto" w:fill="auto"/>
            <w:vAlign w:val="center"/>
          </w:tcPr>
          <w:p w14:paraId="33E815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0003953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4645944">
            <w:pPr>
              <w:jc w:val="center"/>
              <w:rPr>
                <w:rFonts w:hint="default" w:ascii="Times New Roman" w:hAnsi="Times New Roman" w:eastAsia="仿宋_GB2312" w:cs="Times New Roman"/>
                <w:i w:val="0"/>
                <w:iCs w:val="0"/>
                <w:color w:val="auto"/>
                <w:sz w:val="22"/>
                <w:szCs w:val="22"/>
                <w:u w:val="none"/>
              </w:rPr>
            </w:pPr>
          </w:p>
        </w:tc>
      </w:tr>
      <w:tr w14:paraId="21576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5CE92A33">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E5224D7">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3CAADDF9">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574677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厂界环境噪声排放应符合相关国家标准、行业标准及地方标准的要求。</w:t>
            </w:r>
          </w:p>
        </w:tc>
        <w:tc>
          <w:tcPr>
            <w:tcW w:w="353" w:type="pct"/>
            <w:tcBorders>
              <w:tl2br w:val="nil"/>
              <w:tr2bl w:val="nil"/>
            </w:tcBorders>
            <w:shd w:val="clear" w:color="auto" w:fill="auto"/>
            <w:vAlign w:val="center"/>
          </w:tcPr>
          <w:p w14:paraId="6DDEB2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13F590DB">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2D46292">
            <w:pPr>
              <w:jc w:val="center"/>
              <w:rPr>
                <w:rFonts w:hint="default" w:ascii="Times New Roman" w:hAnsi="Times New Roman" w:eastAsia="仿宋_GB2312" w:cs="Times New Roman"/>
                <w:i w:val="0"/>
                <w:iCs w:val="0"/>
                <w:color w:val="auto"/>
                <w:sz w:val="22"/>
                <w:szCs w:val="22"/>
                <w:u w:val="none"/>
              </w:rPr>
            </w:pPr>
          </w:p>
        </w:tc>
      </w:tr>
      <w:tr w14:paraId="1E23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12BAB44D">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BAB0B92">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C8969C7">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4323405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适用时，大气污染物排放宜符合超低排放要求。</w:t>
            </w:r>
          </w:p>
        </w:tc>
        <w:tc>
          <w:tcPr>
            <w:tcW w:w="353" w:type="pct"/>
            <w:tcBorders>
              <w:tl2br w:val="nil"/>
              <w:tr2bl w:val="nil"/>
            </w:tcBorders>
            <w:shd w:val="clear" w:color="auto" w:fill="auto"/>
            <w:vAlign w:val="center"/>
          </w:tcPr>
          <w:p w14:paraId="3CA2F3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475" w:type="pct"/>
            <w:vMerge w:val="continue"/>
            <w:tcBorders>
              <w:tl2br w:val="nil"/>
              <w:tr2bl w:val="nil"/>
            </w:tcBorders>
            <w:shd w:val="clear" w:color="auto" w:fill="auto"/>
            <w:vAlign w:val="center"/>
          </w:tcPr>
          <w:p w14:paraId="4CE2802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974959F">
            <w:pPr>
              <w:jc w:val="center"/>
              <w:rPr>
                <w:rFonts w:hint="default" w:ascii="Times New Roman" w:hAnsi="Times New Roman" w:eastAsia="仿宋_GB2312" w:cs="Times New Roman"/>
                <w:i w:val="0"/>
                <w:iCs w:val="0"/>
                <w:color w:val="auto"/>
                <w:sz w:val="22"/>
                <w:szCs w:val="22"/>
                <w:u w:val="none"/>
              </w:rPr>
            </w:pPr>
          </w:p>
        </w:tc>
      </w:tr>
      <w:tr w14:paraId="3D30F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360" w:type="pct"/>
            <w:vMerge w:val="continue"/>
            <w:tcBorders>
              <w:tl2br w:val="nil"/>
              <w:tr2bl w:val="nil"/>
            </w:tcBorders>
            <w:shd w:val="clear" w:color="auto" w:fill="auto"/>
            <w:vAlign w:val="center"/>
          </w:tcPr>
          <w:p w14:paraId="5974A405">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750BA966">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8603A15">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7B5480E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产生的固体废弃物的处理应符合GB 18599及相关标准的要求，无法自行处理的，应转交给具备相应能力和资质的处理机构进行处理。</w:t>
            </w:r>
          </w:p>
        </w:tc>
        <w:tc>
          <w:tcPr>
            <w:tcW w:w="353" w:type="pct"/>
            <w:tcBorders>
              <w:tl2br w:val="nil"/>
              <w:tr2bl w:val="nil"/>
            </w:tcBorders>
            <w:shd w:val="clear" w:color="auto" w:fill="auto"/>
            <w:vAlign w:val="center"/>
          </w:tcPr>
          <w:p w14:paraId="2E13C1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38105C8B">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897F77B">
            <w:pPr>
              <w:jc w:val="center"/>
              <w:rPr>
                <w:rFonts w:hint="default" w:ascii="Times New Roman" w:hAnsi="Times New Roman" w:eastAsia="仿宋_GB2312" w:cs="Times New Roman"/>
                <w:i w:val="0"/>
                <w:iCs w:val="0"/>
                <w:color w:val="auto"/>
                <w:sz w:val="22"/>
                <w:szCs w:val="22"/>
                <w:u w:val="none"/>
              </w:rPr>
            </w:pPr>
          </w:p>
        </w:tc>
      </w:tr>
      <w:tr w14:paraId="11F8C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restart"/>
            <w:tcBorders>
              <w:tl2br w:val="nil"/>
              <w:tr2bl w:val="nil"/>
            </w:tcBorders>
            <w:shd w:val="clear" w:color="auto" w:fill="auto"/>
            <w:vAlign w:val="center"/>
          </w:tcPr>
          <w:p w14:paraId="6F9DD8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39" w:type="pct"/>
            <w:vMerge w:val="restart"/>
            <w:tcBorders>
              <w:tl2br w:val="nil"/>
              <w:tr2bl w:val="nil"/>
            </w:tcBorders>
            <w:shd w:val="clear" w:color="auto" w:fill="auto"/>
            <w:vAlign w:val="center"/>
          </w:tcPr>
          <w:p w14:paraId="7C29AE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绩效与持续改进</w:t>
            </w:r>
          </w:p>
        </w:tc>
        <w:tc>
          <w:tcPr>
            <w:tcW w:w="408" w:type="pct"/>
            <w:vMerge w:val="restart"/>
            <w:tcBorders>
              <w:tl2br w:val="nil"/>
              <w:tr2bl w:val="nil"/>
            </w:tcBorders>
            <w:shd w:val="clear" w:color="auto" w:fill="auto"/>
            <w:vAlign w:val="center"/>
          </w:tcPr>
          <w:p w14:paraId="16AF70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用地集约</w:t>
            </w:r>
          </w:p>
        </w:tc>
        <w:tc>
          <w:tcPr>
            <w:tcW w:w="2599" w:type="pct"/>
            <w:tcBorders>
              <w:tl2br w:val="nil"/>
              <w:tr2bl w:val="nil"/>
            </w:tcBorders>
            <w:shd w:val="clear" w:color="auto" w:fill="auto"/>
            <w:vAlign w:val="center"/>
          </w:tcPr>
          <w:p w14:paraId="39D2954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工厂单位用地面积产能（产值）应高于本省同类行业的平均水平。</w:t>
            </w:r>
          </w:p>
        </w:tc>
        <w:tc>
          <w:tcPr>
            <w:tcW w:w="353" w:type="pct"/>
            <w:tcBorders>
              <w:tl2br w:val="nil"/>
              <w:tr2bl w:val="nil"/>
            </w:tcBorders>
            <w:shd w:val="clear" w:color="auto" w:fill="auto"/>
            <w:vAlign w:val="center"/>
          </w:tcPr>
          <w:p w14:paraId="724F4E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restart"/>
            <w:tcBorders>
              <w:tl2br w:val="nil"/>
              <w:tr2bl w:val="nil"/>
            </w:tcBorders>
            <w:shd w:val="clear" w:color="auto" w:fill="auto"/>
            <w:vAlign w:val="center"/>
          </w:tcPr>
          <w:p w14:paraId="3D2DDC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30 </w:t>
            </w:r>
          </w:p>
        </w:tc>
        <w:tc>
          <w:tcPr>
            <w:tcW w:w="364" w:type="pct"/>
            <w:tcBorders>
              <w:tl2br w:val="nil"/>
              <w:tr2bl w:val="nil"/>
            </w:tcBorders>
            <w:shd w:val="clear" w:color="auto" w:fill="auto"/>
            <w:vAlign w:val="center"/>
          </w:tcPr>
          <w:p w14:paraId="663D36A8">
            <w:pPr>
              <w:jc w:val="center"/>
              <w:rPr>
                <w:rFonts w:hint="default" w:ascii="Times New Roman" w:hAnsi="Times New Roman" w:eastAsia="仿宋_GB2312" w:cs="Times New Roman"/>
                <w:i w:val="0"/>
                <w:iCs w:val="0"/>
                <w:color w:val="auto"/>
                <w:sz w:val="22"/>
                <w:szCs w:val="22"/>
                <w:u w:val="none"/>
              </w:rPr>
            </w:pPr>
          </w:p>
        </w:tc>
      </w:tr>
      <w:tr w14:paraId="0376C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26AD62A">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47AA9CB">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E0F563B">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F203C8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工厂容积率应不低于《工业项目建设用地控制指标》的要求。</w:t>
            </w:r>
          </w:p>
        </w:tc>
        <w:tc>
          <w:tcPr>
            <w:tcW w:w="353" w:type="pct"/>
            <w:tcBorders>
              <w:tl2br w:val="nil"/>
              <w:tr2bl w:val="nil"/>
            </w:tcBorders>
            <w:shd w:val="clear" w:color="auto" w:fill="auto"/>
            <w:vAlign w:val="center"/>
          </w:tcPr>
          <w:p w14:paraId="615C55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3EAD5C1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C5BDA1C">
            <w:pPr>
              <w:jc w:val="center"/>
              <w:rPr>
                <w:rFonts w:hint="default" w:ascii="Times New Roman" w:hAnsi="Times New Roman" w:eastAsia="仿宋_GB2312" w:cs="Times New Roman"/>
                <w:i w:val="0"/>
                <w:iCs w:val="0"/>
                <w:color w:val="auto"/>
                <w:sz w:val="22"/>
                <w:szCs w:val="22"/>
                <w:u w:val="none"/>
              </w:rPr>
            </w:pPr>
          </w:p>
        </w:tc>
      </w:tr>
      <w:tr w14:paraId="7E2F2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140D9DCA">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05DE6E0">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50DC83CE">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75C3BBA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工厂建筑密度应不低于《工业项目建设用地控制指标》的要求。</w:t>
            </w:r>
          </w:p>
        </w:tc>
        <w:tc>
          <w:tcPr>
            <w:tcW w:w="353" w:type="pct"/>
            <w:tcBorders>
              <w:tl2br w:val="nil"/>
              <w:tr2bl w:val="nil"/>
            </w:tcBorders>
            <w:shd w:val="clear" w:color="auto" w:fill="auto"/>
            <w:vAlign w:val="center"/>
          </w:tcPr>
          <w:p w14:paraId="3E4183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6EC4349F">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5708403">
            <w:pPr>
              <w:jc w:val="center"/>
              <w:rPr>
                <w:rFonts w:hint="default" w:ascii="Times New Roman" w:hAnsi="Times New Roman" w:eastAsia="仿宋_GB2312" w:cs="Times New Roman"/>
                <w:i w:val="0"/>
                <w:iCs w:val="0"/>
                <w:color w:val="auto"/>
                <w:sz w:val="22"/>
                <w:szCs w:val="22"/>
                <w:u w:val="none"/>
              </w:rPr>
            </w:pPr>
          </w:p>
        </w:tc>
      </w:tr>
      <w:tr w14:paraId="6F50D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03211A52">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60FF9DE">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4A84FF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资源利用</w:t>
            </w:r>
          </w:p>
        </w:tc>
        <w:tc>
          <w:tcPr>
            <w:tcW w:w="2599" w:type="pct"/>
            <w:tcBorders>
              <w:tl2br w:val="nil"/>
              <w:tr2bl w:val="nil"/>
            </w:tcBorders>
            <w:shd w:val="clear" w:color="auto" w:fill="auto"/>
            <w:vAlign w:val="center"/>
          </w:tcPr>
          <w:p w14:paraId="210401C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产品主要原材料消耗量应优于本省同类行业的平均水平。</w:t>
            </w:r>
          </w:p>
        </w:tc>
        <w:tc>
          <w:tcPr>
            <w:tcW w:w="353" w:type="pct"/>
            <w:tcBorders>
              <w:tl2br w:val="nil"/>
              <w:tr2bl w:val="nil"/>
            </w:tcBorders>
            <w:shd w:val="clear" w:color="auto" w:fill="auto"/>
            <w:vAlign w:val="center"/>
          </w:tcPr>
          <w:p w14:paraId="3E288A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7C26DC5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B789B9D">
            <w:pPr>
              <w:jc w:val="center"/>
              <w:rPr>
                <w:rFonts w:hint="default" w:ascii="Times New Roman" w:hAnsi="Times New Roman" w:eastAsia="仿宋_GB2312" w:cs="Times New Roman"/>
                <w:i w:val="0"/>
                <w:iCs w:val="0"/>
                <w:color w:val="auto"/>
                <w:sz w:val="22"/>
                <w:szCs w:val="22"/>
                <w:u w:val="none"/>
              </w:rPr>
            </w:pPr>
          </w:p>
        </w:tc>
      </w:tr>
      <w:tr w14:paraId="76EE7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68CA0C91">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1204379">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030CC8CE">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0F0A41E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固体废弃物应全部综合利用或处置，工业固体废物综合利用率应优于贵州省平均水平或行业水平（贵州省同类行业）。</w:t>
            </w:r>
          </w:p>
        </w:tc>
        <w:tc>
          <w:tcPr>
            <w:tcW w:w="353" w:type="pct"/>
            <w:tcBorders>
              <w:tl2br w:val="nil"/>
              <w:tr2bl w:val="nil"/>
            </w:tcBorders>
            <w:shd w:val="clear" w:color="auto" w:fill="auto"/>
            <w:vAlign w:val="center"/>
          </w:tcPr>
          <w:p w14:paraId="0B7202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60E907E9">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7A11E89">
            <w:pPr>
              <w:jc w:val="center"/>
              <w:rPr>
                <w:rFonts w:hint="default" w:ascii="Times New Roman" w:hAnsi="Times New Roman" w:eastAsia="仿宋_GB2312" w:cs="Times New Roman"/>
                <w:i w:val="0"/>
                <w:iCs w:val="0"/>
                <w:color w:val="auto"/>
                <w:sz w:val="22"/>
                <w:szCs w:val="22"/>
                <w:u w:val="none"/>
              </w:rPr>
            </w:pPr>
          </w:p>
        </w:tc>
      </w:tr>
      <w:tr w14:paraId="0536C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1C6E88A">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376FF16">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D2584B4">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22672A5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适用时，应计算产品的可回收利用率。</w:t>
            </w:r>
          </w:p>
        </w:tc>
        <w:tc>
          <w:tcPr>
            <w:tcW w:w="353" w:type="pct"/>
            <w:tcBorders>
              <w:tl2br w:val="nil"/>
              <w:tr2bl w:val="nil"/>
            </w:tcBorders>
            <w:shd w:val="clear" w:color="auto" w:fill="auto"/>
            <w:vAlign w:val="center"/>
          </w:tcPr>
          <w:p w14:paraId="70AC33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665D1D20">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6814EA4">
            <w:pPr>
              <w:jc w:val="center"/>
              <w:rPr>
                <w:rFonts w:hint="default" w:ascii="Times New Roman" w:hAnsi="Times New Roman" w:eastAsia="仿宋_GB2312" w:cs="Times New Roman"/>
                <w:i w:val="0"/>
                <w:iCs w:val="0"/>
                <w:color w:val="auto"/>
                <w:sz w:val="22"/>
                <w:szCs w:val="22"/>
                <w:u w:val="none"/>
              </w:rPr>
            </w:pPr>
          </w:p>
        </w:tc>
      </w:tr>
      <w:tr w14:paraId="5C13E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360" w:type="pct"/>
            <w:vMerge w:val="continue"/>
            <w:tcBorders>
              <w:tl2br w:val="nil"/>
              <w:tr2bl w:val="nil"/>
            </w:tcBorders>
            <w:shd w:val="clear" w:color="auto" w:fill="auto"/>
            <w:vAlign w:val="center"/>
          </w:tcPr>
          <w:p w14:paraId="0EE9D9F4">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B4EA1AF">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1482344E">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5531EE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废水处理回用率或非常规水利用率等水效指标应优于本省同类行业的平均水平。适用时，单位产品取水量应满足取水定额标准或节水型企业标准的要求。</w:t>
            </w:r>
          </w:p>
        </w:tc>
        <w:tc>
          <w:tcPr>
            <w:tcW w:w="353" w:type="pct"/>
            <w:tcBorders>
              <w:tl2br w:val="nil"/>
              <w:tr2bl w:val="nil"/>
            </w:tcBorders>
            <w:shd w:val="clear" w:color="auto" w:fill="auto"/>
            <w:vAlign w:val="center"/>
          </w:tcPr>
          <w:p w14:paraId="3F0EF3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1C8CD70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091B20EB">
            <w:pPr>
              <w:jc w:val="center"/>
              <w:rPr>
                <w:rFonts w:hint="default" w:ascii="Times New Roman" w:hAnsi="Times New Roman" w:eastAsia="仿宋_GB2312" w:cs="Times New Roman"/>
                <w:i w:val="0"/>
                <w:iCs w:val="0"/>
                <w:color w:val="auto"/>
                <w:sz w:val="22"/>
                <w:szCs w:val="22"/>
                <w:u w:val="none"/>
              </w:rPr>
            </w:pPr>
          </w:p>
        </w:tc>
      </w:tr>
      <w:tr w14:paraId="3B248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64297135">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95D3CE3">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5332BD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能源利用</w:t>
            </w:r>
          </w:p>
        </w:tc>
        <w:tc>
          <w:tcPr>
            <w:tcW w:w="2599" w:type="pct"/>
            <w:tcBorders>
              <w:tl2br w:val="nil"/>
              <w:tr2bl w:val="nil"/>
            </w:tcBorders>
            <w:shd w:val="clear" w:color="auto" w:fill="auto"/>
            <w:vAlign w:val="center"/>
          </w:tcPr>
          <w:p w14:paraId="7F62314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绿色电力消费量占电力消费总量比例不低于10%。</w:t>
            </w:r>
          </w:p>
        </w:tc>
        <w:tc>
          <w:tcPr>
            <w:tcW w:w="353" w:type="pct"/>
            <w:tcBorders>
              <w:tl2br w:val="nil"/>
              <w:tr2bl w:val="nil"/>
            </w:tcBorders>
            <w:shd w:val="clear" w:color="auto" w:fill="auto"/>
            <w:vAlign w:val="center"/>
          </w:tcPr>
          <w:p w14:paraId="3E8E92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09B0FAB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5F59E59">
            <w:pPr>
              <w:jc w:val="center"/>
              <w:rPr>
                <w:rFonts w:hint="default" w:ascii="Times New Roman" w:hAnsi="Times New Roman" w:eastAsia="仿宋_GB2312" w:cs="Times New Roman"/>
                <w:i w:val="0"/>
                <w:iCs w:val="0"/>
                <w:color w:val="auto"/>
                <w:sz w:val="22"/>
                <w:szCs w:val="22"/>
                <w:u w:val="none"/>
              </w:rPr>
            </w:pPr>
          </w:p>
        </w:tc>
      </w:tr>
      <w:tr w14:paraId="42DE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0" w:hRule="atLeast"/>
        </w:trPr>
        <w:tc>
          <w:tcPr>
            <w:tcW w:w="360" w:type="pct"/>
            <w:vMerge w:val="continue"/>
            <w:tcBorders>
              <w:tl2br w:val="nil"/>
              <w:tr2bl w:val="nil"/>
            </w:tcBorders>
            <w:shd w:val="clear" w:color="auto" w:fill="auto"/>
            <w:vAlign w:val="center"/>
          </w:tcPr>
          <w:p w14:paraId="0A9A1896">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476303F9">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1C0D67CC">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48D851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应采用适用的标准计算单位产品综合能耗。适用时，单位产品综合能耗水平应达到或优于国家强制性能源消耗限额标准的先进值（1级能效）或《工业重点领域能效标杆水平和基准水平）》的标杆水平。无相关标准的离散制造业，应结合公开发布的行业数据或统计数据，对单位产值能耗或单位工业增加值能耗指标进行分析。</w:t>
            </w:r>
          </w:p>
        </w:tc>
        <w:tc>
          <w:tcPr>
            <w:tcW w:w="353" w:type="pct"/>
            <w:tcBorders>
              <w:tl2br w:val="nil"/>
              <w:tr2bl w:val="nil"/>
            </w:tcBorders>
            <w:shd w:val="clear" w:color="auto" w:fill="auto"/>
            <w:vAlign w:val="center"/>
          </w:tcPr>
          <w:p w14:paraId="393CA8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03710ED6">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1DB78429">
            <w:pPr>
              <w:jc w:val="center"/>
              <w:rPr>
                <w:rFonts w:hint="default" w:ascii="Times New Roman" w:hAnsi="Times New Roman" w:eastAsia="仿宋_GB2312" w:cs="Times New Roman"/>
                <w:i w:val="0"/>
                <w:iCs w:val="0"/>
                <w:color w:val="auto"/>
                <w:sz w:val="22"/>
                <w:szCs w:val="22"/>
                <w:u w:val="none"/>
              </w:rPr>
            </w:pPr>
          </w:p>
        </w:tc>
      </w:tr>
      <w:tr w14:paraId="3F6BC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346D19C8">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62C4645">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7ADE6C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碳排放强度</w:t>
            </w:r>
          </w:p>
        </w:tc>
        <w:tc>
          <w:tcPr>
            <w:tcW w:w="2599" w:type="pct"/>
            <w:tcBorders>
              <w:tl2br w:val="nil"/>
              <w:tr2bl w:val="nil"/>
            </w:tcBorders>
            <w:shd w:val="clear" w:color="auto" w:fill="auto"/>
            <w:vAlign w:val="center"/>
          </w:tcPr>
          <w:p w14:paraId="4EE21A5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碳排放强度应同比下降。</w:t>
            </w:r>
          </w:p>
        </w:tc>
        <w:tc>
          <w:tcPr>
            <w:tcW w:w="353" w:type="pct"/>
            <w:tcBorders>
              <w:tl2br w:val="nil"/>
              <w:tr2bl w:val="nil"/>
            </w:tcBorders>
            <w:shd w:val="clear" w:color="auto" w:fill="auto"/>
            <w:vAlign w:val="center"/>
          </w:tcPr>
          <w:p w14:paraId="1C603E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5699E929">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29586ACC">
            <w:pPr>
              <w:jc w:val="center"/>
              <w:rPr>
                <w:rFonts w:hint="default" w:ascii="Times New Roman" w:hAnsi="Times New Roman" w:eastAsia="仿宋_GB2312" w:cs="Times New Roman"/>
                <w:i w:val="0"/>
                <w:iCs w:val="0"/>
                <w:color w:val="auto"/>
                <w:sz w:val="22"/>
                <w:szCs w:val="22"/>
                <w:u w:val="none"/>
              </w:rPr>
            </w:pPr>
          </w:p>
        </w:tc>
      </w:tr>
      <w:tr w14:paraId="51C03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106A0048">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54A20603">
            <w:pPr>
              <w:jc w:val="center"/>
              <w:rPr>
                <w:rFonts w:hint="default" w:ascii="Times New Roman" w:hAnsi="Times New Roman" w:eastAsia="仿宋_GB2312" w:cs="Times New Roman"/>
                <w:i w:val="0"/>
                <w:iCs w:val="0"/>
                <w:color w:val="auto"/>
                <w:sz w:val="22"/>
                <w:szCs w:val="22"/>
                <w:u w:val="none"/>
              </w:rPr>
            </w:pPr>
          </w:p>
        </w:tc>
        <w:tc>
          <w:tcPr>
            <w:tcW w:w="408" w:type="pct"/>
            <w:tcBorders>
              <w:tl2br w:val="nil"/>
              <w:tr2bl w:val="nil"/>
            </w:tcBorders>
            <w:shd w:val="clear" w:color="auto" w:fill="auto"/>
            <w:vAlign w:val="center"/>
          </w:tcPr>
          <w:p w14:paraId="757B78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碳抵消比例</w:t>
            </w:r>
          </w:p>
        </w:tc>
        <w:tc>
          <w:tcPr>
            <w:tcW w:w="2599" w:type="pct"/>
            <w:tcBorders>
              <w:tl2br w:val="nil"/>
              <w:tr2bl w:val="nil"/>
            </w:tcBorders>
            <w:shd w:val="clear" w:color="auto" w:fill="auto"/>
            <w:vAlign w:val="center"/>
          </w:tcPr>
          <w:p w14:paraId="4C00323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碳抵消比例应不低于50%。</w:t>
            </w:r>
          </w:p>
        </w:tc>
        <w:tc>
          <w:tcPr>
            <w:tcW w:w="353" w:type="pct"/>
            <w:tcBorders>
              <w:tl2br w:val="nil"/>
              <w:tr2bl w:val="nil"/>
            </w:tcBorders>
            <w:shd w:val="clear" w:color="auto" w:fill="auto"/>
            <w:vAlign w:val="center"/>
          </w:tcPr>
          <w:p w14:paraId="5D9598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475" w:type="pct"/>
            <w:vMerge w:val="continue"/>
            <w:tcBorders>
              <w:tl2br w:val="nil"/>
              <w:tr2bl w:val="nil"/>
            </w:tcBorders>
            <w:shd w:val="clear" w:color="auto" w:fill="auto"/>
            <w:vAlign w:val="center"/>
          </w:tcPr>
          <w:p w14:paraId="0960BCBE">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80D9499">
            <w:pPr>
              <w:jc w:val="center"/>
              <w:rPr>
                <w:rFonts w:hint="default" w:ascii="Times New Roman" w:hAnsi="Times New Roman" w:eastAsia="仿宋_GB2312" w:cs="Times New Roman"/>
                <w:i w:val="0"/>
                <w:iCs w:val="0"/>
                <w:color w:val="auto"/>
                <w:sz w:val="22"/>
                <w:szCs w:val="22"/>
                <w:u w:val="none"/>
              </w:rPr>
            </w:pPr>
          </w:p>
        </w:tc>
      </w:tr>
      <w:tr w14:paraId="4AE2C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4605A10">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1F1FB048">
            <w:pPr>
              <w:jc w:val="center"/>
              <w:rPr>
                <w:rFonts w:hint="default" w:ascii="Times New Roman" w:hAnsi="Times New Roman" w:eastAsia="仿宋_GB2312" w:cs="Times New Roman"/>
                <w:i w:val="0"/>
                <w:iCs w:val="0"/>
                <w:color w:val="auto"/>
                <w:sz w:val="22"/>
                <w:szCs w:val="22"/>
                <w:u w:val="none"/>
              </w:rPr>
            </w:pPr>
          </w:p>
        </w:tc>
        <w:tc>
          <w:tcPr>
            <w:tcW w:w="408" w:type="pct"/>
            <w:vMerge w:val="restart"/>
            <w:tcBorders>
              <w:tl2br w:val="nil"/>
              <w:tr2bl w:val="nil"/>
            </w:tcBorders>
            <w:shd w:val="clear" w:color="auto" w:fill="auto"/>
            <w:vAlign w:val="center"/>
          </w:tcPr>
          <w:p w14:paraId="31179A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持续改进</w:t>
            </w:r>
          </w:p>
        </w:tc>
        <w:tc>
          <w:tcPr>
            <w:tcW w:w="2599" w:type="pct"/>
            <w:tcBorders>
              <w:tl2br w:val="nil"/>
              <w:tr2bl w:val="nil"/>
            </w:tcBorders>
            <w:shd w:val="clear" w:color="auto" w:fill="auto"/>
            <w:vAlign w:val="center"/>
          </w:tcPr>
          <w:p w14:paraId="0BC347F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宜按年度编制绿色低碳发展报告。</w:t>
            </w:r>
          </w:p>
        </w:tc>
        <w:tc>
          <w:tcPr>
            <w:tcW w:w="353" w:type="pct"/>
            <w:tcBorders>
              <w:tl2br w:val="nil"/>
              <w:tr2bl w:val="nil"/>
            </w:tcBorders>
            <w:shd w:val="clear" w:color="auto" w:fill="auto"/>
            <w:vAlign w:val="center"/>
          </w:tcPr>
          <w:p w14:paraId="784C0A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5B7BE428">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7540FC71">
            <w:pPr>
              <w:jc w:val="center"/>
              <w:rPr>
                <w:rFonts w:hint="default" w:ascii="Times New Roman" w:hAnsi="Times New Roman" w:eastAsia="仿宋_GB2312" w:cs="Times New Roman"/>
                <w:i w:val="0"/>
                <w:iCs w:val="0"/>
                <w:color w:val="auto"/>
                <w:sz w:val="22"/>
                <w:szCs w:val="22"/>
                <w:u w:val="none"/>
              </w:rPr>
            </w:pPr>
          </w:p>
        </w:tc>
      </w:tr>
      <w:tr w14:paraId="35ADC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60" w:type="pct"/>
            <w:vMerge w:val="continue"/>
            <w:tcBorders>
              <w:tl2br w:val="nil"/>
              <w:tr2bl w:val="nil"/>
            </w:tcBorders>
            <w:shd w:val="clear" w:color="auto" w:fill="auto"/>
            <w:vAlign w:val="center"/>
          </w:tcPr>
          <w:p w14:paraId="04350103">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27172D48">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15BF137">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51D92EC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一般工业固体废物利用量较大时，宜开展工业固体废物资源综合利用评价。</w:t>
            </w:r>
          </w:p>
        </w:tc>
        <w:tc>
          <w:tcPr>
            <w:tcW w:w="353" w:type="pct"/>
            <w:tcBorders>
              <w:tl2br w:val="nil"/>
              <w:tr2bl w:val="nil"/>
            </w:tcBorders>
            <w:shd w:val="clear" w:color="auto" w:fill="auto"/>
            <w:vAlign w:val="center"/>
          </w:tcPr>
          <w:p w14:paraId="2DF5C4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1B638BED">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3EBF120B">
            <w:pPr>
              <w:jc w:val="center"/>
              <w:rPr>
                <w:rFonts w:hint="default" w:ascii="Times New Roman" w:hAnsi="Times New Roman" w:eastAsia="仿宋_GB2312" w:cs="Times New Roman"/>
                <w:i w:val="0"/>
                <w:iCs w:val="0"/>
                <w:color w:val="auto"/>
                <w:sz w:val="22"/>
                <w:szCs w:val="22"/>
                <w:u w:val="none"/>
              </w:rPr>
            </w:pPr>
          </w:p>
        </w:tc>
      </w:tr>
      <w:tr w14:paraId="2FABA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360" w:type="pct"/>
            <w:vMerge w:val="continue"/>
            <w:tcBorders>
              <w:tl2br w:val="nil"/>
              <w:tr2bl w:val="nil"/>
            </w:tcBorders>
            <w:shd w:val="clear" w:color="auto" w:fill="auto"/>
            <w:vAlign w:val="center"/>
          </w:tcPr>
          <w:p w14:paraId="2CABD272">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09C2993E">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22F5389E">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3791DD2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宜生产绿色低碳产品，按照GB/T 32161对生产的产品进行生态设计产品评价。适用时，满足相关绿色设计产品评价标准要求或低碳产品要求。</w:t>
            </w:r>
          </w:p>
        </w:tc>
        <w:tc>
          <w:tcPr>
            <w:tcW w:w="353" w:type="pct"/>
            <w:tcBorders>
              <w:tl2br w:val="nil"/>
              <w:tr2bl w:val="nil"/>
            </w:tcBorders>
            <w:shd w:val="clear" w:color="auto" w:fill="auto"/>
            <w:vAlign w:val="center"/>
          </w:tcPr>
          <w:p w14:paraId="71A96E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5FA05DDF">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5D552E2D">
            <w:pPr>
              <w:jc w:val="center"/>
              <w:rPr>
                <w:rFonts w:hint="default" w:ascii="Times New Roman" w:hAnsi="Times New Roman" w:eastAsia="仿宋_GB2312" w:cs="Times New Roman"/>
                <w:i w:val="0"/>
                <w:iCs w:val="0"/>
                <w:color w:val="auto"/>
                <w:sz w:val="22"/>
                <w:szCs w:val="22"/>
                <w:u w:val="none"/>
              </w:rPr>
            </w:pPr>
          </w:p>
        </w:tc>
      </w:tr>
      <w:tr w14:paraId="428F0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AD29FC9">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6DF8413A">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6946BDD4">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465AEA6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采用适用的标准开展碳排放核算或核查。</w:t>
            </w:r>
          </w:p>
        </w:tc>
        <w:tc>
          <w:tcPr>
            <w:tcW w:w="353" w:type="pct"/>
            <w:tcBorders>
              <w:tl2br w:val="nil"/>
              <w:tr2bl w:val="nil"/>
            </w:tcBorders>
            <w:shd w:val="clear" w:color="auto" w:fill="auto"/>
            <w:vAlign w:val="center"/>
          </w:tcPr>
          <w:p w14:paraId="47692F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4B2EF263">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6E2B11E7">
            <w:pPr>
              <w:jc w:val="center"/>
              <w:rPr>
                <w:rFonts w:hint="default" w:ascii="Times New Roman" w:hAnsi="Times New Roman" w:eastAsia="仿宋_GB2312" w:cs="Times New Roman"/>
                <w:i w:val="0"/>
                <w:iCs w:val="0"/>
                <w:color w:val="auto"/>
                <w:sz w:val="22"/>
                <w:szCs w:val="22"/>
                <w:u w:val="none"/>
              </w:rPr>
            </w:pPr>
          </w:p>
        </w:tc>
      </w:tr>
      <w:tr w14:paraId="52EB5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60" w:type="pct"/>
            <w:vMerge w:val="continue"/>
            <w:tcBorders>
              <w:tl2br w:val="nil"/>
              <w:tr2bl w:val="nil"/>
            </w:tcBorders>
            <w:shd w:val="clear" w:color="auto" w:fill="auto"/>
            <w:vAlign w:val="center"/>
          </w:tcPr>
          <w:p w14:paraId="59E827C4">
            <w:pPr>
              <w:jc w:val="center"/>
              <w:rPr>
                <w:rFonts w:hint="default" w:ascii="Times New Roman" w:hAnsi="Times New Roman" w:eastAsia="仿宋_GB2312" w:cs="Times New Roman"/>
                <w:i w:val="0"/>
                <w:iCs w:val="0"/>
                <w:color w:val="auto"/>
                <w:sz w:val="22"/>
                <w:szCs w:val="22"/>
                <w:u w:val="none"/>
              </w:rPr>
            </w:pPr>
          </w:p>
        </w:tc>
        <w:tc>
          <w:tcPr>
            <w:tcW w:w="439" w:type="pct"/>
            <w:vMerge w:val="continue"/>
            <w:tcBorders>
              <w:tl2br w:val="nil"/>
              <w:tr2bl w:val="nil"/>
            </w:tcBorders>
            <w:shd w:val="clear" w:color="auto" w:fill="auto"/>
            <w:vAlign w:val="center"/>
          </w:tcPr>
          <w:p w14:paraId="1F83DF27">
            <w:pPr>
              <w:jc w:val="center"/>
              <w:rPr>
                <w:rFonts w:hint="default" w:ascii="Times New Roman" w:hAnsi="Times New Roman" w:eastAsia="仿宋_GB2312" w:cs="Times New Roman"/>
                <w:i w:val="0"/>
                <w:iCs w:val="0"/>
                <w:color w:val="auto"/>
                <w:sz w:val="22"/>
                <w:szCs w:val="22"/>
                <w:u w:val="none"/>
              </w:rPr>
            </w:pPr>
          </w:p>
        </w:tc>
        <w:tc>
          <w:tcPr>
            <w:tcW w:w="408" w:type="pct"/>
            <w:vMerge w:val="continue"/>
            <w:tcBorders>
              <w:tl2br w:val="nil"/>
              <w:tr2bl w:val="nil"/>
            </w:tcBorders>
            <w:shd w:val="clear" w:color="auto" w:fill="auto"/>
            <w:vAlign w:val="center"/>
          </w:tcPr>
          <w:p w14:paraId="49D86355">
            <w:pPr>
              <w:jc w:val="center"/>
              <w:rPr>
                <w:rFonts w:hint="default" w:ascii="Times New Roman" w:hAnsi="Times New Roman" w:eastAsia="仿宋_GB2312" w:cs="Times New Roman"/>
                <w:i w:val="0"/>
                <w:iCs w:val="0"/>
                <w:color w:val="auto"/>
                <w:sz w:val="22"/>
                <w:szCs w:val="22"/>
                <w:u w:val="none"/>
              </w:rPr>
            </w:pPr>
          </w:p>
        </w:tc>
        <w:tc>
          <w:tcPr>
            <w:tcW w:w="2599" w:type="pct"/>
            <w:tcBorders>
              <w:tl2br w:val="nil"/>
              <w:tr2bl w:val="nil"/>
            </w:tcBorders>
            <w:shd w:val="clear" w:color="auto" w:fill="auto"/>
            <w:vAlign w:val="center"/>
          </w:tcPr>
          <w:p w14:paraId="615D48D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开展产品碳足迹核算或核查。</w:t>
            </w:r>
          </w:p>
        </w:tc>
        <w:tc>
          <w:tcPr>
            <w:tcW w:w="353" w:type="pct"/>
            <w:tcBorders>
              <w:tl2br w:val="nil"/>
              <w:tr2bl w:val="nil"/>
            </w:tcBorders>
            <w:shd w:val="clear" w:color="auto" w:fill="auto"/>
            <w:vAlign w:val="center"/>
          </w:tcPr>
          <w:p w14:paraId="77586A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475" w:type="pct"/>
            <w:vMerge w:val="continue"/>
            <w:tcBorders>
              <w:tl2br w:val="nil"/>
              <w:tr2bl w:val="nil"/>
            </w:tcBorders>
            <w:shd w:val="clear" w:color="auto" w:fill="auto"/>
            <w:vAlign w:val="center"/>
          </w:tcPr>
          <w:p w14:paraId="6A872051">
            <w:pPr>
              <w:jc w:val="center"/>
              <w:rPr>
                <w:rFonts w:hint="default" w:ascii="Times New Roman" w:hAnsi="Times New Roman" w:eastAsia="仿宋_GB2312" w:cs="Times New Roman"/>
                <w:i w:val="0"/>
                <w:iCs w:val="0"/>
                <w:color w:val="auto"/>
                <w:sz w:val="22"/>
                <w:szCs w:val="22"/>
                <w:u w:val="none"/>
              </w:rPr>
            </w:pPr>
          </w:p>
        </w:tc>
        <w:tc>
          <w:tcPr>
            <w:tcW w:w="364" w:type="pct"/>
            <w:tcBorders>
              <w:tl2br w:val="nil"/>
              <w:tr2bl w:val="nil"/>
            </w:tcBorders>
            <w:shd w:val="clear" w:color="auto" w:fill="auto"/>
            <w:vAlign w:val="center"/>
          </w:tcPr>
          <w:p w14:paraId="5238A598">
            <w:pPr>
              <w:jc w:val="center"/>
              <w:rPr>
                <w:rFonts w:hint="default" w:ascii="Times New Roman" w:hAnsi="Times New Roman" w:eastAsia="仿宋_GB2312" w:cs="Times New Roman"/>
                <w:i w:val="0"/>
                <w:iCs w:val="0"/>
                <w:color w:val="auto"/>
                <w:sz w:val="22"/>
                <w:szCs w:val="22"/>
                <w:u w:val="none"/>
              </w:rPr>
            </w:pPr>
          </w:p>
        </w:tc>
      </w:tr>
      <w:tr w14:paraId="2750E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3807" w:type="pct"/>
            <w:gridSpan w:val="4"/>
            <w:tcBorders>
              <w:tl2br w:val="nil"/>
              <w:tr2bl w:val="nil"/>
            </w:tcBorders>
            <w:shd w:val="clear" w:color="auto" w:fill="auto"/>
            <w:vAlign w:val="center"/>
          </w:tcPr>
          <w:p w14:paraId="657F3A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总分</w:t>
            </w:r>
          </w:p>
        </w:tc>
        <w:tc>
          <w:tcPr>
            <w:tcW w:w="353" w:type="pct"/>
            <w:tcBorders>
              <w:tl2br w:val="nil"/>
              <w:tr2bl w:val="nil"/>
            </w:tcBorders>
            <w:shd w:val="clear" w:color="auto" w:fill="auto"/>
            <w:vAlign w:val="center"/>
          </w:tcPr>
          <w:p w14:paraId="448B68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500</w:t>
            </w:r>
          </w:p>
        </w:tc>
        <w:tc>
          <w:tcPr>
            <w:tcW w:w="475" w:type="pct"/>
            <w:tcBorders>
              <w:tl2br w:val="nil"/>
              <w:tr2bl w:val="nil"/>
            </w:tcBorders>
            <w:shd w:val="clear" w:color="auto" w:fill="auto"/>
            <w:vAlign w:val="center"/>
          </w:tcPr>
          <w:p w14:paraId="6F5CE2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 xml:space="preserve">100 </w:t>
            </w:r>
          </w:p>
        </w:tc>
        <w:tc>
          <w:tcPr>
            <w:tcW w:w="364" w:type="pct"/>
            <w:tcBorders>
              <w:tl2br w:val="nil"/>
              <w:tr2bl w:val="nil"/>
            </w:tcBorders>
            <w:shd w:val="clear" w:color="auto" w:fill="auto"/>
            <w:vAlign w:val="center"/>
          </w:tcPr>
          <w:p w14:paraId="18B267EB">
            <w:pPr>
              <w:jc w:val="center"/>
              <w:rPr>
                <w:rFonts w:hint="default" w:ascii="Times New Roman" w:hAnsi="Times New Roman" w:eastAsia="仿宋_GB2312" w:cs="Times New Roman"/>
                <w:i w:val="0"/>
                <w:iCs w:val="0"/>
                <w:color w:val="auto"/>
                <w:sz w:val="22"/>
                <w:szCs w:val="22"/>
                <w:u w:val="none"/>
              </w:rPr>
            </w:pPr>
          </w:p>
        </w:tc>
      </w:tr>
    </w:tbl>
    <w:p w14:paraId="016FC042">
      <w:pPr>
        <w:bidi w:val="0"/>
        <w:rPr>
          <w:rFonts w:hint="default" w:ascii="Times New Roman" w:hAnsi="Times New Roman" w:cs="Times New Roman"/>
          <w:color w:val="auto"/>
          <w:highlight w:val="none"/>
          <w:lang w:val="en-US" w:eastAsia="zh-CN"/>
        </w:rPr>
      </w:pPr>
    </w:p>
    <w:p w14:paraId="3D18705F">
      <w:pPr>
        <w:bidi w:val="0"/>
        <w:rPr>
          <w:rFonts w:hint="default" w:ascii="Times New Roman" w:hAnsi="Times New Roman" w:cs="Times New Roman"/>
          <w:color w:val="auto"/>
          <w:highlight w:val="none"/>
          <w:lang w:val="en-US" w:eastAsia="zh-CN"/>
        </w:rPr>
      </w:pPr>
    </w:p>
    <w:p w14:paraId="7AE75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六、相关证明材料</w:t>
      </w:r>
    </w:p>
    <w:p w14:paraId="6D9262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列出可以证明评价内容中相关描述的相关文件，包括但不限于以下材料：</w:t>
      </w:r>
    </w:p>
    <w:p w14:paraId="5488DF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1.企业营业执照；</w:t>
      </w:r>
    </w:p>
    <w:p w14:paraId="111DA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2.设备清单；</w:t>
      </w:r>
    </w:p>
    <w:p w14:paraId="18643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3.零碳工厂规划、培训等相关文件；</w:t>
      </w:r>
    </w:p>
    <w:p w14:paraId="0AE9FE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4.管理体系程序控制文件或第三方认证证书；</w:t>
      </w:r>
    </w:p>
    <w:p w14:paraId="21CB5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5.能源消费台账；</w:t>
      </w:r>
    </w:p>
    <w:p w14:paraId="2820C7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6.绿色低碳发展报告；</w:t>
      </w:r>
    </w:p>
    <w:p w14:paraId="79101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7.碳排放核算报告；</w:t>
      </w:r>
    </w:p>
    <w:p w14:paraId="0535C6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8.产品碳足迹报告；</w:t>
      </w:r>
    </w:p>
    <w:p w14:paraId="7F7EFB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9.其他材料。</w:t>
      </w:r>
    </w:p>
    <w:p w14:paraId="66E05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七、第三方机构材料</w:t>
      </w:r>
    </w:p>
    <w:p w14:paraId="44B87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（适用于采取第三方评价时）</w:t>
      </w:r>
    </w:p>
    <w:p w14:paraId="4CBBEF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第三方机构简介、专业技术力量情况、在绿色低碳发展方面开展的相关服务工作等。</w:t>
      </w:r>
    </w:p>
    <w:p w14:paraId="6D0FDC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2CD326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1DFDCD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4FF426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6EF730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09D37C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1FF33149">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18" w:name="_Toc9614"/>
      <w:r>
        <w:rPr>
          <w:rFonts w:hint="default" w:ascii="Times New Roman" w:hAnsi="Times New Roman" w:cs="Times New Roman"/>
          <w:b w:val="0"/>
          <w:bCs/>
          <w:color w:val="auto"/>
          <w:highlight w:val="none"/>
          <w:lang w:val="en-US" w:eastAsia="zh-CN"/>
        </w:rPr>
        <w:t>附件2 碳排放量</w:t>
      </w:r>
      <w:r>
        <w:rPr>
          <w:rFonts w:hint="eastAsia" w:ascii="Times New Roman" w:hAnsi="Times New Roman" w:cs="Times New Roman"/>
          <w:b w:val="0"/>
          <w:bCs/>
          <w:color w:val="auto"/>
          <w:highlight w:val="none"/>
          <w:lang w:val="en-US" w:eastAsia="zh-CN"/>
        </w:rPr>
        <w:t>核算</w:t>
      </w:r>
      <w:r>
        <w:rPr>
          <w:rFonts w:hint="default" w:ascii="Times New Roman" w:hAnsi="Times New Roman" w:cs="Times New Roman"/>
          <w:b w:val="0"/>
          <w:bCs/>
          <w:color w:val="auto"/>
          <w:highlight w:val="none"/>
          <w:lang w:val="en-US" w:eastAsia="zh-CN"/>
        </w:rPr>
        <w:t>方法</w:t>
      </w:r>
      <w:bookmarkEnd w:id="18"/>
    </w:p>
    <w:p w14:paraId="698F8DEF">
      <w:pPr>
        <w:bidi w:val="0"/>
        <w:rPr>
          <w:rFonts w:hint="default" w:ascii="Times New Roman" w:hAnsi="Times New Roman" w:cs="Times New Roman"/>
          <w:color w:val="auto"/>
          <w:lang w:val="en-US" w:eastAsia="zh-CN"/>
        </w:rPr>
      </w:pPr>
      <w:bookmarkStart w:id="19" w:name="_Toc7399"/>
    </w:p>
    <w:p w14:paraId="159BE333">
      <w:pPr>
        <w:bidi w:val="0"/>
        <w:jc w:val="center"/>
        <w:rPr>
          <w:rFonts w:hint="default" w:ascii="Times New Roman" w:hAnsi="Times New Roman" w:cs="Times New Roman"/>
          <w:color w:val="auto"/>
          <w:lang w:val="en-US" w:eastAsia="zh-CN"/>
        </w:rPr>
      </w:pPr>
      <w:r>
        <w:rPr>
          <w:rFonts w:hint="default" w:ascii="Times New Roman" w:hAnsi="Times New Roman" w:eastAsia="方正小标宋简体" w:cs="Times New Roman"/>
          <w:b w:val="0"/>
          <w:bCs/>
          <w:color w:val="auto"/>
          <w:sz w:val="32"/>
          <w:szCs w:val="32"/>
          <w:highlight w:val="none"/>
          <w:lang w:val="en-US" w:eastAsia="zh-CN"/>
        </w:rPr>
        <w:t>碳排放量</w:t>
      </w:r>
      <w:r>
        <w:rPr>
          <w:rFonts w:hint="eastAsia" w:ascii="Times New Roman" w:hAnsi="Times New Roman" w:eastAsia="方正小标宋简体" w:cs="Times New Roman"/>
          <w:b w:val="0"/>
          <w:bCs/>
          <w:color w:val="auto"/>
          <w:sz w:val="32"/>
          <w:szCs w:val="32"/>
          <w:highlight w:val="none"/>
          <w:lang w:val="en-US" w:eastAsia="zh-CN"/>
        </w:rPr>
        <w:t>核算</w:t>
      </w:r>
      <w:r>
        <w:rPr>
          <w:rFonts w:hint="default" w:ascii="Times New Roman" w:hAnsi="Times New Roman" w:eastAsia="方正小标宋简体" w:cs="Times New Roman"/>
          <w:b w:val="0"/>
          <w:bCs/>
          <w:color w:val="auto"/>
          <w:sz w:val="32"/>
          <w:szCs w:val="32"/>
          <w:highlight w:val="none"/>
          <w:lang w:val="en-US" w:eastAsia="zh-CN"/>
        </w:rPr>
        <w:t>方法</w:t>
      </w:r>
    </w:p>
    <w:p w14:paraId="41A70A15">
      <w:pPr>
        <w:bidi w:val="0"/>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1.碳排放总量</w:t>
      </w:r>
      <w:bookmarkEnd w:id="19"/>
    </w:p>
    <w:p w14:paraId="5201A080">
      <w:pPr>
        <w:pStyle w:val="16"/>
        <w:keepNext w:val="0"/>
        <w:keepLines w:val="0"/>
        <w:pageBreakBefore w:val="0"/>
        <w:widowControl/>
        <w:kinsoku/>
        <w:wordWrap/>
        <w:overflowPunct/>
        <w:topLinePunct w:val="0"/>
        <w:bidi w:val="0"/>
        <w:adjustRightInd/>
        <w:snapToGrid/>
        <w:spacing w:line="360" w:lineRule="auto"/>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碳排放总量按公式（2.1）计算：</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
        <w:gridCol w:w="7365"/>
        <w:gridCol w:w="1469"/>
      </w:tblGrid>
      <w:tr w14:paraId="78139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25" w:type="pct"/>
            <w:tcBorders>
              <w:top w:val="nil"/>
              <w:left w:val="nil"/>
              <w:bottom w:val="nil"/>
              <w:right w:val="nil"/>
            </w:tcBorders>
            <w:shd w:val="clear" w:color="auto" w:fill="auto"/>
            <w:noWrap/>
            <w:vAlign w:val="center"/>
          </w:tcPr>
          <w:p w14:paraId="7654E74D">
            <w:pPr>
              <w:jc w:val="center"/>
              <w:rPr>
                <w:rFonts w:hint="default" w:ascii="Times New Roman" w:hAnsi="Times New Roman" w:eastAsia="仿宋_GB2312" w:cs="Times New Roman"/>
                <w:i w:val="0"/>
                <w:iCs w:val="0"/>
                <w:color w:val="auto"/>
                <w:sz w:val="22"/>
                <w:szCs w:val="22"/>
                <w:highlight w:val="none"/>
                <w:u w:val="none"/>
              </w:rPr>
            </w:pPr>
          </w:p>
        </w:tc>
        <w:tc>
          <w:tcPr>
            <w:tcW w:w="4063" w:type="pct"/>
            <w:tcBorders>
              <w:top w:val="nil"/>
              <w:left w:val="nil"/>
              <w:bottom w:val="nil"/>
              <w:right w:val="nil"/>
            </w:tcBorders>
            <w:shd w:val="clear" w:color="auto" w:fill="auto"/>
            <w:noWrap/>
            <w:vAlign w:val="center"/>
          </w:tcPr>
          <w:p w14:paraId="4A281243">
            <w:pPr>
              <w:jc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color w:val="auto"/>
                <w:position w:val="-14"/>
                <w:highlight w:val="none"/>
                <w:lang w:val="en-US" w:eastAsia="zh-CN"/>
              </w:rPr>
              <w:pict>
                <v:shape id="_x0000_s1029" o:spid="_x0000_s1029" o:spt="75" type="#_x0000_t75" style="position:absolute;left:0pt;margin-left:17.55pt;margin-top:7.15pt;height:15.85pt;width:342.95pt;z-index:251662336;mso-width-relative:page;mso-height-relative:page;" o:ole="t" filled="f" o:preferrelative="t" stroked="f" coordsize="21600,21600">
                  <v:path/>
                  <v:fill on="f" focussize="0,0"/>
                  <v:stroke on="f"/>
                  <v:imagedata r:id="rId13" o:title=""/>
                  <o:lock v:ext="edit" aspectratio="t"/>
                </v:shape>
                <o:OLEObject Type="Embed" ProgID="Equation.KSEE3" ShapeID="_x0000_s1029" DrawAspect="Content" ObjectID="_1468075727" r:id="rId12">
                  <o:LockedField>false</o:LockedField>
                </o:OLEObject>
              </w:pict>
            </w:r>
          </w:p>
        </w:tc>
        <w:tc>
          <w:tcPr>
            <w:tcW w:w="810" w:type="pct"/>
            <w:tcBorders>
              <w:top w:val="nil"/>
              <w:left w:val="nil"/>
              <w:bottom w:val="nil"/>
              <w:right w:val="nil"/>
            </w:tcBorders>
            <w:shd w:val="clear" w:color="auto" w:fill="auto"/>
            <w:noWrap/>
            <w:vAlign w:val="center"/>
          </w:tcPr>
          <w:p w14:paraId="33506E33">
            <w:pPr>
              <w:pStyle w:val="16"/>
              <w:ind w:left="0" w:leftChars="0" w:firstLine="0" w:firstLineChars="0"/>
              <w:jc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color w:val="auto"/>
                <w:position w:val="-28"/>
                <w:highlight w:val="none"/>
                <w:lang w:val="en-US" w:eastAsia="zh-CN"/>
              </w:rPr>
              <w:t>………（2.1）</w:t>
            </w:r>
          </w:p>
        </w:tc>
      </w:tr>
    </w:tbl>
    <w:p w14:paraId="57C255A5">
      <w:pPr>
        <w:pStyle w:val="16"/>
        <w:keepNext w:val="0"/>
        <w:keepLines w:val="0"/>
        <w:pageBreakBefore w:val="0"/>
        <w:widowControl/>
        <w:kinsoku/>
        <w:wordWrap/>
        <w:overflowPunct/>
        <w:topLinePunct w:val="0"/>
        <w:autoSpaceDE w:val="0"/>
        <w:autoSpaceDN w:val="0"/>
        <w:bidi w:val="0"/>
        <w:adjustRightInd/>
        <w:snapToGrid/>
        <w:spacing w:line="240" w:lineRule="auto"/>
        <w:ind w:left="0" w:leftChars="0" w:firstLine="480" w:firstLineChars="20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式中：</w:t>
      </w:r>
    </w:p>
    <w:p w14:paraId="35C187B9">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   ——碳排放总量，单位为吨二氧化碳当量（tCO</w:t>
      </w:r>
      <w:r>
        <w:rPr>
          <w:rFonts w:hint="default" w:ascii="Times New Roman" w:hAnsi="Times New Roman" w:eastAsia="仿宋_GB2312" w:cs="Times New Roman"/>
          <w:color w:val="auto"/>
          <w:sz w:val="24"/>
          <w:szCs w:val="24"/>
          <w:highlight w:val="none"/>
          <w:vertAlign w:val="subscript"/>
          <w:lang w:val="en-US" w:eastAsia="zh-CN"/>
        </w:rPr>
        <w:t>2e</w:t>
      </w:r>
      <w:r>
        <w:rPr>
          <w:rFonts w:hint="default" w:ascii="Times New Roman" w:hAnsi="Times New Roman" w:eastAsia="仿宋_GB2312" w:cs="Times New Roman"/>
          <w:color w:val="auto"/>
          <w:sz w:val="24"/>
          <w:szCs w:val="24"/>
          <w:highlight w:val="none"/>
          <w:lang w:val="en-US" w:eastAsia="zh-CN"/>
        </w:rPr>
        <w:t>）；</w:t>
      </w:r>
    </w:p>
    <w:p w14:paraId="7EFB85A7">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 xml:space="preserve">燃烧 </w:t>
      </w:r>
      <w:r>
        <w:rPr>
          <w:rFonts w:hint="default" w:ascii="Times New Roman" w:hAnsi="Times New Roman" w:eastAsia="仿宋_GB2312" w:cs="Times New Roman"/>
          <w:color w:val="auto"/>
          <w:sz w:val="24"/>
          <w:szCs w:val="24"/>
          <w:highlight w:val="none"/>
          <w:lang w:val="en-US" w:eastAsia="zh-CN"/>
        </w:rPr>
        <w:t>——化石燃料燃烧产生的碳排放量，单位为吨二氧化碳（tCO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w:t>
      </w:r>
    </w:p>
    <w:p w14:paraId="1A4B916D">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购入电</w:t>
      </w:r>
      <w:r>
        <w:rPr>
          <w:rFonts w:hint="default" w:ascii="Times New Roman" w:hAnsi="Times New Roman" w:eastAsia="仿宋_GB2312" w:cs="Times New Roman"/>
          <w:color w:val="auto"/>
          <w:sz w:val="24"/>
          <w:szCs w:val="24"/>
          <w:highlight w:val="none"/>
          <w:lang w:val="en-US" w:eastAsia="zh-CN"/>
        </w:rPr>
        <w:t>——购入的电力产生的碳排放量，单位为吨二氧化碳（tCO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w:t>
      </w:r>
    </w:p>
    <w:p w14:paraId="40B67C30">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购入热</w:t>
      </w:r>
      <w:r>
        <w:rPr>
          <w:rFonts w:hint="default" w:ascii="Times New Roman" w:hAnsi="Times New Roman" w:eastAsia="仿宋_GB2312" w:cs="Times New Roman"/>
          <w:color w:val="auto"/>
          <w:sz w:val="24"/>
          <w:szCs w:val="24"/>
          <w:highlight w:val="none"/>
          <w:lang w:val="en-US" w:eastAsia="zh-CN"/>
        </w:rPr>
        <w:t>——购入的热力产生的碳排放量，单位为吨二氧化碳（tCO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w:t>
      </w:r>
    </w:p>
    <w:p w14:paraId="491462C0">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输出电</w:t>
      </w:r>
      <w:r>
        <w:rPr>
          <w:rFonts w:hint="default" w:ascii="Times New Roman" w:hAnsi="Times New Roman" w:eastAsia="仿宋_GB2312" w:cs="Times New Roman"/>
          <w:color w:val="auto"/>
          <w:sz w:val="24"/>
          <w:szCs w:val="24"/>
          <w:highlight w:val="none"/>
          <w:lang w:val="en-US" w:eastAsia="zh-CN"/>
        </w:rPr>
        <w:t>——输出的电力产生的碳排放量，单位为吨二氧化碳（tCO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w:t>
      </w:r>
    </w:p>
    <w:p w14:paraId="5FD41372">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输出热</w:t>
      </w:r>
      <w:r>
        <w:rPr>
          <w:rFonts w:hint="default" w:ascii="Times New Roman" w:hAnsi="Times New Roman" w:eastAsia="仿宋_GB2312" w:cs="Times New Roman"/>
          <w:color w:val="auto"/>
          <w:sz w:val="24"/>
          <w:szCs w:val="24"/>
          <w:highlight w:val="none"/>
          <w:lang w:val="en-US" w:eastAsia="zh-CN"/>
        </w:rPr>
        <w:t>——输出的热力产生的碳排放量，单位为吨二氧化碳（tCO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w:t>
      </w:r>
    </w:p>
    <w:p w14:paraId="413529C6">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 xml:space="preserve">过程  </w:t>
      </w:r>
      <w:r>
        <w:rPr>
          <w:rFonts w:hint="default" w:ascii="Times New Roman" w:hAnsi="Times New Roman" w:eastAsia="仿宋_GB2312" w:cs="Times New Roman"/>
          <w:color w:val="auto"/>
          <w:sz w:val="24"/>
          <w:szCs w:val="24"/>
          <w:highlight w:val="none"/>
          <w:lang w:val="en-US" w:eastAsia="zh-CN"/>
        </w:rPr>
        <w:t>——生产过程中的碳排放量，单位为吨二氧化碳当量（tCO</w:t>
      </w:r>
      <w:r>
        <w:rPr>
          <w:rFonts w:hint="default" w:ascii="Times New Roman" w:hAnsi="Times New Roman" w:eastAsia="仿宋_GB2312" w:cs="Times New Roman"/>
          <w:color w:val="auto"/>
          <w:sz w:val="24"/>
          <w:szCs w:val="24"/>
          <w:highlight w:val="none"/>
          <w:vertAlign w:val="subscript"/>
          <w:lang w:val="en-US" w:eastAsia="zh-CN"/>
        </w:rPr>
        <w:t>2e</w:t>
      </w:r>
      <w:r>
        <w:rPr>
          <w:rFonts w:hint="default" w:ascii="Times New Roman" w:hAnsi="Times New Roman" w:eastAsia="仿宋_GB2312" w:cs="Times New Roman"/>
          <w:color w:val="auto"/>
          <w:sz w:val="24"/>
          <w:szCs w:val="24"/>
          <w:highlight w:val="none"/>
          <w:lang w:val="en-US" w:eastAsia="zh-CN"/>
        </w:rPr>
        <w:t>）；</w:t>
      </w:r>
    </w:p>
    <w:p w14:paraId="3F0774C1">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1679" w:leftChars="228" w:hanging="1200" w:hangingChars="5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w:t>
      </w:r>
      <w:r>
        <w:rPr>
          <w:rFonts w:hint="default" w:ascii="Times New Roman" w:hAnsi="Times New Roman" w:eastAsia="仿宋_GB2312" w:cs="Times New Roman"/>
          <w:color w:val="auto"/>
          <w:sz w:val="24"/>
          <w:szCs w:val="24"/>
          <w:highlight w:val="none"/>
          <w:vertAlign w:val="subscript"/>
          <w:lang w:val="en-US" w:eastAsia="zh-CN"/>
        </w:rPr>
        <w:t>回收利用</w:t>
      </w:r>
      <w:r>
        <w:rPr>
          <w:rFonts w:hint="default" w:ascii="Times New Roman" w:hAnsi="Times New Roman" w:eastAsia="仿宋_GB2312" w:cs="Times New Roman"/>
          <w:color w:val="auto"/>
          <w:sz w:val="24"/>
          <w:szCs w:val="24"/>
          <w:highlight w:val="none"/>
          <w:lang w:val="en-US" w:eastAsia="zh-CN"/>
        </w:rPr>
        <w:t>——化石燃料燃烧、工艺过程产生的温室气体经回收作为生产原料自用或作为产品外供所对应的碳排放量，单位为吨二氧化碳当量（tCO</w:t>
      </w:r>
      <w:r>
        <w:rPr>
          <w:rFonts w:hint="default" w:ascii="Times New Roman" w:hAnsi="Times New Roman" w:eastAsia="仿宋_GB2312" w:cs="Times New Roman"/>
          <w:color w:val="auto"/>
          <w:sz w:val="24"/>
          <w:szCs w:val="24"/>
          <w:highlight w:val="none"/>
          <w:vertAlign w:val="subscript"/>
          <w:lang w:val="en-US" w:eastAsia="zh-CN"/>
        </w:rPr>
        <w:t>2e</w:t>
      </w:r>
      <w:r>
        <w:rPr>
          <w:rFonts w:hint="default" w:ascii="Times New Roman" w:hAnsi="Times New Roman" w:eastAsia="仿宋_GB2312" w:cs="Times New Roman"/>
          <w:color w:val="auto"/>
          <w:sz w:val="24"/>
          <w:szCs w:val="24"/>
          <w:highlight w:val="none"/>
          <w:lang w:val="en-US" w:eastAsia="zh-CN"/>
        </w:rPr>
        <w:t>)；</w:t>
      </w:r>
    </w:p>
    <w:p w14:paraId="64CD6501">
      <w:pPr>
        <w:pStyle w:val="16"/>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1679" w:leftChars="228" w:hanging="1200" w:hangingChars="500"/>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GWP ——全球变暖潜势，数值可参考政府间气候变化专门委员会（IPCC）提供的数据。</w:t>
      </w:r>
    </w:p>
    <w:p w14:paraId="1BD39319">
      <w:pPr>
        <w:bidi w:val="0"/>
        <w:ind w:firstLine="640" w:firstLineChars="200"/>
        <w:rPr>
          <w:rFonts w:hint="default" w:ascii="Times New Roman" w:hAnsi="Times New Roman" w:eastAsia="黑体" w:cs="Times New Roman"/>
          <w:color w:val="auto"/>
          <w:sz w:val="32"/>
          <w:szCs w:val="32"/>
          <w:lang w:val="en-US" w:eastAsia="zh-CN"/>
        </w:rPr>
      </w:pPr>
      <w:bookmarkStart w:id="20" w:name="_Toc32671"/>
      <w:r>
        <w:rPr>
          <w:rFonts w:hint="default" w:ascii="Times New Roman" w:hAnsi="Times New Roman" w:eastAsia="黑体" w:cs="Times New Roman"/>
          <w:color w:val="auto"/>
          <w:sz w:val="32"/>
          <w:szCs w:val="32"/>
          <w:lang w:val="en-US" w:eastAsia="zh-CN"/>
        </w:rPr>
        <w:t>2.化石燃料燃烧排放</w:t>
      </w:r>
      <w:bookmarkEnd w:id="20"/>
    </w:p>
    <w:p w14:paraId="5A96604F">
      <w:pPr>
        <w:pStyle w:val="16"/>
        <w:keepNext w:val="0"/>
        <w:keepLines w:val="0"/>
        <w:pageBreakBefore w:val="0"/>
        <w:widowControl/>
        <w:kinsoku/>
        <w:wordWrap/>
        <w:overflowPunct/>
        <w:topLinePunct w:val="0"/>
        <w:bidi w:val="0"/>
        <w:adjustRightInd/>
        <w:snapToGrid/>
        <w:spacing w:line="360" w:lineRule="auto"/>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化石燃料燃烧产生的碳排放量按公式（2.2）计算：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44C9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66" w:type="pct"/>
            <w:tcBorders>
              <w:top w:val="nil"/>
              <w:left w:val="nil"/>
              <w:bottom w:val="nil"/>
              <w:right w:val="nil"/>
            </w:tcBorders>
            <w:shd w:val="clear" w:color="auto" w:fill="auto"/>
            <w:noWrap/>
            <w:vAlign w:val="center"/>
          </w:tcPr>
          <w:p w14:paraId="01BF1DC2">
            <w:pPr>
              <w:jc w:val="center"/>
              <w:rPr>
                <w:rFonts w:hint="default" w:ascii="Times New Roman" w:hAnsi="Times New Roman" w:eastAsia="宋体"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2E416C56">
            <w:pPr>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cs="Times New Roman"/>
                <w:color w:val="auto"/>
                <w:position w:val="-28"/>
                <w:highlight w:val="none"/>
                <w:lang w:val="en-US" w:eastAsia="zh-CN"/>
              </w:rPr>
              <w:pict>
                <v:shape id="_x0000_s1030" o:spid="_x0000_s1030" o:spt="75" type="#_x0000_t75" style="position:absolute;left:0pt;margin-left:20.75pt;margin-top:2.45pt;height:28.35pt;width:90.05pt;z-index:251662336;mso-width-relative:page;mso-height-relative:page;" o:ole="t" filled="f" o:preferrelative="t" stroked="f" coordsize="21600,21600">
                  <v:path/>
                  <v:fill on="f" focussize="0,0"/>
                  <v:stroke on="f"/>
                  <v:imagedata r:id="rId15" o:title=""/>
                  <o:lock v:ext="edit" aspectratio="t"/>
                </v:shape>
                <o:OLEObject Type="Embed" ProgID="Equation.KSEE3" ShapeID="_x0000_s1030" DrawAspect="Content" ObjectID="_1468075728" r:id="rId14">
                  <o:LockedField>false</o:LockedField>
                </o:OLEObject>
              </w:pict>
            </w:r>
          </w:p>
        </w:tc>
        <w:tc>
          <w:tcPr>
            <w:tcW w:w="1667" w:type="pct"/>
            <w:tcBorders>
              <w:top w:val="nil"/>
              <w:left w:val="nil"/>
              <w:bottom w:val="nil"/>
              <w:right w:val="nil"/>
            </w:tcBorders>
            <w:shd w:val="clear" w:color="auto" w:fill="auto"/>
            <w:noWrap/>
            <w:vAlign w:val="center"/>
          </w:tcPr>
          <w:p w14:paraId="1AD9C01F">
            <w:pPr>
              <w:pStyle w:val="16"/>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（2.2）</w:t>
            </w:r>
          </w:p>
        </w:tc>
      </w:tr>
    </w:tbl>
    <w:p w14:paraId="289399CA">
      <w:pPr>
        <w:pStyle w:val="1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式中：</w:t>
      </w:r>
    </w:p>
    <w:p w14:paraId="6758B2D0">
      <w:pPr>
        <w:pStyle w:val="1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i   ——化石燃料类型代号；</w:t>
      </w:r>
    </w:p>
    <w:p w14:paraId="05F9C9E9">
      <w:pPr>
        <w:pStyle w:val="16"/>
        <w:ind w:left="1439" w:leftChars="228" w:hanging="960" w:hangingChars="4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AD</w:t>
      </w:r>
      <w:r>
        <w:rPr>
          <w:rFonts w:hint="default" w:ascii="Times New Roman" w:hAnsi="Times New Roman" w:eastAsia="仿宋_GB2312" w:cs="Times New Roman"/>
          <w:color w:val="auto"/>
          <w:sz w:val="24"/>
          <w:szCs w:val="24"/>
          <w:highlight w:val="none"/>
          <w:vertAlign w:val="subscript"/>
          <w:lang w:val="en-US" w:eastAsia="zh-CN"/>
        </w:rPr>
        <w:t>i</w:t>
      </w:r>
      <w:r>
        <w:rPr>
          <w:rFonts w:hint="default" w:ascii="Times New Roman" w:hAnsi="Times New Roman" w:eastAsia="仿宋_GB2312" w:cs="Times New Roman"/>
          <w:color w:val="auto"/>
          <w:sz w:val="24"/>
          <w:szCs w:val="24"/>
          <w:highlight w:val="none"/>
          <w:lang w:val="en-US" w:eastAsia="zh-CN"/>
        </w:rPr>
        <w:t>——消耗的第i种化石燃料的活动数据，单位为吉焦（GJ），按公式（2.3）计算；</w:t>
      </w:r>
    </w:p>
    <w:p w14:paraId="462DF85B">
      <w:pPr>
        <w:pStyle w:val="16"/>
        <w:ind w:left="1439" w:leftChars="228" w:hanging="960" w:hangingChars="4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EF</w:t>
      </w:r>
      <w:r>
        <w:rPr>
          <w:rFonts w:hint="default" w:ascii="Times New Roman" w:hAnsi="Times New Roman" w:eastAsia="仿宋_GB2312" w:cs="Times New Roman"/>
          <w:color w:val="auto"/>
          <w:sz w:val="24"/>
          <w:szCs w:val="24"/>
          <w:highlight w:val="none"/>
          <w:vertAlign w:val="subscript"/>
          <w:lang w:val="en-US" w:eastAsia="zh-CN"/>
        </w:rPr>
        <w:t xml:space="preserve">i  </w:t>
      </w:r>
      <w:r>
        <w:rPr>
          <w:rFonts w:hint="default" w:ascii="Times New Roman" w:hAnsi="Times New Roman" w:eastAsia="仿宋_GB2312" w:cs="Times New Roman"/>
          <w:color w:val="auto"/>
          <w:sz w:val="24"/>
          <w:szCs w:val="24"/>
          <w:highlight w:val="none"/>
          <w:lang w:val="en-US" w:eastAsia="zh-CN"/>
        </w:rPr>
        <w:t>——第i种化石燃料的二氧化碳排放因子，单位为吨二氧化碳每吉焦（tCO</w:t>
      </w:r>
      <w:r>
        <w:rPr>
          <w:rFonts w:hint="default" w:ascii="Times New Roman" w:hAnsi="Times New Roman" w:eastAsia="仿宋_GB2312" w:cs="Times New Roman"/>
          <w:color w:val="auto"/>
          <w:sz w:val="24"/>
          <w:szCs w:val="24"/>
          <w:highlight w:val="none"/>
          <w:vertAlign w:val="subscript"/>
          <w:lang w:val="en-US" w:eastAsia="zh-CN"/>
        </w:rPr>
        <w:t>2</w:t>
      </w:r>
      <w:r>
        <w:rPr>
          <w:rFonts w:hint="default" w:ascii="Times New Roman" w:hAnsi="Times New Roman" w:eastAsia="仿宋_GB2312" w:cs="Times New Roman"/>
          <w:color w:val="auto"/>
          <w:sz w:val="24"/>
          <w:szCs w:val="24"/>
          <w:highlight w:val="none"/>
          <w:lang w:val="en-US" w:eastAsia="zh-CN"/>
        </w:rPr>
        <w:t>/GJ），按公式（2.4）计算。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2281E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48C3B20D">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67FC831B">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12"/>
                <w:highlight w:val="none"/>
                <w:lang w:val="en-US" w:eastAsia="zh-CN"/>
              </w:rPr>
              <w:object>
                <v:shape id="_x0000_i1025" o:spt="75" type="#_x0000_t75" style="height:17pt;width:85.05pt;" o:ole="t" filled="f" o:preferrelative="t" stroked="f" coordsize="21600,21600">
                  <v:path/>
                  <v:fill on="f" focussize="0,0"/>
                  <v:stroke on="f"/>
                  <v:imagedata r:id="rId17" o:title=""/>
                  <o:lock v:ext="edit" aspectratio="t"/>
                  <w10:wrap type="none"/>
                  <w10:anchorlock/>
                </v:shape>
                <o:OLEObject Type="Embed" ProgID="Equation.KSEE3" ShapeID="_x0000_i1025" DrawAspect="Content" ObjectID="_1468075729" r:id="rId16">
                  <o:LockedField>false</o:LockedField>
                </o:OLEObject>
              </w:object>
            </w:r>
          </w:p>
        </w:tc>
        <w:tc>
          <w:tcPr>
            <w:tcW w:w="1667" w:type="pct"/>
            <w:tcBorders>
              <w:top w:val="nil"/>
              <w:left w:val="nil"/>
              <w:bottom w:val="nil"/>
              <w:right w:val="nil"/>
            </w:tcBorders>
            <w:shd w:val="clear" w:color="auto" w:fill="auto"/>
            <w:noWrap/>
            <w:vAlign w:val="center"/>
          </w:tcPr>
          <w:p w14:paraId="7386AACC">
            <w:pPr>
              <w:pStyle w:val="16"/>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（2.3）</w:t>
            </w:r>
          </w:p>
        </w:tc>
      </w:tr>
    </w:tbl>
    <w:p w14:paraId="33F90D9D">
      <w:pPr>
        <w:bidi w:val="0"/>
        <w:ind w:firstLine="480" w:firstLineChars="200"/>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bidi="ar-SA"/>
        </w:rPr>
        <w:t>式中：</w:t>
      </w:r>
    </w:p>
    <w:p w14:paraId="0ABCA3ED">
      <w:pPr>
        <w:bidi w:val="0"/>
        <w:ind w:left="1439" w:leftChars="228" w:hanging="960" w:hangingChars="400"/>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bidi="ar-SA"/>
        </w:rPr>
        <w:t>NCV</w:t>
      </w:r>
      <w:r>
        <w:rPr>
          <w:rFonts w:hint="default" w:ascii="Times New Roman" w:hAnsi="Times New Roman" w:eastAsia="仿宋_GB2312" w:cs="Times New Roman"/>
          <w:color w:val="auto"/>
          <w:kern w:val="0"/>
          <w:sz w:val="24"/>
          <w:szCs w:val="24"/>
          <w:highlight w:val="none"/>
          <w:vertAlign w:val="subscript"/>
          <w:lang w:val="en-US" w:eastAsia="zh-CN" w:bidi="ar-SA"/>
        </w:rPr>
        <w:t>i</w:t>
      </w:r>
      <w:r>
        <w:rPr>
          <w:rFonts w:hint="default" w:ascii="Times New Roman" w:hAnsi="Times New Roman" w:eastAsia="仿宋_GB2312" w:cs="Times New Roman"/>
          <w:color w:val="auto"/>
          <w:kern w:val="0"/>
          <w:sz w:val="24"/>
          <w:szCs w:val="24"/>
          <w:highlight w:val="none"/>
          <w:lang w:val="en-US" w:eastAsia="zh-CN" w:bidi="ar-SA"/>
        </w:rPr>
        <w:t>——第i种化石燃料的平均低位发热量。对于固体或液体燃料，单位为吉焦每吨（GJ/t）；对于气体燃料，单位为吉焦每万标立方米（GJ/10</w:t>
      </w:r>
      <w:r>
        <w:rPr>
          <w:rFonts w:hint="default" w:ascii="Times New Roman" w:hAnsi="Times New Roman" w:eastAsia="仿宋_GB2312" w:cs="Times New Roman"/>
          <w:color w:val="auto"/>
          <w:kern w:val="0"/>
          <w:sz w:val="24"/>
          <w:szCs w:val="24"/>
          <w:highlight w:val="none"/>
          <w:vertAlign w:val="superscript"/>
          <w:lang w:val="en-US" w:eastAsia="zh-CN" w:bidi="ar-SA"/>
        </w:rPr>
        <w:t>4</w:t>
      </w:r>
      <w:r>
        <w:rPr>
          <w:rFonts w:hint="default" w:ascii="Times New Roman" w:hAnsi="Times New Roman" w:eastAsia="仿宋_GB2312" w:cs="Times New Roman"/>
          <w:color w:val="auto"/>
          <w:kern w:val="0"/>
          <w:sz w:val="24"/>
          <w:szCs w:val="24"/>
          <w:highlight w:val="none"/>
          <w:lang w:val="en-US" w:eastAsia="zh-CN" w:bidi="ar-SA"/>
        </w:rPr>
        <w:t>Nm</w:t>
      </w:r>
      <w:r>
        <w:rPr>
          <w:rFonts w:hint="default" w:ascii="Times New Roman" w:hAnsi="Times New Roman" w:eastAsia="仿宋_GB2312" w:cs="Times New Roman"/>
          <w:color w:val="auto"/>
          <w:kern w:val="0"/>
          <w:sz w:val="24"/>
          <w:szCs w:val="24"/>
          <w:highlight w:val="none"/>
          <w:vertAlign w:val="superscript"/>
          <w:lang w:val="en-US" w:eastAsia="zh-CN" w:bidi="ar-SA"/>
        </w:rPr>
        <w:t>3</w:t>
      </w:r>
      <w:r>
        <w:rPr>
          <w:rFonts w:hint="default" w:ascii="Times New Roman" w:hAnsi="Times New Roman" w:eastAsia="仿宋_GB2312" w:cs="Times New Roman"/>
          <w:color w:val="auto"/>
          <w:kern w:val="0"/>
          <w:sz w:val="24"/>
          <w:szCs w:val="24"/>
          <w:highlight w:val="none"/>
          <w:lang w:val="en-US" w:eastAsia="zh-CN" w:bidi="ar-SA"/>
        </w:rPr>
        <w:t>）；</w:t>
      </w:r>
    </w:p>
    <w:p w14:paraId="057FA397">
      <w:pPr>
        <w:bidi w:val="0"/>
        <w:ind w:left="1439" w:leftChars="228" w:hanging="960" w:hangingChars="400"/>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bidi="ar-SA"/>
        </w:rPr>
        <w:t>FC</w:t>
      </w:r>
      <w:r>
        <w:rPr>
          <w:rFonts w:hint="default" w:ascii="Times New Roman" w:hAnsi="Times New Roman" w:eastAsia="仿宋_GB2312" w:cs="Times New Roman"/>
          <w:color w:val="auto"/>
          <w:kern w:val="0"/>
          <w:sz w:val="24"/>
          <w:szCs w:val="24"/>
          <w:highlight w:val="none"/>
          <w:vertAlign w:val="subscript"/>
          <w:lang w:val="en-US" w:eastAsia="zh-CN" w:bidi="ar-SA"/>
        </w:rPr>
        <w:t xml:space="preserve">i   </w:t>
      </w:r>
      <w:r>
        <w:rPr>
          <w:rFonts w:hint="default" w:ascii="Times New Roman" w:hAnsi="Times New Roman" w:eastAsia="仿宋_GB2312" w:cs="Times New Roman"/>
          <w:color w:val="auto"/>
          <w:kern w:val="0"/>
          <w:sz w:val="24"/>
          <w:szCs w:val="24"/>
          <w:highlight w:val="none"/>
          <w:lang w:val="en-US" w:eastAsia="zh-CN" w:bidi="ar-SA"/>
        </w:rPr>
        <w:t>——第i种化石燃料的净消耗量。对于固体或液体燃料，单位为吨（t）；对于气体燃料，单位为万标立方米（10</w:t>
      </w:r>
      <w:r>
        <w:rPr>
          <w:rFonts w:hint="default" w:ascii="Times New Roman" w:hAnsi="Times New Roman" w:eastAsia="仿宋_GB2312" w:cs="Times New Roman"/>
          <w:color w:val="auto"/>
          <w:kern w:val="0"/>
          <w:sz w:val="24"/>
          <w:szCs w:val="24"/>
          <w:highlight w:val="none"/>
          <w:vertAlign w:val="superscript"/>
          <w:lang w:val="en-US" w:eastAsia="zh-CN" w:bidi="ar-SA"/>
        </w:rPr>
        <w:t>4</w:t>
      </w:r>
      <w:r>
        <w:rPr>
          <w:rFonts w:hint="default" w:ascii="Times New Roman" w:hAnsi="Times New Roman" w:eastAsia="仿宋_GB2312" w:cs="Times New Roman"/>
          <w:color w:val="auto"/>
          <w:kern w:val="0"/>
          <w:sz w:val="24"/>
          <w:szCs w:val="24"/>
          <w:highlight w:val="none"/>
          <w:lang w:val="en-US" w:eastAsia="zh-CN" w:bidi="ar-SA"/>
        </w:rPr>
        <w:t>Nm</w:t>
      </w:r>
      <w:r>
        <w:rPr>
          <w:rFonts w:hint="default" w:ascii="Times New Roman" w:hAnsi="Times New Roman" w:eastAsia="仿宋_GB2312" w:cs="Times New Roman"/>
          <w:color w:val="auto"/>
          <w:kern w:val="0"/>
          <w:sz w:val="24"/>
          <w:szCs w:val="24"/>
          <w:highlight w:val="none"/>
          <w:vertAlign w:val="superscript"/>
          <w:lang w:val="en-US" w:eastAsia="zh-CN" w:bidi="ar-SA"/>
        </w:rPr>
        <w:t>3</w:t>
      </w:r>
      <w:r>
        <w:rPr>
          <w:rFonts w:hint="default" w:ascii="Times New Roman" w:hAnsi="Times New Roman" w:eastAsia="仿宋_GB2312" w:cs="Times New Roman"/>
          <w:color w:val="auto"/>
          <w:kern w:val="0"/>
          <w:sz w:val="24"/>
          <w:szCs w:val="24"/>
          <w:highlight w:val="none"/>
          <w:lang w:val="en-US" w:eastAsia="zh-CN" w:bidi="ar-SA"/>
        </w:rPr>
        <w:t>）。</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64963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0CDDA1C7">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0730EA04">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24"/>
                <w:highlight w:val="none"/>
                <w:lang w:val="en-US" w:eastAsia="zh-CN"/>
              </w:rPr>
              <w:pict>
                <v:shape id="_x0000_s1031" o:spid="_x0000_s1031" o:spt="75" type="#_x0000_t75" style="position:absolute;left:0pt;margin-left:18.7pt;margin-top:3.85pt;height:28.35pt;width:94.1pt;z-index:251662336;mso-width-relative:page;mso-height-relative:page;" o:ole="t" filled="f" o:preferrelative="t" stroked="f" coordsize="21600,21600">
                  <v:path/>
                  <v:fill on="f" focussize="0,0"/>
                  <v:stroke on="f"/>
                  <v:imagedata r:id="rId19" o:title=""/>
                  <o:lock v:ext="edit" aspectratio="t"/>
                </v:shape>
                <o:OLEObject Type="Embed" ProgID="Equation.KSEE3" ShapeID="_x0000_s1031" DrawAspect="Content" ObjectID="_1468075730" r:id="rId18">
                  <o:LockedField>false</o:LockedField>
                </o:OLEObject>
              </w:pict>
            </w:r>
          </w:p>
        </w:tc>
        <w:tc>
          <w:tcPr>
            <w:tcW w:w="1667" w:type="pct"/>
            <w:tcBorders>
              <w:top w:val="nil"/>
              <w:left w:val="nil"/>
              <w:bottom w:val="nil"/>
              <w:right w:val="nil"/>
            </w:tcBorders>
            <w:shd w:val="clear" w:color="auto" w:fill="auto"/>
            <w:noWrap/>
            <w:vAlign w:val="center"/>
          </w:tcPr>
          <w:p w14:paraId="12D1DDE4">
            <w:pPr>
              <w:pStyle w:val="16"/>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（2.4）</w:t>
            </w:r>
          </w:p>
        </w:tc>
      </w:tr>
    </w:tbl>
    <w:p w14:paraId="5414B00B">
      <w:pPr>
        <w:pStyle w:val="1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式中：</w:t>
      </w:r>
    </w:p>
    <w:p w14:paraId="09BFD5B0">
      <w:pPr>
        <w:pStyle w:val="1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CC</w:t>
      </w:r>
      <w:r>
        <w:rPr>
          <w:rFonts w:hint="default" w:ascii="Times New Roman" w:hAnsi="Times New Roman" w:eastAsia="仿宋_GB2312" w:cs="Times New Roman"/>
          <w:color w:val="auto"/>
          <w:sz w:val="24"/>
          <w:szCs w:val="24"/>
          <w:highlight w:val="none"/>
          <w:vertAlign w:val="subscript"/>
          <w:lang w:val="en-US" w:eastAsia="zh-CN"/>
        </w:rPr>
        <w:t xml:space="preserve">i  </w:t>
      </w:r>
      <w:r>
        <w:rPr>
          <w:rFonts w:hint="default" w:ascii="Times New Roman" w:hAnsi="Times New Roman" w:eastAsia="仿宋_GB2312" w:cs="Times New Roman"/>
          <w:color w:val="auto"/>
          <w:sz w:val="24"/>
          <w:szCs w:val="24"/>
          <w:highlight w:val="none"/>
          <w:lang w:val="en-US" w:eastAsia="zh-CN"/>
        </w:rPr>
        <w:t>——第i种化石燃料的单位热值含碳量，单位为吨碳每吉焦（tC/GJ）；</w:t>
      </w:r>
    </w:p>
    <w:p w14:paraId="21D905ED">
      <w:pPr>
        <w:pStyle w:val="1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OF</w:t>
      </w:r>
      <w:r>
        <w:rPr>
          <w:rFonts w:hint="default" w:ascii="Times New Roman" w:hAnsi="Times New Roman" w:eastAsia="仿宋_GB2312" w:cs="Times New Roman"/>
          <w:color w:val="auto"/>
          <w:sz w:val="24"/>
          <w:szCs w:val="24"/>
          <w:highlight w:val="none"/>
          <w:vertAlign w:val="subscript"/>
          <w:lang w:val="en-US" w:eastAsia="zh-CN"/>
        </w:rPr>
        <w:t xml:space="preserve">i  </w:t>
      </w:r>
      <w:r>
        <w:rPr>
          <w:rFonts w:hint="default" w:ascii="Times New Roman" w:hAnsi="Times New Roman" w:eastAsia="仿宋_GB2312" w:cs="Times New Roman"/>
          <w:color w:val="auto"/>
          <w:sz w:val="24"/>
          <w:szCs w:val="24"/>
          <w:highlight w:val="none"/>
          <w:lang w:val="en-US" w:eastAsia="zh-CN"/>
        </w:rPr>
        <w:t>——第i种化石燃料的碳氧化率，%；</w:t>
      </w:r>
    </w:p>
    <w:p w14:paraId="614A26F7">
      <w:pPr>
        <w:pStyle w:val="16"/>
        <w:keepNext w:val="0"/>
        <w:keepLines w:val="0"/>
        <w:pageBreakBefore w:val="0"/>
        <w:widowControl/>
        <w:kinsoku/>
        <w:wordWrap/>
        <w:overflowPunct/>
        <w:topLinePunct w:val="0"/>
        <w:bidi w:val="0"/>
        <w:adjustRightInd/>
        <w:snapToGrid/>
        <w:spacing w:line="360" w:lineRule="auto"/>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44/12——二氧化碳与碳的相对分子质量之比。</w:t>
      </w:r>
    </w:p>
    <w:p w14:paraId="2596FFE2">
      <w:pPr>
        <w:bidi w:val="0"/>
        <w:ind w:firstLine="560" w:firstLineChars="200"/>
        <w:rPr>
          <w:rFonts w:hint="default" w:ascii="Times New Roman" w:hAnsi="Times New Roman" w:eastAsia="黑体" w:cs="Times New Roman"/>
          <w:color w:val="auto"/>
          <w:sz w:val="28"/>
          <w:szCs w:val="28"/>
          <w:lang w:val="en-US" w:eastAsia="zh-CN"/>
        </w:rPr>
      </w:pPr>
      <w:bookmarkStart w:id="21" w:name="_Toc28552"/>
      <w:r>
        <w:rPr>
          <w:rFonts w:hint="default" w:ascii="Times New Roman" w:hAnsi="Times New Roman" w:eastAsia="黑体" w:cs="Times New Roman"/>
          <w:color w:val="auto"/>
          <w:sz w:val="28"/>
          <w:szCs w:val="28"/>
          <w:lang w:val="en-US" w:eastAsia="zh-CN"/>
        </w:rPr>
        <w:t>3.购入和输出的电力和热力产生的排放</w:t>
      </w:r>
      <w:bookmarkEnd w:id="21"/>
    </w:p>
    <w:p w14:paraId="5115FF37">
      <w:pPr>
        <w:pStyle w:val="16"/>
        <w:keepNext w:val="0"/>
        <w:keepLines w:val="0"/>
        <w:pageBreakBefore w:val="0"/>
        <w:widowControl/>
        <w:kinsoku/>
        <w:wordWrap/>
        <w:overflowPunct/>
        <w:topLinePunct w:val="0"/>
        <w:bidi w:val="0"/>
        <w:adjustRightInd/>
        <w:snapToGrid/>
        <w:spacing w:line="360" w:lineRule="auto"/>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购入电力产生的碳排放量按公式（2.5）计算：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02837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2FB7F2E0">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2B47A0F5">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14"/>
                <w:highlight w:val="none"/>
                <w:lang w:val="en-US" w:eastAsia="zh-CN"/>
              </w:rPr>
              <w:object>
                <v:shape id="_x0000_i1026" o:spt="75" type="#_x0000_t75" style="height:17pt;width:101.8pt;" o:ole="t" filled="f" o:preferrelative="t" stroked="f" coordsize="21600,21600">
                  <v:path/>
                  <v:fill on="f" focussize="0,0"/>
                  <v:stroke on="f"/>
                  <v:imagedata r:id="rId21" o:title=""/>
                  <o:lock v:ext="edit" aspectratio="t"/>
                  <w10:wrap type="none"/>
                  <w10:anchorlock/>
                </v:shape>
                <o:OLEObject Type="Embed" ProgID="Equation.KSEE3" ShapeID="_x0000_i1026" DrawAspect="Content" ObjectID="_1468075731" r:id="rId20">
                  <o:LockedField>false</o:LockedField>
                </o:OLEObject>
              </w:object>
            </w:r>
          </w:p>
        </w:tc>
        <w:tc>
          <w:tcPr>
            <w:tcW w:w="1667" w:type="pct"/>
            <w:tcBorders>
              <w:top w:val="nil"/>
              <w:left w:val="nil"/>
              <w:bottom w:val="nil"/>
              <w:right w:val="nil"/>
            </w:tcBorders>
            <w:shd w:val="clear" w:color="auto" w:fill="auto"/>
            <w:noWrap/>
            <w:vAlign w:val="center"/>
          </w:tcPr>
          <w:p w14:paraId="268C8D4F">
            <w:pPr>
              <w:pStyle w:val="16"/>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（2.5）</w:t>
            </w:r>
          </w:p>
        </w:tc>
      </w:tr>
    </w:tbl>
    <w:p w14:paraId="2B763717">
      <w:pPr>
        <w:pStyle w:val="16"/>
        <w:ind w:firstLine="42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式中</w:t>
      </w:r>
      <w:r>
        <w:rPr>
          <w:rFonts w:hint="default" w:ascii="Times New Roman" w:hAnsi="Times New Roman" w:eastAsia="仿宋_GB2312" w:cs="Times New Roman"/>
          <w:color w:val="auto"/>
          <w:sz w:val="24"/>
          <w:szCs w:val="24"/>
          <w:highlight w:val="none"/>
          <w:lang w:eastAsia="zh-CN"/>
        </w:rPr>
        <w:t>：</w:t>
      </w:r>
    </w:p>
    <w:p w14:paraId="4C33324B">
      <w:pPr>
        <w:pStyle w:val="16"/>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AD</w:t>
      </w:r>
      <w:r>
        <w:rPr>
          <w:rFonts w:hint="default" w:ascii="Times New Roman" w:hAnsi="Times New Roman" w:eastAsia="仿宋_GB2312" w:cs="Times New Roman"/>
          <w:color w:val="auto"/>
          <w:sz w:val="24"/>
          <w:szCs w:val="24"/>
          <w:highlight w:val="none"/>
          <w:vertAlign w:val="subscript"/>
        </w:rPr>
        <w:t>购入电</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购入的电量</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单位为兆瓦时</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MW·h</w:t>
      </w:r>
      <w:r>
        <w:rPr>
          <w:rFonts w:hint="default" w:ascii="Times New Roman" w:hAnsi="Times New Roman" w:eastAsia="仿宋_GB2312" w:cs="Times New Roman"/>
          <w:color w:val="auto"/>
          <w:sz w:val="24"/>
          <w:szCs w:val="24"/>
          <w:highlight w:val="none"/>
          <w:lang w:eastAsia="zh-CN"/>
        </w:rPr>
        <w:t>）；</w:t>
      </w:r>
    </w:p>
    <w:p w14:paraId="28C01A5B">
      <w:pPr>
        <w:pStyle w:val="16"/>
        <w:ind w:left="1919" w:leftChars="228" w:hanging="1440" w:hangingChars="60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EF</w:t>
      </w:r>
      <w:r>
        <w:rPr>
          <w:rFonts w:hint="default" w:ascii="Times New Roman" w:hAnsi="Times New Roman" w:eastAsia="仿宋_GB2312" w:cs="Times New Roman"/>
          <w:color w:val="auto"/>
          <w:sz w:val="24"/>
          <w:szCs w:val="24"/>
          <w:highlight w:val="none"/>
          <w:vertAlign w:val="subscript"/>
        </w:rPr>
        <w:t>电</w:t>
      </w:r>
      <w:r>
        <w:rPr>
          <w:rFonts w:hint="default" w:ascii="Times New Roman" w:hAnsi="Times New Roman" w:eastAsia="仿宋_GB2312" w:cs="Times New Roman"/>
          <w:color w:val="auto"/>
          <w:sz w:val="24"/>
          <w:szCs w:val="24"/>
          <w:highlight w:val="none"/>
          <w:vertAlign w:val="subscript"/>
          <w:lang w:val="en-US" w:eastAsia="zh-CN"/>
        </w:rPr>
        <w:t xml:space="preserve"> </w:t>
      </w:r>
      <w:r>
        <w:rPr>
          <w:rFonts w:hint="eastAsia" w:ascii="Times New Roman" w:eastAsia="仿宋_GB2312" w:cs="Times New Roman"/>
          <w:color w:val="auto"/>
          <w:sz w:val="24"/>
          <w:szCs w:val="24"/>
          <w:highlight w:val="none"/>
          <w:vertAlign w:val="subscript"/>
          <w:lang w:val="en-US" w:eastAsia="zh-CN"/>
        </w:rPr>
        <w:t xml:space="preserve"> </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电力平均二氧化碳排放因子</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单位为吨二氧化碳每兆瓦时[tCO</w:t>
      </w:r>
      <w:r>
        <w:rPr>
          <w:rFonts w:hint="default" w:ascii="Times New Roman" w:hAnsi="Times New Roman" w:eastAsia="仿宋_GB2312" w:cs="Times New Roman"/>
          <w:color w:val="auto"/>
          <w:sz w:val="24"/>
          <w:szCs w:val="24"/>
          <w:highlight w:val="none"/>
          <w:vertAlign w:val="subscript"/>
        </w:rPr>
        <w:t>2</w:t>
      </w:r>
      <w:r>
        <w:rPr>
          <w:rFonts w:hint="default" w:ascii="Times New Roman" w:hAnsi="Times New Roman" w:eastAsia="仿宋_GB2312" w:cs="Times New Roman"/>
          <w:color w:val="auto"/>
          <w:sz w:val="24"/>
          <w:szCs w:val="24"/>
          <w:highlight w:val="none"/>
        </w:rPr>
        <w:t>/(MW·h)]</w:t>
      </w:r>
      <w:r>
        <w:rPr>
          <w:rFonts w:hint="default" w:ascii="Times New Roman" w:hAnsi="Times New Roman" w:eastAsia="仿宋_GB2312" w:cs="Times New Roman"/>
          <w:color w:val="auto"/>
          <w:sz w:val="24"/>
          <w:szCs w:val="24"/>
          <w:highlight w:val="none"/>
          <w:lang w:eastAsia="zh-CN"/>
        </w:rPr>
        <w:t>。</w:t>
      </w:r>
    </w:p>
    <w:p w14:paraId="71B8B963">
      <w:pPr>
        <w:pStyle w:val="16"/>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32"/>
          <w:szCs w:val="32"/>
          <w:highlight w:val="none"/>
          <w:lang w:val="en-US" w:eastAsia="zh-CN"/>
        </w:rPr>
        <w:t>购入热力产生的碳排放量按公式（2.6）计算：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6BBF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2E0DE515">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55D42F96">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14"/>
                <w:highlight w:val="none"/>
                <w:lang w:val="en-US" w:eastAsia="zh-CN"/>
              </w:rPr>
              <w:object>
                <v:shape id="_x0000_i1027" o:spt="75" type="#_x0000_t75" style="height:17pt;width:102.75pt;" o:ole="t" filled="f" o:preferrelative="t" stroked="f" coordsize="21600,21600">
                  <v:path/>
                  <v:fill on="f" focussize="0,0"/>
                  <v:stroke on="f"/>
                  <v:imagedata r:id="rId23" o:title=""/>
                  <o:lock v:ext="edit" aspectratio="t"/>
                  <w10:wrap type="none"/>
                  <w10:anchorlock/>
                </v:shape>
                <o:OLEObject Type="Embed" ProgID="Equation.KSEE3" ShapeID="_x0000_i1027" DrawAspect="Content" ObjectID="_1468075732" r:id="rId22">
                  <o:LockedField>false</o:LockedField>
                </o:OLEObject>
              </w:object>
            </w:r>
          </w:p>
        </w:tc>
        <w:tc>
          <w:tcPr>
            <w:tcW w:w="1667" w:type="pct"/>
            <w:tcBorders>
              <w:top w:val="nil"/>
              <w:left w:val="nil"/>
              <w:bottom w:val="nil"/>
              <w:right w:val="nil"/>
            </w:tcBorders>
            <w:shd w:val="clear" w:color="auto" w:fill="auto"/>
            <w:noWrap/>
            <w:vAlign w:val="center"/>
          </w:tcPr>
          <w:p w14:paraId="5A3FA92C">
            <w:pPr>
              <w:pStyle w:val="16"/>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（2.6）</w:t>
            </w:r>
          </w:p>
        </w:tc>
      </w:tr>
    </w:tbl>
    <w:p w14:paraId="341076A6">
      <w:pPr>
        <w:pStyle w:val="16"/>
        <w:ind w:firstLine="420"/>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式中：</w:t>
      </w:r>
    </w:p>
    <w:p w14:paraId="49A3A697">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AD</w:t>
      </w:r>
      <w:r>
        <w:rPr>
          <w:rFonts w:hint="default" w:ascii="Times New Roman" w:hAnsi="Times New Roman" w:eastAsia="仿宋_GB2312" w:cs="Times New Roman"/>
          <w:color w:val="auto"/>
          <w:position w:val="-14"/>
          <w:sz w:val="24"/>
          <w:szCs w:val="24"/>
          <w:highlight w:val="none"/>
          <w:vertAlign w:val="subscript"/>
          <w:lang w:val="en-US" w:eastAsia="zh-CN"/>
        </w:rPr>
        <w:t>购入热</w:t>
      </w:r>
      <w:r>
        <w:rPr>
          <w:rFonts w:hint="default" w:ascii="Times New Roman" w:hAnsi="Times New Roman" w:eastAsia="仿宋_GB2312" w:cs="Times New Roman"/>
          <w:color w:val="auto"/>
          <w:position w:val="-14"/>
          <w:sz w:val="24"/>
          <w:szCs w:val="24"/>
          <w:highlight w:val="none"/>
          <w:lang w:val="en-US" w:eastAsia="zh-CN"/>
        </w:rPr>
        <w:t>——购入的热量，单位为吉焦（GJ）；</w:t>
      </w:r>
    </w:p>
    <w:p w14:paraId="0D53DF00">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EF</w:t>
      </w:r>
      <w:r>
        <w:rPr>
          <w:rFonts w:hint="default" w:ascii="Times New Roman" w:hAnsi="Times New Roman" w:eastAsia="仿宋_GB2312" w:cs="Times New Roman"/>
          <w:color w:val="auto"/>
          <w:position w:val="-14"/>
          <w:sz w:val="24"/>
          <w:szCs w:val="24"/>
          <w:highlight w:val="none"/>
          <w:vertAlign w:val="subscript"/>
          <w:lang w:val="en-US" w:eastAsia="zh-CN"/>
        </w:rPr>
        <w:t xml:space="preserve">热    </w:t>
      </w:r>
      <w:r>
        <w:rPr>
          <w:rFonts w:hint="default" w:ascii="Times New Roman" w:hAnsi="Times New Roman" w:eastAsia="仿宋_GB2312" w:cs="Times New Roman"/>
          <w:color w:val="auto"/>
          <w:position w:val="-14"/>
          <w:sz w:val="24"/>
          <w:szCs w:val="24"/>
          <w:highlight w:val="none"/>
          <w:lang w:val="en-US" w:eastAsia="zh-CN"/>
        </w:rPr>
        <w:t>——热力排放因子，单位为吨二氧化碳每吉焦（tCO</w:t>
      </w:r>
      <w:r>
        <w:rPr>
          <w:rFonts w:hint="default" w:ascii="Times New Roman" w:hAnsi="Times New Roman" w:eastAsia="仿宋_GB2312" w:cs="Times New Roman"/>
          <w:color w:val="auto"/>
          <w:position w:val="-14"/>
          <w:sz w:val="24"/>
          <w:szCs w:val="24"/>
          <w:highlight w:val="none"/>
          <w:vertAlign w:val="subscript"/>
          <w:lang w:val="en-US" w:eastAsia="zh-CN"/>
        </w:rPr>
        <w:t>2</w:t>
      </w:r>
      <w:r>
        <w:rPr>
          <w:rFonts w:hint="default" w:ascii="Times New Roman" w:hAnsi="Times New Roman" w:eastAsia="仿宋_GB2312" w:cs="Times New Roman"/>
          <w:color w:val="auto"/>
          <w:position w:val="-14"/>
          <w:sz w:val="24"/>
          <w:szCs w:val="24"/>
          <w:highlight w:val="none"/>
          <w:lang w:val="en-US" w:eastAsia="zh-CN"/>
        </w:rPr>
        <w:t>/GJ）。</w:t>
      </w:r>
    </w:p>
    <w:p w14:paraId="63F5FCA8">
      <w:pPr>
        <w:pStyle w:val="1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输出电力产生的碳排放量按公式（2.7）计算。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7BF2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bottom"/>
          </w:tcPr>
          <w:p w14:paraId="60DB471B">
            <w:pP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7CF61942">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14"/>
                <w:highlight w:val="none"/>
                <w:lang w:val="en-US" w:eastAsia="zh-CN"/>
              </w:rPr>
              <w:object>
                <v:shape id="_x0000_i1028" o:spt="75" type="#_x0000_t75" style="height:17pt;width:101.9pt;" o:ole="t" filled="f" o:preferrelative="t" stroked="f" coordsize="21600,21600">
                  <v:path/>
                  <v:fill on="f" focussize="0,0"/>
                  <v:stroke on="f"/>
                  <v:imagedata r:id="rId25" o:title=""/>
                  <o:lock v:ext="edit" aspectratio="t"/>
                  <w10:wrap type="none"/>
                  <w10:anchorlock/>
                </v:shape>
                <o:OLEObject Type="Embed" ProgID="Equation.KSEE3" ShapeID="_x0000_i1028" DrawAspect="Content" ObjectID="_1468075733" r:id="rId24">
                  <o:LockedField>false</o:LockedField>
                </o:OLEObject>
              </w:object>
            </w:r>
          </w:p>
        </w:tc>
        <w:tc>
          <w:tcPr>
            <w:tcW w:w="1667" w:type="pct"/>
            <w:tcBorders>
              <w:top w:val="nil"/>
              <w:left w:val="nil"/>
              <w:bottom w:val="nil"/>
              <w:right w:val="nil"/>
            </w:tcBorders>
            <w:shd w:val="clear" w:color="auto" w:fill="auto"/>
            <w:noWrap/>
            <w:vAlign w:val="bottom"/>
          </w:tcPr>
          <w:p w14:paraId="616D8549">
            <w:pPr>
              <w:pStyle w:val="16"/>
              <w:ind w:firstLine="420"/>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（2.7）</w:t>
            </w:r>
          </w:p>
        </w:tc>
      </w:tr>
    </w:tbl>
    <w:p w14:paraId="258182B4">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式中：</w:t>
      </w:r>
    </w:p>
    <w:p w14:paraId="02F6A7A7">
      <w:pPr>
        <w:pStyle w:val="16"/>
        <w:ind w:firstLine="960" w:firstLineChars="400"/>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AD</w:t>
      </w:r>
      <w:r>
        <w:rPr>
          <w:rFonts w:hint="default" w:ascii="Times New Roman" w:hAnsi="Times New Roman" w:eastAsia="仿宋_GB2312" w:cs="Times New Roman"/>
          <w:color w:val="auto"/>
          <w:position w:val="-14"/>
          <w:sz w:val="24"/>
          <w:szCs w:val="24"/>
          <w:highlight w:val="none"/>
          <w:vertAlign w:val="subscript"/>
          <w:lang w:val="en-US" w:eastAsia="zh-CN"/>
        </w:rPr>
        <w:t>输出电</w:t>
      </w:r>
      <w:r>
        <w:rPr>
          <w:rFonts w:hint="default" w:ascii="Times New Roman" w:hAnsi="Times New Roman" w:eastAsia="仿宋_GB2312" w:cs="Times New Roman"/>
          <w:color w:val="auto"/>
          <w:position w:val="-14"/>
          <w:sz w:val="24"/>
          <w:szCs w:val="24"/>
          <w:highlight w:val="none"/>
          <w:lang w:val="en-US" w:eastAsia="zh-CN"/>
        </w:rPr>
        <w:t>——输出的电量，单位为兆瓦时（MW·h）。</w:t>
      </w:r>
    </w:p>
    <w:p w14:paraId="7851CC84">
      <w:pPr>
        <w:pStyle w:val="1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输出热力产生的碳排放量按公式（2.8）计算：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5827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7EA1852C">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6CB7A036">
            <w:pPr>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14"/>
                <w:highlight w:val="none"/>
                <w:lang w:val="en-US" w:eastAsia="zh-CN"/>
              </w:rPr>
              <w:object>
                <v:shape id="_x0000_i1029" o:spt="75" type="#_x0000_t75" style="height:17pt;width:102.75pt;" o:ole="t" filled="f" o:preferrelative="t" stroked="f" coordsize="21600,21600">
                  <v:path/>
                  <v:fill on="f" focussize="0,0"/>
                  <v:stroke on="f"/>
                  <v:imagedata r:id="rId27" o:title=""/>
                  <o:lock v:ext="edit" aspectratio="t"/>
                  <w10:wrap type="none"/>
                  <w10:anchorlock/>
                </v:shape>
                <o:OLEObject Type="Embed" ProgID="Equation.KSEE3" ShapeID="_x0000_i1029" DrawAspect="Content" ObjectID="_1468075734" r:id="rId26">
                  <o:LockedField>false</o:LockedField>
                </o:OLEObject>
              </w:object>
            </w:r>
          </w:p>
        </w:tc>
        <w:tc>
          <w:tcPr>
            <w:tcW w:w="1667" w:type="pct"/>
            <w:tcBorders>
              <w:top w:val="nil"/>
              <w:left w:val="nil"/>
              <w:bottom w:val="nil"/>
              <w:right w:val="nil"/>
            </w:tcBorders>
            <w:shd w:val="clear" w:color="auto" w:fill="auto"/>
            <w:noWrap/>
            <w:vAlign w:val="bottom"/>
          </w:tcPr>
          <w:p w14:paraId="22778E3F">
            <w:pPr>
              <w:pStyle w:val="16"/>
              <w:ind w:firstLine="420"/>
              <w:jc w:val="right"/>
              <w:rPr>
                <w:rFonts w:hint="default" w:ascii="Times New Roman" w:hAnsi="Times New Roman" w:eastAsia="等线" w:cs="Times New Roman"/>
                <w:b/>
                <w:bCs/>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（2.8）</w:t>
            </w:r>
          </w:p>
        </w:tc>
      </w:tr>
    </w:tbl>
    <w:p w14:paraId="01A962BF">
      <w:pPr>
        <w:pStyle w:val="16"/>
        <w:ind w:firstLine="420"/>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式中：</w:t>
      </w:r>
    </w:p>
    <w:p w14:paraId="380CEFC6">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AD</w:t>
      </w:r>
      <w:r>
        <w:rPr>
          <w:rFonts w:hint="default" w:ascii="Times New Roman" w:hAnsi="Times New Roman" w:eastAsia="仿宋_GB2312" w:cs="Times New Roman"/>
          <w:color w:val="auto"/>
          <w:position w:val="-14"/>
          <w:sz w:val="24"/>
          <w:szCs w:val="24"/>
          <w:highlight w:val="none"/>
          <w:vertAlign w:val="subscript"/>
          <w:lang w:val="en-US" w:eastAsia="zh-CN"/>
        </w:rPr>
        <w:t>输出热</w:t>
      </w:r>
      <w:r>
        <w:rPr>
          <w:rFonts w:hint="default" w:ascii="Times New Roman" w:hAnsi="Times New Roman" w:eastAsia="仿宋_GB2312" w:cs="Times New Roman"/>
          <w:color w:val="auto"/>
          <w:position w:val="-14"/>
          <w:sz w:val="24"/>
          <w:szCs w:val="24"/>
          <w:highlight w:val="none"/>
          <w:lang w:val="en-US" w:eastAsia="zh-CN"/>
        </w:rPr>
        <w:t>——输出的热量，单位为吉焦（GJ）。</w:t>
      </w:r>
    </w:p>
    <w:p w14:paraId="24EEB305">
      <w:pPr>
        <w:pStyle w:val="16"/>
        <w:ind w:firstLine="420"/>
        <w:rPr>
          <w:rFonts w:hint="default" w:ascii="Times New Roman" w:hAnsi="Times New Roman" w:cs="Times New Roman"/>
          <w:color w:val="auto"/>
          <w:highlight w:val="none"/>
        </w:rPr>
      </w:pPr>
    </w:p>
    <w:p w14:paraId="77ED2FEB">
      <w:pPr>
        <w:pStyle w:val="16"/>
        <w:ind w:firstLine="420"/>
        <w:rPr>
          <w:rFonts w:hint="default" w:ascii="Times New Roman" w:hAnsi="Times New Roman" w:cs="Times New Roman"/>
          <w:color w:val="auto"/>
          <w:highlight w:val="none"/>
        </w:rPr>
      </w:pPr>
    </w:p>
    <w:p w14:paraId="4EB5F33E">
      <w:pPr>
        <w:bidi w:val="0"/>
        <w:ind w:firstLine="560" w:firstLineChars="200"/>
        <w:rPr>
          <w:rFonts w:hint="default" w:ascii="Times New Roman" w:hAnsi="Times New Roman" w:eastAsia="黑体" w:cs="Times New Roman"/>
          <w:color w:val="auto"/>
          <w:sz w:val="28"/>
          <w:szCs w:val="28"/>
          <w:lang w:val="en-US" w:eastAsia="zh-CN"/>
        </w:rPr>
      </w:pPr>
      <w:bookmarkStart w:id="22" w:name="_Toc30798"/>
      <w:r>
        <w:rPr>
          <w:rFonts w:hint="default" w:ascii="Times New Roman" w:hAnsi="Times New Roman" w:eastAsia="黑体" w:cs="Times New Roman"/>
          <w:color w:val="auto"/>
          <w:sz w:val="28"/>
          <w:szCs w:val="28"/>
          <w:lang w:val="en-US" w:eastAsia="zh-CN"/>
        </w:rPr>
        <w:t>4.过程排放</w:t>
      </w:r>
      <w:bookmarkEnd w:id="22"/>
    </w:p>
    <w:p w14:paraId="4BA1533E">
      <w:pPr>
        <w:pStyle w:val="16"/>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按照过程分别计算其产生的</w:t>
      </w:r>
      <w:r>
        <w:rPr>
          <w:rFonts w:hint="default" w:ascii="Times New Roman" w:hAnsi="Times New Roman" w:eastAsia="仿宋_GB2312" w:cs="Times New Roman"/>
          <w:color w:val="auto"/>
          <w:sz w:val="32"/>
          <w:szCs w:val="32"/>
          <w:highlight w:val="none"/>
          <w:lang w:val="en-US" w:eastAsia="zh-CN"/>
        </w:rPr>
        <w:t>碳</w:t>
      </w:r>
      <w:r>
        <w:rPr>
          <w:rFonts w:hint="default" w:ascii="Times New Roman" w:hAnsi="Times New Roman" w:eastAsia="仿宋_GB2312" w:cs="Times New Roman"/>
          <w:color w:val="auto"/>
          <w:sz w:val="32"/>
          <w:szCs w:val="32"/>
          <w:highlight w:val="none"/>
        </w:rPr>
        <w:t>排放量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并以二氧化碳当量为单位进行加总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按</w:t>
      </w:r>
      <w:r>
        <w:rPr>
          <w:rFonts w:hint="default" w:ascii="Times New Roman" w:hAnsi="Times New Roman" w:eastAsia="仿宋_GB2312" w:cs="Times New Roman"/>
          <w:color w:val="auto"/>
          <w:sz w:val="32"/>
          <w:szCs w:val="32"/>
          <w:highlight w:val="none"/>
        </w:rPr>
        <w:t>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2.9）计算：</w:t>
      </w:r>
    </w:p>
    <w:p w14:paraId="06EF22FC">
      <w:pPr>
        <w:pStyle w:val="16"/>
        <w:ind w:firstLine="420"/>
        <w:rPr>
          <w:rFonts w:hint="default" w:ascii="Times New Roman" w:hAnsi="Times New Roman" w:cs="Times New Roman"/>
          <w:color w:val="auto"/>
          <w:highlight w:val="none"/>
        </w:rPr>
      </w:pP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0"/>
        <w:gridCol w:w="2610"/>
        <w:gridCol w:w="3839"/>
      </w:tblGrid>
      <w:tr w14:paraId="0E3D7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66" w:type="pct"/>
            <w:tcBorders>
              <w:top w:val="nil"/>
              <w:left w:val="nil"/>
              <w:bottom w:val="nil"/>
              <w:right w:val="nil"/>
            </w:tcBorders>
            <w:shd w:val="clear" w:color="auto" w:fill="auto"/>
            <w:noWrap/>
            <w:vAlign w:val="center"/>
          </w:tcPr>
          <w:p w14:paraId="3B0ABA61">
            <w:pPr>
              <w:jc w:val="center"/>
              <w:rPr>
                <w:rFonts w:hint="default" w:ascii="Times New Roman" w:hAnsi="Times New Roman" w:eastAsia="等线" w:cs="Times New Roman"/>
                <w:i w:val="0"/>
                <w:iCs w:val="0"/>
                <w:color w:val="auto"/>
                <w:sz w:val="22"/>
                <w:szCs w:val="22"/>
                <w:highlight w:val="none"/>
                <w:u w:val="none"/>
              </w:rPr>
            </w:pPr>
          </w:p>
        </w:tc>
        <w:tc>
          <w:tcPr>
            <w:tcW w:w="1666" w:type="pct"/>
            <w:tcBorders>
              <w:top w:val="nil"/>
              <w:left w:val="nil"/>
              <w:bottom w:val="nil"/>
              <w:right w:val="nil"/>
            </w:tcBorders>
            <w:shd w:val="clear" w:color="auto" w:fill="auto"/>
            <w:noWrap/>
            <w:vAlign w:val="center"/>
          </w:tcPr>
          <w:p w14:paraId="55E12AE5">
            <w:pPr>
              <w:jc w:val="right"/>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cs="Times New Roman"/>
                <w:color w:val="auto"/>
                <w:position w:val="-28"/>
                <w:highlight w:val="none"/>
                <w:lang w:val="en-US" w:eastAsia="zh-CN"/>
              </w:rPr>
              <w:pict>
                <v:shape id="_x0000_s1032" o:spid="_x0000_s1032" o:spt="75" type="#_x0000_t75" style="position:absolute;left:0pt;margin-left:31.1pt;margin-top:5.85pt;height:24.1pt;width:78.65pt;z-index:251662336;mso-width-relative:page;mso-height-relative:page;" o:ole="t" filled="f" o:preferrelative="t" stroked="f" coordsize="21600,21600">
                  <v:path/>
                  <v:fill on="f" focussize="0,0"/>
                  <v:stroke on="f"/>
                  <v:imagedata r:id="rId29" o:title=""/>
                  <o:lock v:ext="edit" aspectratio="t"/>
                </v:shape>
                <o:OLEObject Type="Embed" ProgID="Equation.KSEE3" ShapeID="_x0000_s1032" DrawAspect="Content" ObjectID="_1468075735" r:id="rId28">
                  <o:LockedField>false</o:LockedField>
                </o:OLEObject>
              </w:pict>
            </w:r>
          </w:p>
        </w:tc>
        <w:tc>
          <w:tcPr>
            <w:tcW w:w="1667" w:type="pct"/>
            <w:tcBorders>
              <w:top w:val="nil"/>
              <w:left w:val="nil"/>
              <w:bottom w:val="nil"/>
              <w:right w:val="nil"/>
            </w:tcBorders>
            <w:shd w:val="clear" w:color="auto" w:fill="auto"/>
            <w:noWrap/>
            <w:vAlign w:val="center"/>
          </w:tcPr>
          <w:p w14:paraId="2ADD40CB">
            <w:pPr>
              <w:pStyle w:val="16"/>
              <w:ind w:firstLine="420"/>
              <w:jc w:val="center"/>
              <w:rPr>
                <w:rFonts w:hint="default" w:ascii="Times New Roman" w:hAnsi="Times New Roman" w:eastAsia="等线"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（2.9）</w:t>
            </w:r>
          </w:p>
        </w:tc>
      </w:tr>
    </w:tbl>
    <w:p w14:paraId="6914B168">
      <w:pPr>
        <w:pStyle w:val="16"/>
        <w:ind w:left="0" w:leftChars="0" w:firstLine="0" w:firstLineChars="0"/>
        <w:rPr>
          <w:rFonts w:hint="default" w:ascii="Times New Roman" w:hAnsi="Times New Roman" w:cs="Times New Roman"/>
          <w:color w:val="auto"/>
          <w:position w:val="-14"/>
          <w:highlight w:val="none"/>
          <w:lang w:val="en-US" w:eastAsia="zh-CN"/>
        </w:rPr>
      </w:pPr>
    </w:p>
    <w:p w14:paraId="29149672">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式中：</w:t>
      </w:r>
    </w:p>
    <w:p w14:paraId="4B6FCEF3">
      <w:pPr>
        <w:pStyle w:val="16"/>
        <w:rPr>
          <w:rFonts w:hint="default" w:ascii="Times New Roman" w:hAnsi="Times New Roman" w:eastAsia="仿宋_GB2312" w:cs="Times New Roman"/>
          <w:color w:val="auto"/>
          <w:position w:val="-14"/>
          <w:sz w:val="24"/>
          <w:szCs w:val="24"/>
          <w:highlight w:val="none"/>
          <w:lang w:val="en-US" w:eastAsia="zh-CN"/>
        </w:rPr>
      </w:pPr>
      <w:r>
        <w:rPr>
          <w:rFonts w:hint="default" w:ascii="Times New Roman" w:hAnsi="Times New Roman" w:eastAsia="仿宋_GB2312" w:cs="Times New Roman"/>
          <w:color w:val="auto"/>
          <w:position w:val="-14"/>
          <w:sz w:val="24"/>
          <w:szCs w:val="24"/>
          <w:highlight w:val="none"/>
          <w:lang w:val="en-US" w:eastAsia="zh-CN"/>
        </w:rPr>
        <w:t>E</w:t>
      </w:r>
      <w:r>
        <w:rPr>
          <w:rFonts w:hint="default" w:ascii="Times New Roman" w:hAnsi="Times New Roman" w:eastAsia="仿宋_GB2312" w:cs="Times New Roman"/>
          <w:color w:val="auto"/>
          <w:position w:val="-14"/>
          <w:sz w:val="24"/>
          <w:szCs w:val="24"/>
          <w:highlight w:val="none"/>
          <w:vertAlign w:val="subscript"/>
          <w:lang w:val="en-US" w:eastAsia="zh-CN"/>
        </w:rPr>
        <w:t>过程i</w:t>
      </w:r>
      <w:r>
        <w:rPr>
          <w:rFonts w:hint="default" w:ascii="Times New Roman" w:hAnsi="Times New Roman" w:eastAsia="仿宋_GB2312" w:cs="Times New Roman"/>
          <w:color w:val="auto"/>
          <w:position w:val="-14"/>
          <w:sz w:val="24"/>
          <w:szCs w:val="24"/>
          <w:highlight w:val="none"/>
          <w:lang w:val="en-US" w:eastAsia="zh-CN"/>
        </w:rPr>
        <w:t>——第i个过程产生的碳排放量，单位为吨二氧化碳当量（tCO</w:t>
      </w:r>
      <w:r>
        <w:rPr>
          <w:rFonts w:hint="default" w:ascii="Times New Roman" w:hAnsi="Times New Roman" w:eastAsia="仿宋_GB2312" w:cs="Times New Roman"/>
          <w:color w:val="auto"/>
          <w:position w:val="-14"/>
          <w:sz w:val="24"/>
          <w:szCs w:val="24"/>
          <w:highlight w:val="none"/>
          <w:vertAlign w:val="subscript"/>
          <w:lang w:val="en-US" w:eastAsia="zh-CN"/>
        </w:rPr>
        <w:t>2e</w:t>
      </w:r>
      <w:r>
        <w:rPr>
          <w:rFonts w:hint="default" w:ascii="Times New Roman" w:hAnsi="Times New Roman" w:eastAsia="仿宋_GB2312" w:cs="Times New Roman"/>
          <w:color w:val="auto"/>
          <w:position w:val="-14"/>
          <w:sz w:val="24"/>
          <w:szCs w:val="24"/>
          <w:highlight w:val="none"/>
          <w:lang w:val="en-US" w:eastAsia="zh-CN"/>
        </w:rPr>
        <w:t>)。</w:t>
      </w:r>
    </w:p>
    <w:p w14:paraId="15CEF3F8">
      <w:pPr>
        <w:pStyle w:val="16"/>
        <w:ind w:firstLine="840" w:firstLineChars="400"/>
        <w:rPr>
          <w:rFonts w:hint="default" w:ascii="Times New Roman" w:hAnsi="Times New Roman" w:cs="Times New Roman"/>
          <w:color w:val="auto"/>
          <w:position w:val="-14"/>
          <w:highlight w:val="none"/>
          <w:lang w:val="en-US" w:eastAsia="zh-CN"/>
        </w:rPr>
      </w:pPr>
    </w:p>
    <w:p w14:paraId="6DA39435">
      <w:pPr>
        <w:pStyle w:val="16"/>
        <w:ind w:firstLine="840" w:firstLineChars="400"/>
        <w:rPr>
          <w:rFonts w:hint="default" w:ascii="Times New Roman" w:hAnsi="Times New Roman" w:cs="Times New Roman"/>
          <w:color w:val="auto"/>
          <w:position w:val="-14"/>
          <w:highlight w:val="none"/>
          <w:lang w:val="en-US" w:eastAsia="zh-CN"/>
        </w:rPr>
      </w:pPr>
    </w:p>
    <w:p w14:paraId="02CDD8BC">
      <w:pPr>
        <w:pStyle w:val="16"/>
        <w:ind w:firstLine="840" w:firstLineChars="400"/>
        <w:rPr>
          <w:rFonts w:hint="default" w:ascii="Times New Roman" w:hAnsi="Times New Roman" w:cs="Times New Roman"/>
          <w:color w:val="auto"/>
          <w:position w:val="-14"/>
          <w:highlight w:val="none"/>
          <w:lang w:val="en-US" w:eastAsia="zh-CN"/>
        </w:rPr>
      </w:pPr>
    </w:p>
    <w:p w14:paraId="1C964446">
      <w:pPr>
        <w:pStyle w:val="16"/>
        <w:ind w:firstLine="840" w:firstLineChars="400"/>
        <w:rPr>
          <w:rFonts w:hint="default" w:ascii="Times New Roman" w:hAnsi="Times New Roman" w:cs="Times New Roman"/>
          <w:color w:val="auto"/>
          <w:position w:val="-14"/>
          <w:highlight w:val="none"/>
          <w:lang w:val="en-US" w:eastAsia="zh-CN"/>
        </w:rPr>
      </w:pPr>
    </w:p>
    <w:p w14:paraId="17E7B932">
      <w:pPr>
        <w:pStyle w:val="16"/>
        <w:ind w:firstLine="840" w:firstLineChars="400"/>
        <w:rPr>
          <w:rFonts w:hint="default" w:ascii="Times New Roman" w:hAnsi="Times New Roman" w:cs="Times New Roman"/>
          <w:color w:val="auto"/>
          <w:position w:val="-14"/>
          <w:highlight w:val="none"/>
          <w:lang w:val="en-US" w:eastAsia="zh-CN"/>
        </w:rPr>
      </w:pPr>
    </w:p>
    <w:p w14:paraId="4B2E5803">
      <w:pPr>
        <w:pStyle w:val="16"/>
        <w:ind w:firstLine="840" w:firstLineChars="400"/>
        <w:rPr>
          <w:rFonts w:hint="default" w:ascii="Times New Roman" w:hAnsi="Times New Roman" w:cs="Times New Roman"/>
          <w:color w:val="auto"/>
          <w:position w:val="-14"/>
          <w:highlight w:val="none"/>
          <w:lang w:val="en-US" w:eastAsia="zh-CN"/>
        </w:rPr>
      </w:pPr>
    </w:p>
    <w:p w14:paraId="6265620E">
      <w:pPr>
        <w:pStyle w:val="16"/>
        <w:ind w:firstLine="840" w:firstLineChars="400"/>
        <w:rPr>
          <w:rFonts w:hint="default" w:ascii="Times New Roman" w:hAnsi="Times New Roman" w:cs="Times New Roman"/>
          <w:color w:val="auto"/>
          <w:position w:val="-14"/>
          <w:highlight w:val="none"/>
          <w:lang w:val="en-US" w:eastAsia="zh-CN"/>
        </w:rPr>
      </w:pPr>
    </w:p>
    <w:p w14:paraId="2A4017AE">
      <w:pPr>
        <w:pStyle w:val="16"/>
        <w:ind w:firstLine="840" w:firstLineChars="400"/>
        <w:rPr>
          <w:rFonts w:hint="default" w:ascii="Times New Roman" w:hAnsi="Times New Roman" w:cs="Times New Roman"/>
          <w:color w:val="auto"/>
          <w:position w:val="-14"/>
          <w:highlight w:val="none"/>
          <w:lang w:val="en-US" w:eastAsia="zh-CN"/>
        </w:rPr>
      </w:pPr>
    </w:p>
    <w:p w14:paraId="1A0AD4A5">
      <w:pPr>
        <w:pStyle w:val="16"/>
        <w:ind w:firstLine="840" w:firstLineChars="400"/>
        <w:rPr>
          <w:rFonts w:hint="default" w:ascii="Times New Roman" w:hAnsi="Times New Roman" w:cs="Times New Roman"/>
          <w:color w:val="auto"/>
          <w:position w:val="-14"/>
          <w:highlight w:val="none"/>
          <w:lang w:val="en-US" w:eastAsia="zh-CN"/>
        </w:rPr>
      </w:pPr>
    </w:p>
    <w:p w14:paraId="01E31E88">
      <w:pPr>
        <w:pStyle w:val="16"/>
        <w:ind w:firstLine="840" w:firstLineChars="400"/>
        <w:rPr>
          <w:rFonts w:hint="default" w:ascii="Times New Roman" w:hAnsi="Times New Roman" w:cs="Times New Roman"/>
          <w:color w:val="auto"/>
          <w:position w:val="-14"/>
          <w:highlight w:val="none"/>
          <w:lang w:val="en-US" w:eastAsia="zh-CN"/>
        </w:rPr>
      </w:pPr>
    </w:p>
    <w:p w14:paraId="58375799">
      <w:pPr>
        <w:pStyle w:val="16"/>
        <w:ind w:firstLine="840" w:firstLineChars="400"/>
        <w:rPr>
          <w:rFonts w:hint="default" w:ascii="Times New Roman" w:hAnsi="Times New Roman" w:cs="Times New Roman"/>
          <w:color w:val="auto"/>
          <w:position w:val="-14"/>
          <w:highlight w:val="none"/>
          <w:lang w:val="en-US" w:eastAsia="zh-CN"/>
        </w:rPr>
      </w:pPr>
    </w:p>
    <w:p w14:paraId="74255926">
      <w:pPr>
        <w:pStyle w:val="16"/>
        <w:ind w:firstLine="840" w:firstLineChars="400"/>
        <w:rPr>
          <w:rFonts w:hint="default" w:ascii="Times New Roman" w:hAnsi="Times New Roman" w:cs="Times New Roman"/>
          <w:color w:val="auto"/>
          <w:position w:val="-14"/>
          <w:highlight w:val="none"/>
          <w:lang w:val="en-US" w:eastAsia="zh-CN"/>
        </w:rPr>
      </w:pPr>
    </w:p>
    <w:p w14:paraId="585A8572">
      <w:pPr>
        <w:pStyle w:val="16"/>
        <w:ind w:firstLine="840" w:firstLineChars="400"/>
        <w:rPr>
          <w:rFonts w:hint="default" w:ascii="Times New Roman" w:hAnsi="Times New Roman" w:cs="Times New Roman"/>
          <w:color w:val="auto"/>
          <w:position w:val="-14"/>
          <w:highlight w:val="none"/>
          <w:lang w:val="en-US" w:eastAsia="zh-CN"/>
        </w:rPr>
      </w:pPr>
    </w:p>
    <w:p w14:paraId="0477512D">
      <w:pPr>
        <w:pStyle w:val="16"/>
        <w:ind w:firstLine="840" w:firstLineChars="400"/>
        <w:rPr>
          <w:rFonts w:hint="default" w:ascii="Times New Roman" w:hAnsi="Times New Roman" w:cs="Times New Roman"/>
          <w:color w:val="auto"/>
          <w:position w:val="-14"/>
          <w:highlight w:val="none"/>
          <w:lang w:val="en-US" w:eastAsia="zh-CN"/>
        </w:rPr>
      </w:pPr>
    </w:p>
    <w:p w14:paraId="71F00F6E">
      <w:pPr>
        <w:pStyle w:val="16"/>
        <w:ind w:firstLine="840" w:firstLineChars="400"/>
        <w:rPr>
          <w:rFonts w:hint="default" w:ascii="Times New Roman" w:hAnsi="Times New Roman" w:cs="Times New Roman"/>
          <w:color w:val="auto"/>
          <w:position w:val="-14"/>
          <w:highlight w:val="none"/>
          <w:lang w:val="en-US" w:eastAsia="zh-CN"/>
        </w:rPr>
      </w:pPr>
    </w:p>
    <w:p w14:paraId="0FA4B894">
      <w:pPr>
        <w:pStyle w:val="16"/>
        <w:ind w:firstLine="840" w:firstLineChars="400"/>
        <w:rPr>
          <w:rFonts w:hint="default" w:ascii="Times New Roman" w:hAnsi="Times New Roman" w:cs="Times New Roman"/>
          <w:color w:val="auto"/>
          <w:position w:val="-14"/>
          <w:highlight w:val="none"/>
          <w:lang w:val="en-US" w:eastAsia="zh-CN"/>
        </w:rPr>
      </w:pPr>
    </w:p>
    <w:p w14:paraId="58838EE0">
      <w:pPr>
        <w:pStyle w:val="16"/>
        <w:ind w:firstLine="840" w:firstLineChars="400"/>
        <w:rPr>
          <w:rFonts w:hint="default" w:ascii="Times New Roman" w:hAnsi="Times New Roman" w:cs="Times New Roman"/>
          <w:color w:val="auto"/>
          <w:position w:val="-14"/>
          <w:highlight w:val="none"/>
          <w:lang w:val="en-US" w:eastAsia="zh-CN"/>
        </w:rPr>
      </w:pPr>
    </w:p>
    <w:p w14:paraId="5076FE45">
      <w:pPr>
        <w:pStyle w:val="16"/>
        <w:ind w:firstLine="840" w:firstLineChars="400"/>
        <w:rPr>
          <w:rFonts w:hint="default" w:ascii="Times New Roman" w:hAnsi="Times New Roman" w:cs="Times New Roman"/>
          <w:color w:val="auto"/>
          <w:position w:val="-14"/>
          <w:highlight w:val="none"/>
          <w:lang w:val="en-US" w:eastAsia="zh-CN"/>
        </w:rPr>
      </w:pPr>
    </w:p>
    <w:p w14:paraId="1AE3FD4C">
      <w:pPr>
        <w:pStyle w:val="16"/>
        <w:ind w:firstLine="840" w:firstLineChars="400"/>
        <w:rPr>
          <w:rFonts w:hint="default" w:ascii="Times New Roman" w:hAnsi="Times New Roman" w:cs="Times New Roman"/>
          <w:color w:val="auto"/>
          <w:position w:val="-14"/>
          <w:highlight w:val="none"/>
          <w:lang w:val="en-US" w:eastAsia="zh-CN"/>
        </w:rPr>
      </w:pPr>
    </w:p>
    <w:p w14:paraId="6B90A8C5">
      <w:pPr>
        <w:pStyle w:val="16"/>
        <w:ind w:firstLine="840" w:firstLineChars="400"/>
        <w:rPr>
          <w:rFonts w:hint="default" w:ascii="Times New Roman" w:hAnsi="Times New Roman" w:cs="Times New Roman"/>
          <w:color w:val="auto"/>
          <w:position w:val="-14"/>
          <w:highlight w:val="none"/>
          <w:lang w:val="en-US" w:eastAsia="zh-CN"/>
        </w:rPr>
      </w:pPr>
    </w:p>
    <w:p w14:paraId="126041E9">
      <w:pPr>
        <w:pStyle w:val="16"/>
        <w:ind w:firstLine="840" w:firstLineChars="400"/>
        <w:rPr>
          <w:rFonts w:hint="default" w:ascii="Times New Roman" w:hAnsi="Times New Roman" w:cs="Times New Roman"/>
          <w:color w:val="auto"/>
          <w:position w:val="-14"/>
          <w:highlight w:val="none"/>
          <w:lang w:val="en-US" w:eastAsia="zh-CN"/>
        </w:rPr>
      </w:pPr>
    </w:p>
    <w:p w14:paraId="40FB2796">
      <w:pPr>
        <w:pStyle w:val="16"/>
        <w:ind w:firstLine="840" w:firstLineChars="400"/>
        <w:rPr>
          <w:rFonts w:hint="default" w:ascii="Times New Roman" w:hAnsi="Times New Roman" w:cs="Times New Roman"/>
          <w:color w:val="auto"/>
          <w:position w:val="-14"/>
          <w:highlight w:val="none"/>
          <w:lang w:val="en-US" w:eastAsia="zh-CN"/>
        </w:rPr>
      </w:pPr>
    </w:p>
    <w:p w14:paraId="77F50555">
      <w:pPr>
        <w:pStyle w:val="16"/>
        <w:ind w:firstLine="840" w:firstLineChars="400"/>
        <w:rPr>
          <w:rFonts w:hint="default" w:ascii="Times New Roman" w:hAnsi="Times New Roman" w:cs="Times New Roman"/>
          <w:color w:val="auto"/>
          <w:position w:val="-14"/>
          <w:highlight w:val="none"/>
          <w:lang w:val="en-US" w:eastAsia="zh-CN"/>
        </w:rPr>
      </w:pPr>
    </w:p>
    <w:p w14:paraId="36EAAF7D">
      <w:pPr>
        <w:pStyle w:val="16"/>
        <w:ind w:firstLine="840" w:firstLineChars="400"/>
        <w:rPr>
          <w:rFonts w:hint="default" w:ascii="Times New Roman" w:hAnsi="Times New Roman" w:cs="Times New Roman"/>
          <w:color w:val="auto"/>
          <w:position w:val="-14"/>
          <w:highlight w:val="none"/>
          <w:lang w:val="en-US" w:eastAsia="zh-CN"/>
        </w:rPr>
      </w:pPr>
    </w:p>
    <w:p w14:paraId="0FD7D922">
      <w:pPr>
        <w:pStyle w:val="16"/>
        <w:ind w:firstLine="840" w:firstLineChars="400"/>
        <w:rPr>
          <w:rFonts w:hint="default" w:ascii="Times New Roman" w:hAnsi="Times New Roman" w:cs="Times New Roman"/>
          <w:color w:val="auto"/>
          <w:position w:val="-14"/>
          <w:highlight w:val="none"/>
          <w:lang w:val="en-US" w:eastAsia="zh-CN"/>
        </w:rPr>
      </w:pPr>
    </w:p>
    <w:p w14:paraId="23E91AD8">
      <w:pPr>
        <w:pStyle w:val="16"/>
        <w:ind w:firstLine="840" w:firstLineChars="400"/>
        <w:rPr>
          <w:rFonts w:hint="default" w:ascii="Times New Roman" w:hAnsi="Times New Roman" w:cs="Times New Roman"/>
          <w:color w:val="auto"/>
          <w:position w:val="-14"/>
          <w:highlight w:val="none"/>
          <w:lang w:val="en-US" w:eastAsia="zh-CN"/>
        </w:rPr>
      </w:pPr>
    </w:p>
    <w:p w14:paraId="06C47923">
      <w:pPr>
        <w:pStyle w:val="16"/>
        <w:ind w:firstLine="840" w:firstLineChars="400"/>
        <w:rPr>
          <w:rFonts w:hint="default" w:ascii="Times New Roman" w:hAnsi="Times New Roman" w:cs="Times New Roman"/>
          <w:color w:val="auto"/>
          <w:position w:val="-14"/>
          <w:highlight w:val="none"/>
          <w:lang w:val="en-US" w:eastAsia="zh-CN"/>
        </w:rPr>
      </w:pPr>
    </w:p>
    <w:p w14:paraId="4334CF06">
      <w:pPr>
        <w:pStyle w:val="16"/>
        <w:ind w:firstLine="840" w:firstLineChars="400"/>
        <w:rPr>
          <w:rFonts w:hint="default" w:ascii="Times New Roman" w:hAnsi="Times New Roman" w:cs="Times New Roman"/>
          <w:color w:val="auto"/>
          <w:position w:val="-14"/>
          <w:highlight w:val="none"/>
          <w:lang w:val="en-US" w:eastAsia="zh-CN"/>
        </w:rPr>
      </w:pPr>
    </w:p>
    <w:p w14:paraId="49D88702">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auto"/>
          <w:position w:val="-14"/>
          <w:highlight w:val="none"/>
          <w:lang w:val="en-US" w:eastAsia="zh-CN"/>
        </w:rPr>
      </w:pPr>
      <w:bookmarkStart w:id="23" w:name="_Toc17222"/>
      <w:bookmarkStart w:id="28" w:name="_GoBack"/>
      <w:bookmarkEnd w:id="28"/>
      <w:r>
        <w:rPr>
          <w:rFonts w:hint="default" w:ascii="Times New Roman" w:hAnsi="Times New Roman" w:cs="Times New Roman"/>
          <w:b w:val="0"/>
          <w:bCs/>
          <w:color w:val="auto"/>
          <w:highlight w:val="none"/>
          <w:lang w:val="en-US" w:eastAsia="zh-CN"/>
        </w:rPr>
        <w:t>附件3 碳排放核算涉及</w:t>
      </w:r>
      <w:r>
        <w:rPr>
          <w:rFonts w:hint="eastAsia" w:ascii="Times New Roman" w:hAnsi="Times New Roman" w:cs="Times New Roman"/>
          <w:b w:val="0"/>
          <w:bCs/>
          <w:color w:val="auto"/>
          <w:highlight w:val="none"/>
          <w:lang w:val="en-US" w:eastAsia="zh-CN"/>
        </w:rPr>
        <w:t>的</w:t>
      </w:r>
      <w:r>
        <w:rPr>
          <w:rFonts w:hint="default" w:ascii="Times New Roman" w:hAnsi="Times New Roman" w:cs="Times New Roman"/>
          <w:b w:val="0"/>
          <w:bCs/>
          <w:color w:val="auto"/>
          <w:highlight w:val="none"/>
          <w:lang w:val="en-US" w:eastAsia="zh-CN"/>
        </w:rPr>
        <w:t>温室气体</w:t>
      </w:r>
      <w:bookmarkEnd w:id="23"/>
    </w:p>
    <w:p w14:paraId="0C75714A">
      <w:pPr>
        <w:pStyle w:val="7"/>
        <w:bidi w:val="0"/>
        <w:jc w:val="center"/>
        <w:rPr>
          <w:rFonts w:hint="default" w:ascii="Times New Roman" w:hAnsi="Times New Roman" w:eastAsia="方正小标宋简体" w:cs="Times New Roman"/>
          <w:b w:val="0"/>
          <w:bCs/>
          <w:color w:val="auto"/>
          <w:sz w:val="32"/>
          <w:szCs w:val="32"/>
          <w:highlight w:val="none"/>
          <w:lang w:val="en-US" w:eastAsia="zh-CN"/>
        </w:rPr>
      </w:pPr>
      <w:r>
        <w:rPr>
          <w:rFonts w:hint="default" w:ascii="Times New Roman" w:hAnsi="Times New Roman" w:eastAsia="方正小标宋简体" w:cs="Times New Roman"/>
          <w:b w:val="0"/>
          <w:bCs/>
          <w:color w:val="auto"/>
          <w:sz w:val="32"/>
          <w:szCs w:val="32"/>
          <w:highlight w:val="none"/>
          <w:lang w:val="en-US" w:eastAsia="zh-CN"/>
        </w:rPr>
        <w:t>碳排放核算涉及</w:t>
      </w:r>
      <w:r>
        <w:rPr>
          <w:rFonts w:hint="eastAsia" w:ascii="Times New Roman" w:hAnsi="Times New Roman" w:eastAsia="方正小标宋简体" w:cs="Times New Roman"/>
          <w:b w:val="0"/>
          <w:bCs/>
          <w:color w:val="auto"/>
          <w:sz w:val="32"/>
          <w:szCs w:val="32"/>
          <w:highlight w:val="none"/>
          <w:lang w:val="en-US" w:eastAsia="zh-CN"/>
        </w:rPr>
        <w:t>的</w:t>
      </w:r>
      <w:r>
        <w:rPr>
          <w:rFonts w:hint="default" w:ascii="Times New Roman" w:hAnsi="Times New Roman" w:eastAsia="方正小标宋简体" w:cs="Times New Roman"/>
          <w:b w:val="0"/>
          <w:bCs/>
          <w:color w:val="auto"/>
          <w:sz w:val="32"/>
          <w:szCs w:val="32"/>
          <w:highlight w:val="none"/>
          <w:lang w:val="en-US" w:eastAsia="zh-CN"/>
        </w:rPr>
        <w:t>温室气体</w:t>
      </w:r>
    </w:p>
    <w:tbl>
      <w:tblPr>
        <w:tblStyle w:val="14"/>
        <w:tblW w:w="4933" w:type="pct"/>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
        <w:gridCol w:w="882"/>
        <w:gridCol w:w="2"/>
        <w:gridCol w:w="3313"/>
        <w:gridCol w:w="4737"/>
        <w:gridCol w:w="3"/>
      </w:tblGrid>
      <w:tr w14:paraId="27D7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255" w:hRule="atLeast"/>
          <w:tblHeader/>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699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序号</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2B9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企业类型</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5DF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温室气体种类</w:t>
            </w:r>
          </w:p>
        </w:tc>
      </w:tr>
      <w:tr w14:paraId="0895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27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502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废弃电池处理处置企业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CED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2F92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0D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381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磷酸及磷酸盐企业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3ED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9A0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2B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04F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锌冶炼企业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351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7061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0A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BF2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铅冶炼企业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81F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EB9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F1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A70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铜冶炼企业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988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1A60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FE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430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工业硅生产企业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ECB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B2D7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31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ED7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水泥制品生产企业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242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5CD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28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739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烧结类墙体屋面及道路用建筑材料生产企业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2AA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4571A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8A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AD3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绝热材料生产企业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F00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D37C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D7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E81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炭素材料生产企业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225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62A8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0C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11</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547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涂料生产企业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E01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）、氧化亚氮（N</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O）、氢氟碳化物（HFC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ACB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D7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99E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机械设备制造企业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ADE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）、氢氟碳化物（HFC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）、全氟碳化物（PFC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）、六氟化硫（SF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881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7D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13</w:t>
            </w:r>
          </w:p>
        </w:tc>
        <w:tc>
          <w:tcPr>
            <w:tcW w:w="18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1A4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造纸和纸制品生产企业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019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）、甲烷（CH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2669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8C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A75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食品、烟草及酒、饮料和精制茶企业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F4B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）、甲烷（CH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74F89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770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26D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电子设备制造企业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831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）、氢氟碳化物（HFC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）、全氟碳化物（PFC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）、六氟化硫（SF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r>
              <w:rPr>
                <w:rFonts w:hint="default" w:ascii="Times New Roman" w:hAnsi="Times New Roman" w:eastAsia="仿宋_GB2312" w:cs="Times New Roman"/>
                <w:i w:val="0"/>
                <w:iCs w:val="0"/>
                <w:color w:val="auto"/>
                <w:kern w:val="0"/>
                <w:sz w:val="24"/>
                <w:szCs w:val="24"/>
                <w:highlight w:val="none"/>
                <w:u w:val="none"/>
                <w:lang w:val="en-US" w:eastAsia="zh-CN" w:bidi="ar"/>
              </w:rPr>
              <w:t>）与三氟化氮（NF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10AB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61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F81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铸造企业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FBD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DD5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72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383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热处理企业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DE0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E28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45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F8A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氟化工企业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E85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）、氢氟碳化物（HFC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）、全氟碳化物（PFC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）、六氟化硫（SF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r>
              <w:rPr>
                <w:rFonts w:hint="default" w:ascii="Times New Roman" w:hAnsi="Times New Roman" w:eastAsia="仿宋_GB2312" w:cs="Times New Roman"/>
                <w:i w:val="0"/>
                <w:iCs w:val="0"/>
                <w:color w:val="auto"/>
                <w:kern w:val="0"/>
                <w:sz w:val="24"/>
                <w:szCs w:val="24"/>
                <w:highlight w:val="none"/>
                <w:u w:val="none"/>
                <w:lang w:val="en-US" w:eastAsia="zh-CN" w:bidi="ar"/>
              </w:rPr>
              <w:t>）和三氟化氮（NF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32FF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FF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F1A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石油天然气生产企业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BF5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）、甲烷（CH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E08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82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ACA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石油化工企业</w:t>
            </w:r>
          </w:p>
        </w:tc>
        <w:tc>
          <w:tcPr>
            <w:tcW w:w="26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CA8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0E3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34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21</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654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其他有色金属冶炼和压延加工企业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3A1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658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AE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22</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C2C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独立焦化企业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57E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FF0D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69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23</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A92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纺织服装企业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A98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）、甲烷（CH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3DCE8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24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24</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BFC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煤炭生产企业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E83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）、甲烷（CH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8A72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2F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25</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8C6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化工生产企业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987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）、氧化亚氮（N</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O）</w:t>
            </w:r>
          </w:p>
        </w:tc>
      </w:tr>
      <w:tr w14:paraId="2E88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31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26</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637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陶瓷生产企业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616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238A3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2D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27</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A79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水泥生产企业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7B5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11890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EC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28</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417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平板玻璃生产企业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4CD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44520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A1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29</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5B6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钢铁生产企业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440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46AE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AC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30</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50C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铝冶炼企业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C49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）、全氟碳化物（PFC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2BA8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pct"/>
          <w:trHeight w:val="330" w:hRule="atLeast"/>
        </w:trPr>
        <w:tc>
          <w:tcPr>
            <w:tcW w:w="4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3F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31</w:t>
            </w:r>
          </w:p>
        </w:tc>
        <w:tc>
          <w:tcPr>
            <w:tcW w:w="18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A44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镁冶炼企业</w:t>
            </w:r>
          </w:p>
        </w:tc>
        <w:tc>
          <w:tcPr>
            <w:tcW w:w="2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268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B0E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pct"/>
          <w:trHeight w:val="255" w:hRule="atLeast"/>
        </w:trPr>
        <w:tc>
          <w:tcPr>
            <w:tcW w:w="49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466C51">
            <w:pPr>
              <w:bidi w:val="0"/>
              <w:ind w:left="1050" w:leftChars="200" w:hanging="630" w:hangingChars="300"/>
              <w:rPr>
                <w:rFonts w:hint="default" w:ascii="Times New Roman" w:hAnsi="Times New Roman" w:eastAsia="仿宋_GB2312" w:cs="Times New Roman"/>
                <w:color w:val="auto"/>
                <w:lang w:val="en-US" w:eastAsia="zh-CN"/>
              </w:rPr>
            </w:pPr>
            <w:r>
              <w:rPr>
                <w:rFonts w:hint="default" w:ascii="Times New Roman" w:hAnsi="Times New Roman" w:eastAsia="黑体" w:cs="Times New Roman"/>
                <w:color w:val="auto"/>
                <w:lang w:val="en-US" w:eastAsia="zh-CN"/>
              </w:rPr>
              <w:t>注1：</w:t>
            </w:r>
            <w:r>
              <w:rPr>
                <w:rFonts w:hint="default" w:ascii="Times New Roman" w:hAnsi="Times New Roman" w:eastAsia="仿宋_GB2312" w:cs="Times New Roman"/>
                <w:color w:val="auto"/>
                <w:lang w:val="en-US" w:eastAsia="zh-CN"/>
              </w:rPr>
              <w:t>表中的“温室气体种类”由相关标准给出。当企业涉及其他温室气体时，应按照实际情况进行碳排放核算。</w:t>
            </w:r>
          </w:p>
          <w:p w14:paraId="2B2003BA">
            <w:pPr>
              <w:bidi w:val="0"/>
              <w:ind w:firstLine="420" w:firstLineChars="200"/>
              <w:rPr>
                <w:rFonts w:hint="default" w:ascii="Times New Roman" w:hAnsi="Times New Roman" w:eastAsia="宋体" w:cs="Times New Roman"/>
                <w:b/>
                <w:bCs/>
                <w:i w:val="0"/>
                <w:iCs w:val="0"/>
                <w:color w:val="auto"/>
                <w:szCs w:val="20"/>
                <w:highlight w:val="none"/>
                <w:u w:val="none"/>
              </w:rPr>
            </w:pPr>
            <w:r>
              <w:rPr>
                <w:rFonts w:hint="default" w:ascii="Times New Roman" w:hAnsi="Times New Roman" w:eastAsia="黑体" w:cs="Times New Roman"/>
                <w:color w:val="auto"/>
                <w:lang w:val="en-US" w:eastAsia="zh-CN"/>
              </w:rPr>
              <w:t>注2：</w:t>
            </w:r>
            <w:r>
              <w:rPr>
                <w:rFonts w:hint="default" w:ascii="Times New Roman" w:hAnsi="Times New Roman" w:eastAsia="仿宋_GB2312" w:cs="Times New Roman"/>
                <w:color w:val="auto"/>
                <w:lang w:val="en-US" w:eastAsia="zh-CN"/>
              </w:rPr>
              <w:t>表中未列明的企业，应根据行业实际排放情况确定温室气体种类。</w:t>
            </w:r>
          </w:p>
        </w:tc>
      </w:tr>
    </w:tbl>
    <w:p w14:paraId="4B8CFB0A">
      <w:pPr>
        <w:pStyle w:val="16"/>
        <w:ind w:left="0" w:leftChars="0" w:firstLine="0" w:firstLineChars="0"/>
        <w:rPr>
          <w:rFonts w:hint="default" w:ascii="Times New Roman" w:hAnsi="Times New Roman" w:cs="Times New Roman"/>
          <w:color w:val="auto"/>
          <w:position w:val="-14"/>
          <w:highlight w:val="none"/>
          <w:lang w:val="en-US" w:eastAsia="zh-CN"/>
        </w:rPr>
      </w:pPr>
    </w:p>
    <w:p w14:paraId="7D514CEE">
      <w:pPr>
        <w:pStyle w:val="16"/>
        <w:ind w:firstLine="840" w:firstLineChars="400"/>
        <w:rPr>
          <w:rFonts w:hint="default" w:ascii="Times New Roman" w:hAnsi="Times New Roman" w:cs="Times New Roman"/>
          <w:color w:val="auto"/>
          <w:position w:val="-14"/>
          <w:highlight w:val="none"/>
          <w:lang w:val="en-US" w:eastAsia="zh-CN"/>
        </w:rPr>
      </w:pPr>
    </w:p>
    <w:p w14:paraId="3A2CC954">
      <w:pPr>
        <w:pStyle w:val="16"/>
        <w:ind w:firstLine="840" w:firstLineChars="400"/>
        <w:rPr>
          <w:rFonts w:hint="default" w:ascii="Times New Roman" w:hAnsi="Times New Roman" w:cs="Times New Roman"/>
          <w:color w:val="auto"/>
          <w:position w:val="-14"/>
          <w:highlight w:val="none"/>
          <w:lang w:val="en-US" w:eastAsia="zh-CN"/>
        </w:rPr>
      </w:pPr>
    </w:p>
    <w:p w14:paraId="29456E0D">
      <w:pPr>
        <w:pStyle w:val="16"/>
        <w:ind w:firstLine="840" w:firstLineChars="400"/>
        <w:rPr>
          <w:rFonts w:hint="default" w:ascii="Times New Roman" w:hAnsi="Times New Roman" w:cs="Times New Roman"/>
          <w:color w:val="auto"/>
          <w:position w:val="-14"/>
          <w:highlight w:val="none"/>
          <w:lang w:val="en-US" w:eastAsia="zh-CN"/>
        </w:rPr>
      </w:pPr>
    </w:p>
    <w:p w14:paraId="34ADFA00">
      <w:pPr>
        <w:pStyle w:val="16"/>
        <w:ind w:firstLine="840" w:firstLineChars="400"/>
        <w:rPr>
          <w:rFonts w:hint="default" w:ascii="Times New Roman" w:hAnsi="Times New Roman" w:cs="Times New Roman"/>
          <w:color w:val="auto"/>
          <w:position w:val="-14"/>
          <w:highlight w:val="none"/>
          <w:lang w:val="en-US" w:eastAsia="zh-CN"/>
        </w:rPr>
      </w:pPr>
    </w:p>
    <w:p w14:paraId="24F993BB">
      <w:pPr>
        <w:pStyle w:val="16"/>
        <w:ind w:firstLine="840" w:firstLineChars="400"/>
        <w:rPr>
          <w:rFonts w:hint="default" w:ascii="Times New Roman" w:hAnsi="Times New Roman" w:cs="Times New Roman"/>
          <w:color w:val="auto"/>
          <w:position w:val="-14"/>
          <w:highlight w:val="none"/>
          <w:lang w:val="en-US" w:eastAsia="zh-CN"/>
        </w:rPr>
      </w:pPr>
    </w:p>
    <w:p w14:paraId="7D3C847A">
      <w:pPr>
        <w:pStyle w:val="16"/>
        <w:ind w:firstLine="840" w:firstLineChars="400"/>
        <w:rPr>
          <w:rFonts w:hint="default" w:ascii="Times New Roman" w:hAnsi="Times New Roman" w:cs="Times New Roman"/>
          <w:color w:val="auto"/>
          <w:position w:val="-14"/>
          <w:highlight w:val="none"/>
          <w:lang w:val="en-US" w:eastAsia="zh-CN"/>
        </w:rPr>
      </w:pPr>
    </w:p>
    <w:p w14:paraId="2650A5AD">
      <w:pPr>
        <w:pStyle w:val="16"/>
        <w:ind w:firstLine="840" w:firstLineChars="400"/>
        <w:rPr>
          <w:rFonts w:hint="default" w:ascii="Times New Roman" w:hAnsi="Times New Roman" w:cs="Times New Roman"/>
          <w:color w:val="auto"/>
          <w:position w:val="-14"/>
          <w:highlight w:val="none"/>
          <w:lang w:val="en-US" w:eastAsia="zh-CN"/>
        </w:rPr>
      </w:pPr>
    </w:p>
    <w:p w14:paraId="3899C37C">
      <w:pPr>
        <w:pStyle w:val="16"/>
        <w:ind w:firstLine="840" w:firstLineChars="400"/>
        <w:rPr>
          <w:rFonts w:hint="default" w:ascii="Times New Roman" w:hAnsi="Times New Roman" w:cs="Times New Roman"/>
          <w:color w:val="auto"/>
          <w:position w:val="-14"/>
          <w:highlight w:val="none"/>
          <w:lang w:val="en-US" w:eastAsia="zh-CN"/>
        </w:rPr>
      </w:pPr>
    </w:p>
    <w:p w14:paraId="2975D117">
      <w:pPr>
        <w:pStyle w:val="16"/>
        <w:ind w:firstLine="840" w:firstLineChars="400"/>
        <w:rPr>
          <w:rFonts w:hint="default" w:ascii="Times New Roman" w:hAnsi="Times New Roman" w:cs="Times New Roman"/>
          <w:color w:val="auto"/>
          <w:position w:val="-14"/>
          <w:highlight w:val="none"/>
          <w:lang w:val="en-US" w:eastAsia="zh-CN"/>
        </w:rPr>
      </w:pPr>
    </w:p>
    <w:p w14:paraId="63E5EC21">
      <w:pPr>
        <w:pStyle w:val="16"/>
        <w:ind w:firstLine="840" w:firstLineChars="400"/>
        <w:rPr>
          <w:rFonts w:hint="default" w:ascii="Times New Roman" w:hAnsi="Times New Roman" w:cs="Times New Roman"/>
          <w:color w:val="auto"/>
          <w:position w:val="-14"/>
          <w:highlight w:val="none"/>
          <w:lang w:val="en-US" w:eastAsia="zh-CN"/>
        </w:rPr>
      </w:pPr>
    </w:p>
    <w:p w14:paraId="2AFC4242">
      <w:pPr>
        <w:pStyle w:val="16"/>
        <w:ind w:firstLine="840" w:firstLineChars="400"/>
        <w:rPr>
          <w:rFonts w:hint="default" w:ascii="Times New Roman" w:hAnsi="Times New Roman" w:cs="Times New Roman"/>
          <w:color w:val="auto"/>
          <w:position w:val="-14"/>
          <w:highlight w:val="none"/>
          <w:lang w:val="en-US" w:eastAsia="zh-CN"/>
        </w:rPr>
      </w:pPr>
    </w:p>
    <w:p w14:paraId="26E6363C">
      <w:pPr>
        <w:pStyle w:val="16"/>
        <w:ind w:firstLine="840" w:firstLineChars="400"/>
        <w:rPr>
          <w:rFonts w:hint="default" w:ascii="Times New Roman" w:hAnsi="Times New Roman" w:cs="Times New Roman"/>
          <w:color w:val="auto"/>
          <w:position w:val="-14"/>
          <w:highlight w:val="none"/>
          <w:lang w:val="en-US" w:eastAsia="zh-CN"/>
        </w:rPr>
      </w:pPr>
    </w:p>
    <w:p w14:paraId="24B0512C">
      <w:pPr>
        <w:pStyle w:val="16"/>
        <w:ind w:firstLine="840" w:firstLineChars="400"/>
        <w:rPr>
          <w:rFonts w:hint="default" w:ascii="Times New Roman" w:hAnsi="Times New Roman" w:cs="Times New Roman"/>
          <w:color w:val="auto"/>
          <w:position w:val="-14"/>
          <w:highlight w:val="none"/>
          <w:lang w:val="en-US" w:eastAsia="zh-CN"/>
        </w:rPr>
      </w:pPr>
    </w:p>
    <w:p w14:paraId="11FCDA38">
      <w:pPr>
        <w:pStyle w:val="16"/>
        <w:ind w:firstLine="840" w:firstLineChars="400"/>
        <w:rPr>
          <w:rFonts w:hint="default" w:ascii="Times New Roman" w:hAnsi="Times New Roman" w:cs="Times New Roman"/>
          <w:color w:val="auto"/>
          <w:position w:val="-14"/>
          <w:highlight w:val="none"/>
          <w:lang w:val="en-US" w:eastAsia="zh-CN"/>
        </w:rPr>
      </w:pPr>
    </w:p>
    <w:p w14:paraId="5B76E566">
      <w:pPr>
        <w:pStyle w:val="16"/>
        <w:ind w:firstLine="840" w:firstLineChars="400"/>
        <w:rPr>
          <w:rFonts w:hint="default" w:ascii="Times New Roman" w:hAnsi="Times New Roman" w:cs="Times New Roman"/>
          <w:color w:val="auto"/>
          <w:position w:val="-14"/>
          <w:highlight w:val="none"/>
          <w:lang w:val="en-US" w:eastAsia="zh-CN"/>
        </w:rPr>
      </w:pPr>
    </w:p>
    <w:p w14:paraId="5E6BB0DF">
      <w:pPr>
        <w:pStyle w:val="16"/>
        <w:ind w:firstLine="840" w:firstLineChars="400"/>
        <w:rPr>
          <w:rFonts w:hint="default" w:ascii="Times New Roman" w:hAnsi="Times New Roman" w:cs="Times New Roman"/>
          <w:color w:val="auto"/>
          <w:position w:val="-14"/>
          <w:highlight w:val="none"/>
          <w:lang w:val="en-US" w:eastAsia="zh-CN"/>
        </w:rPr>
      </w:pPr>
    </w:p>
    <w:p w14:paraId="406B3236">
      <w:pPr>
        <w:pStyle w:val="16"/>
        <w:ind w:firstLine="840" w:firstLineChars="400"/>
        <w:rPr>
          <w:rFonts w:hint="default" w:ascii="Times New Roman" w:hAnsi="Times New Roman" w:cs="Times New Roman"/>
          <w:color w:val="auto"/>
          <w:position w:val="-14"/>
          <w:highlight w:val="none"/>
          <w:lang w:val="en-US" w:eastAsia="zh-CN"/>
        </w:rPr>
      </w:pPr>
    </w:p>
    <w:p w14:paraId="5A4457AE">
      <w:pPr>
        <w:pStyle w:val="16"/>
        <w:ind w:firstLine="840" w:firstLineChars="400"/>
        <w:rPr>
          <w:rFonts w:hint="default" w:ascii="Times New Roman" w:hAnsi="Times New Roman" w:cs="Times New Roman"/>
          <w:color w:val="auto"/>
          <w:position w:val="-14"/>
          <w:highlight w:val="none"/>
          <w:lang w:val="en-US" w:eastAsia="zh-CN"/>
        </w:rPr>
      </w:pPr>
    </w:p>
    <w:p w14:paraId="1159F86A">
      <w:pPr>
        <w:pStyle w:val="16"/>
        <w:ind w:firstLine="840" w:firstLineChars="400"/>
        <w:rPr>
          <w:rFonts w:hint="default" w:ascii="Times New Roman" w:hAnsi="Times New Roman" w:cs="Times New Roman"/>
          <w:color w:val="auto"/>
          <w:position w:val="-14"/>
          <w:highlight w:val="none"/>
          <w:lang w:val="en-US" w:eastAsia="zh-CN"/>
        </w:rPr>
      </w:pPr>
    </w:p>
    <w:p w14:paraId="0C457928">
      <w:pPr>
        <w:pStyle w:val="16"/>
        <w:ind w:firstLine="840" w:firstLineChars="400"/>
        <w:rPr>
          <w:rFonts w:hint="default" w:ascii="Times New Roman" w:hAnsi="Times New Roman" w:cs="Times New Roman"/>
          <w:color w:val="auto"/>
          <w:position w:val="-14"/>
          <w:highlight w:val="none"/>
          <w:lang w:val="en-US" w:eastAsia="zh-CN"/>
        </w:rPr>
      </w:pPr>
    </w:p>
    <w:p w14:paraId="09E1731E">
      <w:pPr>
        <w:pStyle w:val="16"/>
        <w:ind w:firstLine="840" w:firstLineChars="400"/>
        <w:rPr>
          <w:rFonts w:hint="default" w:ascii="Times New Roman" w:hAnsi="Times New Roman" w:cs="Times New Roman"/>
          <w:color w:val="auto"/>
          <w:position w:val="-14"/>
          <w:highlight w:val="none"/>
          <w:lang w:val="en-US" w:eastAsia="zh-CN"/>
        </w:rPr>
      </w:pPr>
    </w:p>
    <w:p w14:paraId="6479E853">
      <w:pPr>
        <w:pStyle w:val="16"/>
        <w:ind w:firstLine="840" w:firstLineChars="400"/>
        <w:rPr>
          <w:rFonts w:hint="default" w:ascii="Times New Roman" w:hAnsi="Times New Roman" w:cs="Times New Roman"/>
          <w:color w:val="auto"/>
          <w:position w:val="-14"/>
          <w:highlight w:val="none"/>
          <w:lang w:val="en-US" w:eastAsia="zh-CN"/>
        </w:rPr>
      </w:pPr>
    </w:p>
    <w:p w14:paraId="50CE2AA7">
      <w:pPr>
        <w:pStyle w:val="16"/>
        <w:ind w:firstLine="840" w:firstLineChars="400"/>
        <w:rPr>
          <w:rFonts w:hint="default" w:ascii="Times New Roman" w:hAnsi="Times New Roman" w:cs="Times New Roman"/>
          <w:color w:val="auto"/>
          <w:position w:val="-14"/>
          <w:highlight w:val="none"/>
          <w:lang w:val="en-US" w:eastAsia="zh-CN"/>
        </w:rPr>
      </w:pPr>
    </w:p>
    <w:p w14:paraId="7FE53547">
      <w:pPr>
        <w:pStyle w:val="16"/>
        <w:ind w:firstLine="840" w:firstLineChars="400"/>
        <w:rPr>
          <w:rFonts w:hint="default" w:ascii="Times New Roman" w:hAnsi="Times New Roman" w:cs="Times New Roman"/>
          <w:color w:val="auto"/>
          <w:position w:val="-14"/>
          <w:highlight w:val="none"/>
          <w:lang w:val="en-US" w:eastAsia="zh-CN"/>
        </w:rPr>
      </w:pPr>
    </w:p>
    <w:p w14:paraId="21910E68">
      <w:pPr>
        <w:pStyle w:val="16"/>
        <w:ind w:firstLine="840" w:firstLineChars="400"/>
        <w:rPr>
          <w:rFonts w:hint="default" w:ascii="Times New Roman" w:hAnsi="Times New Roman" w:cs="Times New Roman"/>
          <w:color w:val="auto"/>
          <w:position w:val="-14"/>
          <w:highlight w:val="none"/>
          <w:lang w:val="en-US" w:eastAsia="zh-CN"/>
        </w:rPr>
      </w:pPr>
    </w:p>
    <w:p w14:paraId="35BFFD5F">
      <w:pPr>
        <w:pStyle w:val="16"/>
        <w:ind w:firstLine="840" w:firstLineChars="400"/>
        <w:rPr>
          <w:rFonts w:hint="default" w:ascii="Times New Roman" w:hAnsi="Times New Roman" w:cs="Times New Roman"/>
          <w:color w:val="auto"/>
          <w:position w:val="-14"/>
          <w:highlight w:val="none"/>
          <w:lang w:val="en-US" w:eastAsia="zh-CN"/>
        </w:rPr>
      </w:pPr>
    </w:p>
    <w:p w14:paraId="1B09028D">
      <w:pPr>
        <w:pStyle w:val="16"/>
        <w:ind w:firstLine="840" w:firstLineChars="400"/>
        <w:rPr>
          <w:rFonts w:hint="default" w:ascii="Times New Roman" w:hAnsi="Times New Roman" w:cs="Times New Roman"/>
          <w:color w:val="auto"/>
          <w:position w:val="-14"/>
          <w:highlight w:val="none"/>
          <w:lang w:val="en-US" w:eastAsia="zh-CN"/>
        </w:rPr>
      </w:pPr>
    </w:p>
    <w:p w14:paraId="27B65644">
      <w:pPr>
        <w:pStyle w:val="16"/>
        <w:ind w:firstLine="840" w:firstLineChars="400"/>
        <w:rPr>
          <w:rFonts w:hint="default" w:ascii="Times New Roman" w:hAnsi="Times New Roman" w:cs="Times New Roman"/>
          <w:color w:val="auto"/>
          <w:position w:val="-14"/>
          <w:highlight w:val="none"/>
          <w:lang w:val="en-US" w:eastAsia="zh-CN"/>
        </w:rPr>
      </w:pPr>
    </w:p>
    <w:p w14:paraId="12EAEF2E">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24" w:name="_Toc16290"/>
      <w:r>
        <w:rPr>
          <w:rFonts w:hint="default" w:ascii="Times New Roman" w:hAnsi="Times New Roman" w:cs="Times New Roman"/>
          <w:b w:val="0"/>
          <w:bCs/>
          <w:color w:val="auto"/>
          <w:highlight w:val="none"/>
          <w:lang w:val="en-US" w:eastAsia="zh-CN"/>
        </w:rPr>
        <w:t>附件4 碳排放核算标准</w:t>
      </w:r>
      <w:bookmarkEnd w:id="24"/>
    </w:p>
    <w:p w14:paraId="302DB125">
      <w:pPr>
        <w:pStyle w:val="7"/>
        <w:bidi w:val="0"/>
        <w:jc w:val="center"/>
        <w:rPr>
          <w:rFonts w:hint="default" w:ascii="Times New Roman" w:hAnsi="Times New Roman" w:eastAsia="方正小标宋简体" w:cs="Times New Roman"/>
          <w:b w:val="0"/>
          <w:bCs/>
          <w:color w:val="auto"/>
          <w:sz w:val="32"/>
          <w:szCs w:val="32"/>
          <w:highlight w:val="none"/>
          <w:lang w:val="en-US" w:eastAsia="zh-CN"/>
        </w:rPr>
      </w:pPr>
      <w:r>
        <w:rPr>
          <w:rFonts w:hint="default" w:ascii="Times New Roman" w:hAnsi="Times New Roman" w:eastAsia="方正小标宋简体" w:cs="Times New Roman"/>
          <w:b w:val="0"/>
          <w:bCs/>
          <w:color w:val="auto"/>
          <w:sz w:val="32"/>
          <w:szCs w:val="32"/>
          <w:highlight w:val="none"/>
          <w:lang w:val="en-US" w:eastAsia="zh-CN"/>
        </w:rPr>
        <w:t>碳排放核算标准</w:t>
      </w:r>
    </w:p>
    <w:tbl>
      <w:tblPr>
        <w:tblStyle w:val="14"/>
        <w:tblW w:w="506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2177"/>
        <w:gridCol w:w="3725"/>
        <w:gridCol w:w="1316"/>
        <w:gridCol w:w="1228"/>
      </w:tblGrid>
      <w:tr w14:paraId="5F2B1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1F4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序号</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2BC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标准号</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9B26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标准名称</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075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发布日期</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0EE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实施日期</w:t>
            </w:r>
          </w:p>
        </w:tc>
      </w:tr>
      <w:tr w14:paraId="0437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F1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2B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32151.16-2023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6E0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第16部分：石油天然气生产企业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E7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CF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4341C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44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EF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32151.15-2023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5D0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第15部分：石油化工企业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1D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2C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1FF3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11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15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32151.17-2023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FC4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第17部分：氟化工企业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E8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BA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7E098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BF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0E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32151.14-2023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9F9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第14部分：其他有色金属冶炼和压延加工企业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75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EB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4713E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EE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DA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32151.13-2023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437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第13部分：独立焦化企业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66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54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51AA5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DA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6</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6C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32151.7-2023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7C9B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第7部分：平板玻璃生产企业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9A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26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6D09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83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7</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BF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32151.8-2023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7339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第8部分：水泥生产企业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19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63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58DBD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71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CF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32151.9-2023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032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第9部分：陶瓷生产企业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4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A9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1DCA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F3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9</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B8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32151.10-2023</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F6E9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第10部分：化工生产企业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89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44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0B10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4C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0D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32151.25-2024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C1E8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第25部分：食品、烟草及酒、饮料和精制茶企业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48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2D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67EA1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0B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11</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82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32151.24-2024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CF00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第24部分：电子设备制造企业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6C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11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802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96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12</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EE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32151.21-2024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5EA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第21部分：铸造企业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3B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ED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22CAA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FD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13</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D5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32151.19-2024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D11A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第19部分：热处理企业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95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F6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6042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F3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14</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8A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32151.44-2024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87F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第44部分：锌冶炼企业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6E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1D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416FB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A0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15</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0E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32151.41-2024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D22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第41部分:工业硅生产企业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6C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5F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443F0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A4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16</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CC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32151.42-2024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07E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第42部分：铜冶炼企业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69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4F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05E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51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17</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A0A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32151.46-2024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1B5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第46部分：废弃电池处理处置企业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5A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04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810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5E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18</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95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32151.37-2024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820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第37部分:烧结类墙体屋面及道路用建筑材料生产企业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49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08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5992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F8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19</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76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32151.38-2024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ACE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第38部分:水泥制品生产企业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55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86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195B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61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3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32151.36-2024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FFD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第36部分:绝热材料生产企业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94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EA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254B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60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21</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8D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32151.43-2024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1DCE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第43部分：铅冶炼企业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D3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EE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226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D5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22</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94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32151.29-2024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E0D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第29部分：机械设备制造企业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A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FE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1EA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04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23</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00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32151.45-2024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9A4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第45部分：磷酸及磷酸盐企业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FE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06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3A80D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30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24</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B5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32151.32-2024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0D0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第32部分：涂料生产企业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B2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56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1FBA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E5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25</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46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32151.34-2024</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DDC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第34部分：炭素材料生产企业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22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2024/8/23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FD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2025/3/1</w:t>
            </w:r>
          </w:p>
        </w:tc>
      </w:tr>
      <w:tr w14:paraId="0D9E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A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26</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FB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32151.12-2018</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9EA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第12部分: 纺织服装企业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36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2018/9/17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F3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2019/4/1</w:t>
            </w:r>
          </w:p>
        </w:tc>
      </w:tr>
      <w:tr w14:paraId="77AA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4E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27</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79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32151.3-2015</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2F06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第3部分：镁冶炼企业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09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BF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773EC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AF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28</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B7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32151.4-2015</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D9E7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第4部分：铝冶炼企业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3B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8D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454C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02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29</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FE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32151.5-2015</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B2F2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第5部分：钢铁生产企业</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85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30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4BD8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24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30</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93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32150-2015</w:t>
            </w:r>
          </w:p>
        </w:tc>
        <w:tc>
          <w:tcPr>
            <w:tcW w:w="2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FA6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工业企业温室气体排放核算和报告通则</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30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A1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bl>
    <w:p w14:paraId="1ABD6DCD">
      <w:pPr>
        <w:rPr>
          <w:rFonts w:hint="default" w:ascii="Times New Roman" w:hAnsi="Times New Roman" w:eastAsia="楷体_GB2312" w:cs="Times New Roman"/>
          <w:color w:val="auto"/>
          <w:sz w:val="32"/>
          <w:szCs w:val="32"/>
          <w:highlight w:val="none"/>
          <w:lang w:val="en-US" w:eastAsia="zh-CN"/>
        </w:rPr>
      </w:pPr>
    </w:p>
    <w:p w14:paraId="2AF4558E">
      <w:pPr>
        <w:rPr>
          <w:rFonts w:hint="default" w:ascii="Times New Roman" w:hAnsi="Times New Roman" w:eastAsia="楷体_GB2312" w:cs="Times New Roman"/>
          <w:color w:val="auto"/>
          <w:sz w:val="32"/>
          <w:szCs w:val="32"/>
          <w:highlight w:val="none"/>
          <w:lang w:val="en-US" w:eastAsia="zh-CN"/>
        </w:rPr>
      </w:pPr>
    </w:p>
    <w:p w14:paraId="797360E0">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楷体_GB2312" w:cs="Times New Roman"/>
          <w:color w:val="auto"/>
          <w:sz w:val="32"/>
          <w:szCs w:val="32"/>
          <w:highlight w:val="none"/>
          <w:lang w:val="en-US" w:eastAsia="zh-CN"/>
        </w:rPr>
      </w:pPr>
      <w:bookmarkStart w:id="25" w:name="_Toc6966"/>
      <w:r>
        <w:rPr>
          <w:rFonts w:hint="default" w:ascii="Times New Roman" w:hAnsi="Times New Roman" w:cs="Times New Roman"/>
          <w:b w:val="0"/>
          <w:bCs/>
          <w:color w:val="auto"/>
          <w:highlight w:val="none"/>
          <w:lang w:val="en-US" w:eastAsia="zh-CN"/>
        </w:rPr>
        <w:t>附件5 碳排放因子（参考值）</w:t>
      </w:r>
      <w:bookmarkEnd w:id="25"/>
    </w:p>
    <w:p w14:paraId="64443E23">
      <w:pPr>
        <w:pStyle w:val="8"/>
        <w:bidi w:val="0"/>
        <w:jc w:val="center"/>
        <w:rPr>
          <w:rFonts w:hint="default" w:ascii="Times New Roman" w:hAnsi="Times New Roman" w:eastAsia="方正小标宋简体" w:cs="Times New Roman"/>
          <w:b w:val="0"/>
          <w:bCs w:val="0"/>
          <w:color w:val="auto"/>
          <w:sz w:val="32"/>
          <w:szCs w:val="32"/>
          <w:highlight w:val="none"/>
          <w:lang w:val="en-US" w:eastAsia="zh-CN"/>
        </w:rPr>
      </w:pPr>
      <w:r>
        <w:rPr>
          <w:rFonts w:hint="default" w:ascii="Times New Roman" w:hAnsi="Times New Roman" w:eastAsia="方正小标宋简体" w:cs="Times New Roman"/>
          <w:b w:val="0"/>
          <w:bCs w:val="0"/>
          <w:color w:val="auto"/>
          <w:sz w:val="32"/>
          <w:szCs w:val="32"/>
          <w:highlight w:val="none"/>
          <w:lang w:val="en-US" w:eastAsia="zh-CN"/>
        </w:rPr>
        <w:t>碳排放因子（参考值）</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59"/>
        <w:gridCol w:w="2220"/>
        <w:gridCol w:w="2982"/>
      </w:tblGrid>
      <w:tr w14:paraId="6F906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2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D34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参数名称</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1DE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单位</w:t>
            </w:r>
          </w:p>
        </w:tc>
        <w:tc>
          <w:tcPr>
            <w:tcW w:w="1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871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二氧化碳排放因子</w:t>
            </w:r>
          </w:p>
        </w:tc>
      </w:tr>
      <w:tr w14:paraId="5C56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55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电力平均二氧化碳排放因子</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B0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tCO₂/MWh</w:t>
            </w:r>
          </w:p>
        </w:tc>
        <w:tc>
          <w:tcPr>
            <w:tcW w:w="1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13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采用国家最新发布值</w:t>
            </w:r>
          </w:p>
        </w:tc>
      </w:tr>
      <w:tr w14:paraId="2F00E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37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热力消费的排放因子</w:t>
            </w:r>
          </w:p>
        </w:tc>
        <w:tc>
          <w:tcPr>
            <w:tcW w:w="1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62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tCO₂/GJ</w:t>
            </w:r>
          </w:p>
        </w:tc>
        <w:tc>
          <w:tcPr>
            <w:tcW w:w="1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36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0.11</w:t>
            </w:r>
          </w:p>
        </w:tc>
      </w:tr>
      <w:tr w14:paraId="57B9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CB8E">
            <w:pPr>
              <w:bidi w:val="0"/>
              <w:ind w:left="1050" w:leftChars="200" w:hanging="630" w:hangingChars="300"/>
              <w:rPr>
                <w:rFonts w:hint="default" w:ascii="Times New Roman" w:hAnsi="Times New Roman" w:eastAsia="仿宋_GB2312"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注1：</w:t>
            </w:r>
            <w:r>
              <w:rPr>
                <w:rFonts w:hint="default" w:ascii="Times New Roman" w:hAnsi="Times New Roman" w:eastAsia="仿宋_GB2312" w:cs="Times New Roman"/>
                <w:color w:val="auto"/>
                <w:sz w:val="21"/>
                <w:szCs w:val="21"/>
                <w:lang w:val="en-US" w:eastAsia="zh-CN"/>
              </w:rPr>
              <w:t>电力平均二氧化碳排放因子应采用生态环境部、国家统计局最近年份发布的数据。考虑到使用电力的来源或性质可能不同，可根据实际情况合理采用全国或区域或省级的排放因子。</w:t>
            </w:r>
          </w:p>
          <w:p w14:paraId="76D9068C">
            <w:pPr>
              <w:bidi w:val="0"/>
              <w:ind w:firstLine="420" w:firstLineChars="200"/>
              <w:rPr>
                <w:rFonts w:hint="default" w:ascii="Times New Roman" w:hAnsi="Times New Roman" w:eastAsia="仿宋_GB2312"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注2：</w:t>
            </w:r>
            <w:r>
              <w:rPr>
                <w:rFonts w:hint="default" w:ascii="Times New Roman" w:hAnsi="Times New Roman" w:eastAsia="仿宋_GB2312" w:cs="Times New Roman"/>
                <w:color w:val="auto"/>
                <w:sz w:val="21"/>
                <w:szCs w:val="21"/>
                <w:lang w:val="en-US" w:eastAsia="zh-CN"/>
              </w:rPr>
              <w:t>热力消费的排放因子优先采用供热单位的实测值，若无实测值可按参考值计算。</w:t>
            </w:r>
          </w:p>
        </w:tc>
      </w:tr>
    </w:tbl>
    <w:p w14:paraId="550D9361">
      <w:pPr>
        <w:rPr>
          <w:rFonts w:hint="default" w:ascii="Times New Roman" w:hAnsi="Times New Roman" w:eastAsia="楷体_GB2312" w:cs="Times New Roman"/>
          <w:color w:val="auto"/>
          <w:sz w:val="32"/>
          <w:szCs w:val="32"/>
          <w:highlight w:val="none"/>
          <w:lang w:val="en-US" w:eastAsia="zh-CN"/>
        </w:rPr>
      </w:pPr>
    </w:p>
    <w:p w14:paraId="035E2812">
      <w:pPr>
        <w:rPr>
          <w:rFonts w:hint="default" w:ascii="Times New Roman" w:hAnsi="Times New Roman" w:eastAsia="楷体_GB2312" w:cs="Times New Roman"/>
          <w:color w:val="auto"/>
          <w:sz w:val="32"/>
          <w:szCs w:val="32"/>
          <w:highlight w:val="none"/>
          <w:lang w:val="en-US" w:eastAsia="zh-CN"/>
        </w:rPr>
      </w:pPr>
    </w:p>
    <w:p w14:paraId="4E801191">
      <w:pPr>
        <w:rPr>
          <w:rFonts w:hint="default" w:ascii="Times New Roman" w:hAnsi="Times New Roman" w:eastAsia="楷体_GB2312" w:cs="Times New Roman"/>
          <w:color w:val="auto"/>
          <w:sz w:val="32"/>
          <w:szCs w:val="32"/>
          <w:highlight w:val="none"/>
          <w:lang w:val="en-US" w:eastAsia="zh-CN"/>
        </w:rPr>
      </w:pPr>
    </w:p>
    <w:p w14:paraId="6B6D26C4">
      <w:pPr>
        <w:rPr>
          <w:rFonts w:hint="default" w:ascii="Times New Roman" w:hAnsi="Times New Roman" w:eastAsia="楷体_GB2312" w:cs="Times New Roman"/>
          <w:color w:val="auto"/>
          <w:sz w:val="32"/>
          <w:szCs w:val="32"/>
          <w:highlight w:val="none"/>
          <w:lang w:val="en-US" w:eastAsia="zh-CN"/>
        </w:rPr>
      </w:pPr>
    </w:p>
    <w:p w14:paraId="66C64E90">
      <w:pPr>
        <w:rPr>
          <w:rFonts w:hint="default" w:ascii="Times New Roman" w:hAnsi="Times New Roman" w:eastAsia="楷体_GB2312" w:cs="Times New Roman"/>
          <w:color w:val="auto"/>
          <w:sz w:val="32"/>
          <w:szCs w:val="32"/>
          <w:highlight w:val="none"/>
          <w:lang w:val="en-US" w:eastAsia="zh-CN"/>
        </w:rPr>
      </w:pPr>
    </w:p>
    <w:p w14:paraId="122501FE">
      <w:pPr>
        <w:rPr>
          <w:rFonts w:hint="default" w:ascii="Times New Roman" w:hAnsi="Times New Roman" w:eastAsia="楷体_GB2312" w:cs="Times New Roman"/>
          <w:color w:val="auto"/>
          <w:sz w:val="32"/>
          <w:szCs w:val="32"/>
          <w:highlight w:val="none"/>
          <w:lang w:val="en-US" w:eastAsia="zh-CN"/>
        </w:rPr>
      </w:pPr>
    </w:p>
    <w:p w14:paraId="475A77C9">
      <w:pPr>
        <w:rPr>
          <w:rFonts w:hint="default" w:ascii="Times New Roman" w:hAnsi="Times New Roman" w:eastAsia="楷体_GB2312" w:cs="Times New Roman"/>
          <w:color w:val="auto"/>
          <w:sz w:val="32"/>
          <w:szCs w:val="32"/>
          <w:highlight w:val="none"/>
          <w:lang w:val="en-US" w:eastAsia="zh-CN"/>
        </w:rPr>
      </w:pPr>
    </w:p>
    <w:p w14:paraId="6A2B1EDF">
      <w:pPr>
        <w:rPr>
          <w:rFonts w:hint="default" w:ascii="Times New Roman" w:hAnsi="Times New Roman" w:eastAsia="楷体_GB2312" w:cs="Times New Roman"/>
          <w:color w:val="auto"/>
          <w:sz w:val="32"/>
          <w:szCs w:val="32"/>
          <w:highlight w:val="none"/>
          <w:lang w:val="en-US" w:eastAsia="zh-CN"/>
        </w:rPr>
      </w:pPr>
    </w:p>
    <w:p w14:paraId="592B5D85">
      <w:pPr>
        <w:rPr>
          <w:rFonts w:hint="default" w:ascii="Times New Roman" w:hAnsi="Times New Roman" w:eastAsia="楷体_GB2312" w:cs="Times New Roman"/>
          <w:color w:val="auto"/>
          <w:sz w:val="32"/>
          <w:szCs w:val="32"/>
          <w:highlight w:val="none"/>
          <w:lang w:val="en-US" w:eastAsia="zh-CN"/>
        </w:rPr>
      </w:pPr>
    </w:p>
    <w:p w14:paraId="11B4679C">
      <w:pPr>
        <w:rPr>
          <w:rFonts w:hint="default" w:ascii="Times New Roman" w:hAnsi="Times New Roman" w:eastAsia="楷体_GB2312" w:cs="Times New Roman"/>
          <w:color w:val="auto"/>
          <w:sz w:val="32"/>
          <w:szCs w:val="32"/>
          <w:highlight w:val="none"/>
          <w:lang w:val="en-US" w:eastAsia="zh-CN"/>
        </w:rPr>
      </w:pPr>
    </w:p>
    <w:p w14:paraId="26FDDBAB">
      <w:pPr>
        <w:rPr>
          <w:rFonts w:hint="default" w:ascii="Times New Roman" w:hAnsi="Times New Roman" w:eastAsia="楷体_GB2312" w:cs="Times New Roman"/>
          <w:color w:val="auto"/>
          <w:sz w:val="32"/>
          <w:szCs w:val="32"/>
          <w:highlight w:val="none"/>
          <w:lang w:val="en-US" w:eastAsia="zh-CN"/>
        </w:rPr>
      </w:pPr>
    </w:p>
    <w:p w14:paraId="5ED04445">
      <w:pPr>
        <w:rPr>
          <w:rFonts w:hint="default" w:ascii="Times New Roman" w:hAnsi="Times New Roman" w:eastAsia="楷体_GB2312" w:cs="Times New Roman"/>
          <w:color w:val="auto"/>
          <w:sz w:val="32"/>
          <w:szCs w:val="32"/>
          <w:highlight w:val="none"/>
          <w:lang w:val="en-US" w:eastAsia="zh-CN"/>
        </w:rPr>
      </w:pPr>
    </w:p>
    <w:p w14:paraId="4094DF0E">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26" w:name="_Toc25328"/>
      <w:r>
        <w:rPr>
          <w:rFonts w:hint="default" w:ascii="Times New Roman" w:hAnsi="Times New Roman" w:cs="Times New Roman"/>
          <w:b w:val="0"/>
          <w:bCs/>
          <w:color w:val="auto"/>
          <w:highlight w:val="none"/>
          <w:lang w:val="en-US" w:eastAsia="zh-CN"/>
        </w:rPr>
        <w:t>附件6 部分温室气体的全球变暖潜势值（参考值）</w:t>
      </w:r>
      <w:bookmarkEnd w:id="26"/>
    </w:p>
    <w:p w14:paraId="197232CB">
      <w:pPr>
        <w:pStyle w:val="8"/>
        <w:bidi w:val="0"/>
        <w:jc w:val="center"/>
        <w:rPr>
          <w:rFonts w:hint="default" w:ascii="Times New Roman" w:hAnsi="Times New Roman" w:cs="Times New Roman"/>
          <w:color w:val="auto"/>
          <w:lang w:val="en-US" w:eastAsia="zh-CN"/>
        </w:rPr>
      </w:pPr>
      <w:r>
        <w:rPr>
          <w:rFonts w:hint="default" w:ascii="Times New Roman" w:hAnsi="Times New Roman" w:eastAsia="方正小标宋简体" w:cs="Times New Roman"/>
          <w:b w:val="0"/>
          <w:bCs w:val="0"/>
          <w:color w:val="auto"/>
          <w:sz w:val="32"/>
          <w:szCs w:val="32"/>
          <w:highlight w:val="none"/>
          <w:lang w:val="en-US" w:eastAsia="zh-CN"/>
        </w:rPr>
        <w:t>部分温室气体的全球变暖潜势值（参考值）</w:t>
      </w:r>
    </w:p>
    <w:tbl>
      <w:tblPr>
        <w:tblStyle w:val="1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59"/>
        <w:gridCol w:w="2370"/>
        <w:gridCol w:w="3125"/>
      </w:tblGrid>
      <w:tr w14:paraId="7121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CB1E">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Style w:val="24"/>
                <w:rFonts w:hint="default" w:ascii="Times New Roman" w:hAnsi="Times New Roman" w:eastAsia="仿宋_GB2312" w:cs="Times New Roman"/>
                <w:color w:val="auto"/>
                <w:sz w:val="24"/>
                <w:szCs w:val="24"/>
                <w:highlight w:val="none"/>
                <w:lang w:val="en-US" w:eastAsia="zh-CN" w:bidi="ar"/>
              </w:rPr>
              <w:t>温室气体名称</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6C3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Style w:val="24"/>
                <w:rFonts w:hint="default" w:ascii="Times New Roman" w:hAnsi="Times New Roman" w:eastAsia="仿宋_GB2312" w:cs="Times New Roman"/>
                <w:color w:val="auto"/>
                <w:sz w:val="24"/>
                <w:szCs w:val="24"/>
                <w:highlight w:val="none"/>
                <w:lang w:val="en-US" w:eastAsia="zh-CN" w:bidi="ar"/>
              </w:rPr>
              <w:t>结构式</w:t>
            </w:r>
          </w:p>
        </w:tc>
        <w:tc>
          <w:tcPr>
            <w:tcW w:w="1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C629F">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100</w:t>
            </w:r>
            <w:r>
              <w:rPr>
                <w:rStyle w:val="24"/>
                <w:rFonts w:hint="default" w:ascii="Times New Roman" w:hAnsi="Times New Roman" w:eastAsia="仿宋_GB2312" w:cs="Times New Roman"/>
                <w:color w:val="auto"/>
                <w:sz w:val="24"/>
                <w:szCs w:val="24"/>
                <w:highlight w:val="none"/>
                <w:lang w:val="en-US" w:eastAsia="zh-CN" w:bidi="ar"/>
              </w:rPr>
              <w:t>年范围的全球变暖潜势</w:t>
            </w:r>
            <w:r>
              <w:rPr>
                <w:rFonts w:hint="default" w:ascii="Times New Roman" w:hAnsi="Times New Roman" w:eastAsia="仿宋_GB2312" w:cs="Times New Roman"/>
                <w:b/>
                <w:bCs/>
                <w:i w:val="0"/>
                <w:iCs w:val="0"/>
                <w:color w:val="auto"/>
                <w:kern w:val="0"/>
                <w:sz w:val="24"/>
                <w:szCs w:val="24"/>
                <w:highlight w:val="none"/>
                <w:u w:val="none"/>
                <w:lang w:val="en-US" w:eastAsia="zh-CN" w:bidi="ar"/>
              </w:rPr>
              <w:t>(GWP 100)</w:t>
            </w:r>
          </w:p>
        </w:tc>
      </w:tr>
      <w:tr w14:paraId="0340E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120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二氧化碳</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37E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CO</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04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1 </w:t>
            </w:r>
          </w:p>
        </w:tc>
      </w:tr>
      <w:tr w14:paraId="79B7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EDD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甲烷</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0D1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AF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27.9 </w:t>
            </w:r>
          </w:p>
        </w:tc>
      </w:tr>
      <w:tr w14:paraId="6EF37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690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氧化亚氮</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8E0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bidi="ar"/>
              </w:rPr>
              <w:t>N</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i w:val="0"/>
                <w:iCs w:val="0"/>
                <w:color w:val="auto"/>
                <w:kern w:val="0"/>
                <w:sz w:val="24"/>
                <w:szCs w:val="24"/>
                <w:highlight w:val="none"/>
                <w:u w:val="none"/>
                <w:lang w:val="en-US" w:eastAsia="zh-CN" w:bidi="ar"/>
              </w:rPr>
              <w:t>O</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A8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273 </w:t>
            </w:r>
          </w:p>
        </w:tc>
      </w:tr>
      <w:tr w14:paraId="63766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F41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三氟化氮</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E98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NF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E1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17 400</w:t>
            </w:r>
          </w:p>
        </w:tc>
      </w:tr>
      <w:tr w14:paraId="4393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E82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六氟化硫</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39E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SF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0E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25 200</w:t>
            </w:r>
          </w:p>
        </w:tc>
      </w:tr>
      <w:tr w14:paraId="59E3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66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氢氟碳化物</w:t>
            </w:r>
            <w:r>
              <w:rPr>
                <w:rFonts w:hint="default" w:ascii="Times New Roman" w:hAnsi="Times New Roman" w:eastAsia="仿宋_GB2312" w:cs="Times New Roman"/>
                <w:b/>
                <w:bCs/>
                <w:sz w:val="24"/>
                <w:szCs w:val="24"/>
                <w:lang w:val="en-US" w:eastAsia="zh-CN"/>
              </w:rPr>
              <w:t>（HFC</w:t>
            </w:r>
            <w:r>
              <w:rPr>
                <w:rFonts w:hint="default" w:ascii="Times New Roman" w:hAnsi="Times New Roman" w:eastAsia="仿宋_GB2312" w:cs="Times New Roman"/>
                <w:b/>
                <w:bCs/>
                <w:sz w:val="24"/>
                <w:szCs w:val="24"/>
                <w:vertAlign w:val="subscript"/>
                <w:lang w:val="en-US" w:eastAsia="zh-CN"/>
              </w:rPr>
              <w:t>S</w:t>
            </w:r>
            <w:r>
              <w:rPr>
                <w:rFonts w:hint="default" w:ascii="Times New Roman" w:hAnsi="Times New Roman" w:eastAsia="仿宋_GB2312" w:cs="Times New Roman"/>
                <w:b/>
                <w:bCs/>
                <w:sz w:val="24"/>
                <w:szCs w:val="24"/>
                <w:lang w:val="en-US" w:eastAsia="zh-CN"/>
              </w:rPr>
              <w:t>）</w:t>
            </w:r>
          </w:p>
        </w:tc>
      </w:tr>
      <w:tr w14:paraId="6D90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30A8">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三氟甲烷(HFC-23)</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8C7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AF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14 600</w:t>
            </w:r>
          </w:p>
        </w:tc>
      </w:tr>
      <w:tr w14:paraId="6EC8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E0BD">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二氟甲烷(HFC-32)</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FAE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C9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771 </w:t>
            </w:r>
          </w:p>
        </w:tc>
      </w:tr>
      <w:tr w14:paraId="66B7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6C27">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一氟甲烷(HFC-41)</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31B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F</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A6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135 </w:t>
            </w:r>
          </w:p>
        </w:tc>
      </w:tr>
      <w:tr w14:paraId="6D8F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3C34">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五氟乙烷(HFC-125)</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160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3E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3 740</w:t>
            </w:r>
          </w:p>
        </w:tc>
      </w:tr>
      <w:tr w14:paraId="4967F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918F">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2</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2-四氟乙烷(HFC-134)</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2BB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D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1 260</w:t>
            </w:r>
          </w:p>
        </w:tc>
      </w:tr>
      <w:tr w14:paraId="5AF0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457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_GB2312" w:cs="Times New Roman"/>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2-四氟乙烷(HFC-134a)</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7F0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FCF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AD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1 530</w:t>
            </w:r>
          </w:p>
        </w:tc>
      </w:tr>
      <w:tr w14:paraId="6B8D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0E8E">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2-三氟乙烷(HFC-143)</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02C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FCHF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AB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364 </w:t>
            </w:r>
          </w:p>
        </w:tc>
      </w:tr>
      <w:tr w14:paraId="08BD1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C4F7">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1-三氟乙烷(HFC-143a)</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ECC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57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5 810</w:t>
            </w:r>
          </w:p>
        </w:tc>
      </w:tr>
      <w:tr w14:paraId="7092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AF37">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1-二氟乙烷(HFC-152a)</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01C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CHF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F7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164 </w:t>
            </w:r>
          </w:p>
        </w:tc>
      </w:tr>
      <w:tr w14:paraId="6B75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1A65">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2</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3-七氟丙烷</w:t>
            </w:r>
          </w:p>
          <w:p w14:paraId="4B67C0DF">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(HFC-227ea)</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8B1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CHFCF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A0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3 600</w:t>
            </w:r>
          </w:p>
        </w:tc>
      </w:tr>
      <w:tr w14:paraId="1767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09A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3-六氟丙烷(HFC-236fa)</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778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CH</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8B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8 690</w:t>
            </w:r>
          </w:p>
        </w:tc>
      </w:tr>
      <w:tr w14:paraId="7DC30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4E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全氟碳化物（</w:t>
            </w:r>
            <w:r>
              <w:rPr>
                <w:rFonts w:hint="default" w:ascii="Times New Roman" w:hAnsi="Times New Roman" w:eastAsia="仿宋_GB2312" w:cs="Times New Roman"/>
                <w:b/>
                <w:bCs/>
                <w:sz w:val="24"/>
                <w:szCs w:val="24"/>
                <w:lang w:val="en-US" w:eastAsia="zh-CN"/>
              </w:rPr>
              <w:t>PFC</w:t>
            </w:r>
            <w:r>
              <w:rPr>
                <w:rFonts w:hint="default" w:ascii="Times New Roman" w:hAnsi="Times New Roman" w:eastAsia="仿宋_GB2312" w:cs="Times New Roman"/>
                <w:b/>
                <w:bCs/>
                <w:i w:val="0"/>
                <w:iCs w:val="0"/>
                <w:color w:val="auto"/>
                <w:kern w:val="0"/>
                <w:sz w:val="24"/>
                <w:szCs w:val="24"/>
                <w:highlight w:val="none"/>
                <w:u w:val="none"/>
                <w:vertAlign w:val="subscript"/>
                <w:lang w:val="en-US" w:eastAsia="zh-CN" w:bidi="ar"/>
              </w:rPr>
              <w:t>S</w:t>
            </w:r>
            <w:r>
              <w:rPr>
                <w:rFonts w:hint="default" w:ascii="Times New Roman" w:hAnsi="Times New Roman" w:eastAsia="仿宋_GB2312" w:cs="Times New Roman"/>
                <w:b/>
                <w:bCs/>
                <w:i w:val="0"/>
                <w:iCs w:val="0"/>
                <w:color w:val="auto"/>
                <w:kern w:val="0"/>
                <w:sz w:val="24"/>
                <w:szCs w:val="24"/>
                <w:highlight w:val="none"/>
                <w:u w:val="none"/>
                <w:lang w:val="en-US" w:eastAsia="zh-CN" w:bidi="ar"/>
              </w:rPr>
              <w:t>）</w:t>
            </w:r>
          </w:p>
        </w:tc>
      </w:tr>
      <w:tr w14:paraId="595B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3FC0">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四氟化碳(PFC-14)</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4D2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9C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7 380</w:t>
            </w:r>
          </w:p>
        </w:tc>
      </w:tr>
      <w:tr w14:paraId="0016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1884">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六氟乙烷(PFC-116)</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F32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1B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12 400</w:t>
            </w:r>
          </w:p>
        </w:tc>
      </w:tr>
      <w:tr w14:paraId="6429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D04E">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八氟丙烷(PFC-218)</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929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3</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8</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70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9 290</w:t>
            </w:r>
          </w:p>
        </w:tc>
      </w:tr>
      <w:tr w14:paraId="69FB2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C2A3">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八氟环丁烷(PFC-C-318)</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01F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cye(-CF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CF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2</w:t>
            </w:r>
            <w:r>
              <w:rPr>
                <w:rFonts w:hint="default" w:ascii="Times New Roman" w:hAnsi="Times New Roman" w:eastAsia="仿宋_GB2312" w:cs="Times New Roman"/>
                <w:sz w:val="24"/>
                <w:szCs w:val="24"/>
                <w:lang w:val="en-US" w:eastAsia="zh-CN"/>
              </w:rPr>
              <w:t>-)</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5F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10 200</w:t>
            </w:r>
          </w:p>
        </w:tc>
      </w:tr>
      <w:tr w14:paraId="5F17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ABE2">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全氟丁烷(PFC-31-10)</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79DC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n-C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4</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10</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06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10 000</w:t>
            </w:r>
          </w:p>
        </w:tc>
      </w:tr>
      <w:tr w14:paraId="6478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AF9D">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全氟戊烷(PFC-41-12)</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F14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n-C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5</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12</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28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9 220</w:t>
            </w:r>
          </w:p>
        </w:tc>
      </w:tr>
      <w:tr w14:paraId="3736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78DB">
            <w:pPr>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全氟己烷(PFC-51-14)</w:t>
            </w:r>
          </w:p>
        </w:tc>
        <w:tc>
          <w:tcPr>
            <w:tcW w:w="1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F5A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n-C</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6</w:t>
            </w:r>
            <w:r>
              <w:rPr>
                <w:rFonts w:hint="default" w:ascii="Times New Roman" w:hAnsi="Times New Roman" w:eastAsia="仿宋_GB2312" w:cs="Times New Roman"/>
                <w:sz w:val="24"/>
                <w:szCs w:val="24"/>
                <w:lang w:val="en-US" w:eastAsia="zh-CN"/>
              </w:rPr>
              <w:t>F</w:t>
            </w:r>
            <w:r>
              <w:rPr>
                <w:rFonts w:hint="default" w:ascii="Times New Roman" w:hAnsi="Times New Roman" w:eastAsia="仿宋_GB2312" w:cs="Times New Roman"/>
                <w:i w:val="0"/>
                <w:iCs w:val="0"/>
                <w:color w:val="auto"/>
                <w:kern w:val="0"/>
                <w:sz w:val="24"/>
                <w:szCs w:val="24"/>
                <w:highlight w:val="none"/>
                <w:u w:val="none"/>
                <w:vertAlign w:val="subscript"/>
                <w:lang w:val="en-US" w:eastAsia="zh-CN" w:bidi="ar"/>
              </w:rPr>
              <w:t>14</w:t>
            </w:r>
          </w:p>
        </w:tc>
        <w:tc>
          <w:tcPr>
            <w:tcW w:w="1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18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8 620</w:t>
            </w:r>
          </w:p>
        </w:tc>
      </w:tr>
      <w:tr w14:paraId="78C44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2A1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    </w:t>
            </w:r>
            <w:r>
              <w:rPr>
                <w:rFonts w:hint="default" w:ascii="Times New Roman" w:hAnsi="Times New Roman" w:eastAsia="黑体" w:cs="Times New Roman"/>
                <w:b/>
                <w:bCs/>
                <w:i w:val="0"/>
                <w:iCs w:val="0"/>
                <w:color w:val="auto"/>
                <w:kern w:val="0"/>
                <w:sz w:val="21"/>
                <w:szCs w:val="21"/>
                <w:highlight w:val="none"/>
                <w:u w:val="none"/>
                <w:lang w:val="en-US" w:eastAsia="zh-CN" w:bidi="ar"/>
              </w:rPr>
              <w:t>注：</w:t>
            </w:r>
            <w:r>
              <w:rPr>
                <w:rFonts w:hint="default" w:ascii="Times New Roman" w:hAnsi="Times New Roman" w:eastAsia="仿宋_GB2312" w:cs="Times New Roman"/>
                <w:i w:val="0"/>
                <w:iCs w:val="0"/>
                <w:color w:val="auto"/>
                <w:kern w:val="0"/>
                <w:sz w:val="21"/>
                <w:szCs w:val="21"/>
                <w:highlight w:val="none"/>
                <w:u w:val="none"/>
                <w:lang w:val="en-US" w:eastAsia="zh-CN" w:bidi="ar"/>
              </w:rPr>
              <w:t>数据来源于IPCC 第六次评估报告。数据更新时，宜采取最新值。</w:t>
            </w:r>
          </w:p>
        </w:tc>
      </w:tr>
    </w:tbl>
    <w:p w14:paraId="7E3A800B">
      <w:pPr>
        <w:rPr>
          <w:rFonts w:hint="default" w:ascii="Times New Roman" w:hAnsi="Times New Roman" w:eastAsia="楷体_GB2312" w:cs="Times New Roman"/>
          <w:color w:val="auto"/>
          <w:sz w:val="32"/>
          <w:szCs w:val="32"/>
          <w:highlight w:val="none"/>
          <w:lang w:val="en-US" w:eastAsia="zh-CN"/>
        </w:rPr>
      </w:pPr>
    </w:p>
    <w:p w14:paraId="667DC6B0">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楷体_GB2312" w:cs="Times New Roman"/>
          <w:color w:val="auto"/>
          <w:sz w:val="32"/>
          <w:szCs w:val="32"/>
          <w:highlight w:val="none"/>
          <w:lang w:val="en-US" w:eastAsia="zh-CN"/>
        </w:rPr>
      </w:pPr>
      <w:bookmarkStart w:id="27" w:name="_Toc22287"/>
      <w:r>
        <w:rPr>
          <w:rFonts w:hint="default" w:ascii="Times New Roman" w:hAnsi="Times New Roman" w:cs="Times New Roman"/>
          <w:b w:val="0"/>
          <w:bCs/>
          <w:color w:val="auto"/>
          <w:highlight w:val="none"/>
          <w:lang w:val="en-US" w:eastAsia="zh-CN"/>
        </w:rPr>
        <w:t>附件7 常用化石燃料相关参数的缺省值</w:t>
      </w:r>
      <w:bookmarkEnd w:id="27"/>
    </w:p>
    <w:p w14:paraId="50ADDFD1">
      <w:pPr>
        <w:pStyle w:val="8"/>
        <w:bidi w:val="0"/>
        <w:jc w:val="center"/>
        <w:rPr>
          <w:rFonts w:hint="default" w:ascii="Times New Roman" w:hAnsi="Times New Roman" w:eastAsia="方正小标宋简体" w:cs="Times New Roman"/>
          <w:b w:val="0"/>
          <w:bCs w:val="0"/>
          <w:color w:val="auto"/>
          <w:sz w:val="32"/>
          <w:szCs w:val="32"/>
          <w:highlight w:val="none"/>
          <w:lang w:val="en-US" w:eastAsia="zh-CN"/>
        </w:rPr>
      </w:pPr>
      <w:r>
        <w:rPr>
          <w:rFonts w:hint="default" w:ascii="Times New Roman" w:hAnsi="Times New Roman" w:eastAsia="方正小标宋简体" w:cs="Times New Roman"/>
          <w:b w:val="0"/>
          <w:bCs w:val="0"/>
          <w:color w:val="auto"/>
          <w:sz w:val="32"/>
          <w:szCs w:val="32"/>
          <w:highlight w:val="none"/>
          <w:lang w:val="en-US" w:eastAsia="zh-CN"/>
        </w:rPr>
        <w:t>常用化石燃料相关参数的缺省值</w:t>
      </w:r>
    </w:p>
    <w:tbl>
      <w:tblPr>
        <w:tblStyle w:val="14"/>
        <w:tblW w:w="5032" w:type="pct"/>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676"/>
        <w:gridCol w:w="1153"/>
        <w:gridCol w:w="1831"/>
        <w:gridCol w:w="1820"/>
        <w:gridCol w:w="1935"/>
      </w:tblGrid>
      <w:tr w14:paraId="6E4BA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exact"/>
          <w:tblHeader/>
        </w:trPr>
        <w:tc>
          <w:tcPr>
            <w:tcW w:w="13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4A11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燃料品种</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9B4B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计量单位</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CAB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低位发热量</w:t>
            </w:r>
            <w:r>
              <w:rPr>
                <w:rFonts w:hint="default" w:ascii="Times New Roman" w:hAnsi="Times New Roman" w:eastAsia="仿宋_GB2312" w:cs="Times New Roman"/>
                <w:b/>
                <w:bCs/>
                <w:i w:val="0"/>
                <w:iCs w:val="0"/>
                <w:color w:val="auto"/>
                <w:kern w:val="0"/>
                <w:sz w:val="22"/>
                <w:szCs w:val="22"/>
                <w:highlight w:val="none"/>
                <w:u w:val="none"/>
                <w:lang w:val="en-US" w:eastAsia="zh-CN" w:bidi="ar"/>
              </w:rPr>
              <w:br w:type="textWrapping"/>
            </w:r>
            <w:r>
              <w:rPr>
                <w:rFonts w:hint="default" w:ascii="Times New Roman" w:hAnsi="Times New Roman" w:eastAsia="仿宋_GB2312" w:cs="Times New Roman"/>
                <w:b/>
                <w:bCs/>
                <w:i w:val="0"/>
                <w:iCs w:val="0"/>
                <w:color w:val="auto"/>
                <w:kern w:val="0"/>
                <w:sz w:val="22"/>
                <w:szCs w:val="22"/>
                <w:highlight w:val="none"/>
                <w:u w:val="none"/>
                <w:lang w:val="en-US" w:eastAsia="zh-CN" w:bidi="ar"/>
              </w:rPr>
              <w:t>GJ/t，GJ/10</w:t>
            </w:r>
            <w:r>
              <w:rPr>
                <w:rFonts w:hint="default" w:ascii="Times New Roman" w:hAnsi="Times New Roman" w:eastAsia="仿宋_GB2312" w:cs="Times New Roman"/>
                <w:b/>
                <w:bCs/>
                <w:i w:val="0"/>
                <w:iCs w:val="0"/>
                <w:color w:val="auto"/>
                <w:kern w:val="0"/>
                <w:sz w:val="22"/>
                <w:szCs w:val="22"/>
                <w:highlight w:val="none"/>
                <w:u w:val="none"/>
                <w:vertAlign w:val="superscript"/>
                <w:lang w:val="en-US" w:eastAsia="zh-CN" w:bidi="ar"/>
              </w:rPr>
              <w:t>4</w:t>
            </w:r>
            <w:r>
              <w:rPr>
                <w:rStyle w:val="25"/>
                <w:rFonts w:hint="default" w:ascii="Times New Roman" w:hAnsi="Times New Roman" w:eastAsia="仿宋_GB2312" w:cs="Times New Roman"/>
                <w:color w:val="auto"/>
                <w:sz w:val="22"/>
                <w:szCs w:val="22"/>
                <w:highlight w:val="none"/>
                <w:lang w:val="en-US" w:eastAsia="zh-CN" w:bidi="ar"/>
              </w:rPr>
              <w:t>Nm</w:t>
            </w:r>
            <w:r>
              <w:rPr>
                <w:rFonts w:hint="default" w:ascii="Times New Roman" w:hAnsi="Times New Roman" w:eastAsia="仿宋_GB2312" w:cs="Times New Roman"/>
                <w:i w:val="0"/>
                <w:iCs w:val="0"/>
                <w:color w:val="auto"/>
                <w:kern w:val="0"/>
                <w:sz w:val="22"/>
                <w:szCs w:val="22"/>
                <w:highlight w:val="none"/>
                <w:u w:val="none"/>
                <w:vertAlign w:val="superscript"/>
                <w:lang w:val="en-US" w:eastAsia="zh-CN" w:bidi="ar"/>
              </w:rPr>
              <w:t>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584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单位热值含碳量</w:t>
            </w:r>
            <w:r>
              <w:rPr>
                <w:rFonts w:hint="default" w:ascii="Times New Roman" w:hAnsi="Times New Roman" w:eastAsia="仿宋_GB2312" w:cs="Times New Roman"/>
                <w:b/>
                <w:bCs/>
                <w:i w:val="0"/>
                <w:iCs w:val="0"/>
                <w:color w:val="auto"/>
                <w:kern w:val="0"/>
                <w:sz w:val="22"/>
                <w:szCs w:val="22"/>
                <w:highlight w:val="none"/>
                <w:u w:val="none"/>
                <w:lang w:val="en-US" w:eastAsia="zh-CN" w:bidi="ar"/>
              </w:rPr>
              <w:br w:type="textWrapping"/>
            </w:r>
            <w:r>
              <w:rPr>
                <w:rFonts w:hint="default" w:ascii="Times New Roman" w:hAnsi="Times New Roman" w:eastAsia="仿宋_GB2312" w:cs="Times New Roman"/>
                <w:b/>
                <w:bCs/>
                <w:i w:val="0"/>
                <w:iCs w:val="0"/>
                <w:color w:val="auto"/>
                <w:kern w:val="0"/>
                <w:sz w:val="22"/>
                <w:szCs w:val="22"/>
                <w:highlight w:val="none"/>
                <w:u w:val="none"/>
                <w:lang w:val="en-US" w:eastAsia="zh-CN" w:bidi="ar"/>
              </w:rPr>
              <w:t>tC/GJ</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F877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燃料碳氧化率</w:t>
            </w:r>
            <w:r>
              <w:rPr>
                <w:rFonts w:hint="default" w:ascii="Times New Roman" w:hAnsi="Times New Roman" w:eastAsia="仿宋_GB2312" w:cs="Times New Roman"/>
                <w:b/>
                <w:bCs/>
                <w:i w:val="0"/>
                <w:iCs w:val="0"/>
                <w:color w:val="auto"/>
                <w:kern w:val="0"/>
                <w:sz w:val="22"/>
                <w:szCs w:val="22"/>
                <w:highlight w:val="none"/>
                <w:u w:val="none"/>
                <w:lang w:val="en-US" w:eastAsia="zh-CN" w:bidi="ar"/>
              </w:rPr>
              <w:br w:type="textWrapping"/>
            </w:r>
            <w:r>
              <w:rPr>
                <w:rFonts w:hint="default" w:ascii="Times New Roman" w:hAnsi="Times New Roman" w:eastAsia="仿宋_GB2312" w:cs="Times New Roman"/>
                <w:b/>
                <w:bCs/>
                <w:i w:val="0"/>
                <w:iCs w:val="0"/>
                <w:color w:val="auto"/>
                <w:kern w:val="0"/>
                <w:sz w:val="22"/>
                <w:szCs w:val="22"/>
                <w:highlight w:val="none"/>
                <w:u w:val="none"/>
                <w:lang w:val="en-US" w:eastAsia="zh-CN" w:bidi="ar"/>
              </w:rPr>
              <w:t>（%）</w:t>
            </w:r>
          </w:p>
        </w:tc>
      </w:tr>
      <w:tr w14:paraId="48B37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3906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固体燃料</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308F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无烟煤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132C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4EF5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26.7</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6785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27.4</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C10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94</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7B12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2EA18F">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40B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烟煤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9D51">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EB4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19.570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5312">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F158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93</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2CE9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4DCAD9">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E98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褐煤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06153">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BD9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0F0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EAA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1D80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2B45B3">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4ADB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洗精煤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492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1084D">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26.334</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237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25.41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B75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r>
      <w:tr w14:paraId="0546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73BDCB">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703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其他洗煤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4C741">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CD16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12.545</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BF1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25.41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7FB0">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r>
      <w:tr w14:paraId="5EC79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AF11CA">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07D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型煤</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A6B2">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FE2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17.460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8F3F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33.6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74A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EA70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3D788AE">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7BE7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其他煤制品</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D8A8">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B1A7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17.460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DABD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33.6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90E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23FA0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6B8E495">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B498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焦炭</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D43C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1728">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28.435</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6ABF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29.5</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F02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93</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3B190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7E202B">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A106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石油焦</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541A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3D26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32.5</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2C77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27.50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28F0">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12D26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4C86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液体燃料</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42D9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原油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704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F48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41.816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F77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3E3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3F6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776317">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9D2A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燃料油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C48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0EA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41.816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B340">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21.1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603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34076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4EBB6F">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CCC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汽油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A21C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C93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43.070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496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D1843">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37B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B4C42B">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86D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柴油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97DD">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E805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42.652</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0FB1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79BA">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001E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0DE0F3">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D4F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一般煤油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824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4B6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43.070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CF79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5B7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B552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C52795">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B91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液化天然气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10E0">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C5A3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51.498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e</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0159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15.3</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625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7529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550C30">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BE3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液化石油气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734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44BAD">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50.179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00AD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17.2</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DAEB8">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2FC6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3B7242">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D3B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石脑油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C41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EFCD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44.5</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0255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928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16F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1C8ACF">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CE4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焦油</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5E43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D76D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33.453</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9748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22.0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D03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7CC0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C75CD1">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9C43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粗苯</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C590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81F4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41.816</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850C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22.7</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F79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2ED8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9930E4">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99B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其他石油制品</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224BB">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9D51">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41.031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C50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9BE73">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46B7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9083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气体燃料</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053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天然气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917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4</w:t>
            </w:r>
            <w:r>
              <w:rPr>
                <w:rStyle w:val="25"/>
                <w:rFonts w:hint="default" w:ascii="Times New Roman" w:hAnsi="Times New Roman" w:eastAsia="等线" w:cs="Times New Roman"/>
                <w:color w:val="auto"/>
                <w:sz w:val="24"/>
                <w:szCs w:val="24"/>
                <w:highlight w:val="none"/>
                <w:lang w:val="en-US" w:eastAsia="zh-CN" w:bidi="ar"/>
              </w:rPr>
              <w:t>Nm</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DF54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389.31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FDA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15.3</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ECA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23F2C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67D051">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0E6B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高炉煤气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57D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4</w:t>
            </w:r>
            <w:r>
              <w:rPr>
                <w:rStyle w:val="25"/>
                <w:rFonts w:hint="default" w:ascii="Times New Roman" w:hAnsi="Times New Roman" w:eastAsia="等线" w:cs="Times New Roman"/>
                <w:color w:val="auto"/>
                <w:sz w:val="24"/>
                <w:szCs w:val="24"/>
                <w:highlight w:val="none"/>
                <w:lang w:val="en-US" w:eastAsia="zh-CN" w:bidi="ar"/>
              </w:rPr>
              <w:t>Nm</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DC1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33.00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463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70.80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c</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B72D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3B96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401D59">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C53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转炉煤气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78D9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4</w:t>
            </w:r>
            <w:r>
              <w:rPr>
                <w:rStyle w:val="25"/>
                <w:rFonts w:hint="default" w:ascii="Times New Roman" w:hAnsi="Times New Roman" w:eastAsia="等线" w:cs="Times New Roman"/>
                <w:color w:val="auto"/>
                <w:sz w:val="24"/>
                <w:szCs w:val="24"/>
                <w:highlight w:val="none"/>
                <w:lang w:val="en-US" w:eastAsia="zh-CN" w:bidi="ar"/>
              </w:rPr>
              <w:t>Nm</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0867">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84.00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2B31">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49.60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d</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42210">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2076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FC9DBA">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7F9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焦炉煤气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C038">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4</w:t>
            </w:r>
            <w:r>
              <w:rPr>
                <w:rStyle w:val="25"/>
                <w:rFonts w:hint="default" w:ascii="Times New Roman" w:hAnsi="Times New Roman" w:eastAsia="等线" w:cs="Times New Roman"/>
                <w:color w:val="auto"/>
                <w:sz w:val="24"/>
                <w:szCs w:val="24"/>
                <w:highlight w:val="none"/>
                <w:lang w:val="en-US" w:eastAsia="zh-CN" w:bidi="ar"/>
              </w:rPr>
              <w:t>Nm</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622F">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179.81</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51386">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13.58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BB3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5611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40D93">
            <w:pPr>
              <w:jc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气体燃料</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83B9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炼厂干气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0FF8C">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t</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42E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45.998</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9C01">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18.2</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8F69">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5E47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F47C07">
            <w:pPr>
              <w:jc w:val="center"/>
              <w:rPr>
                <w:rFonts w:hint="default" w:ascii="Times New Roman" w:hAnsi="Times New Roman" w:eastAsia="仿宋_GB2312" w:cs="Times New Roman"/>
                <w:i w:val="0"/>
                <w:iCs w:val="0"/>
                <w:color w:val="auto"/>
                <w:sz w:val="24"/>
                <w:szCs w:val="24"/>
                <w:highlight w:val="none"/>
                <w:u w:val="none"/>
              </w:rPr>
            </w:pP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8F8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其他煤气</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3884">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4</w:t>
            </w:r>
            <w:r>
              <w:rPr>
                <w:rStyle w:val="25"/>
                <w:rFonts w:hint="default" w:ascii="Times New Roman" w:hAnsi="Times New Roman" w:eastAsia="等线" w:cs="Times New Roman"/>
                <w:color w:val="auto"/>
                <w:sz w:val="24"/>
                <w:szCs w:val="24"/>
                <w:highlight w:val="none"/>
                <w:lang w:val="en-US" w:eastAsia="zh-CN" w:bidi="ar"/>
              </w:rPr>
              <w:t>Nm</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C645">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52.270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a</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7993">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12.2</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r>
              <w:rPr>
                <w:rStyle w:val="25"/>
                <w:rFonts w:hint="default" w:ascii="Times New Roman" w:hAnsi="Times New Roman" w:eastAsia="等线" w:cs="Times New Roman"/>
                <w:color w:val="auto"/>
                <w:sz w:val="24"/>
                <w:szCs w:val="24"/>
                <w:highlight w:val="none"/>
                <w:lang w:val="en-US" w:eastAsia="zh-CN" w:bidi="ar"/>
              </w:rPr>
              <w:t>×10</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-3</w:t>
            </w:r>
          </w:p>
        </w:tc>
        <w:tc>
          <w:tcPr>
            <w:tcW w:w="10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DFCBE">
            <w:pPr>
              <w:keepNext w:val="0"/>
              <w:keepLines w:val="0"/>
              <w:widowControl/>
              <w:suppressLineNumbers w:val="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r>
              <w:rPr>
                <w:rFonts w:hint="default" w:ascii="Times New Roman" w:hAnsi="Times New Roman" w:eastAsia="等线" w:cs="Times New Roman"/>
                <w:i w:val="0"/>
                <w:iCs w:val="0"/>
                <w:color w:val="auto"/>
                <w:kern w:val="0"/>
                <w:sz w:val="24"/>
                <w:szCs w:val="24"/>
                <w:highlight w:val="none"/>
                <w:u w:val="none"/>
                <w:vertAlign w:val="superscript"/>
                <w:lang w:val="en-US" w:eastAsia="zh-CN" w:bidi="ar"/>
              </w:rPr>
              <w:t>b</w:t>
            </w:r>
          </w:p>
        </w:tc>
      </w:tr>
      <w:tr w14:paraId="6B6F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5EEB09">
            <w:pPr>
              <w:bidi w:val="0"/>
              <w:ind w:left="1050" w:leftChars="200" w:hanging="630" w:hangingChars="300"/>
              <w:rPr>
                <w:rFonts w:hint="default" w:ascii="Times New Roman" w:hAnsi="Times New Roman" w:eastAsia="仿宋_GB2312"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注1：</w:t>
            </w:r>
            <w:r>
              <w:rPr>
                <w:rFonts w:hint="default" w:ascii="Times New Roman" w:hAnsi="Times New Roman" w:eastAsia="仿宋_GB2312" w:cs="Times New Roman"/>
                <w:color w:val="auto"/>
                <w:sz w:val="21"/>
                <w:szCs w:val="21"/>
                <w:lang w:val="en-US" w:eastAsia="zh-CN"/>
              </w:rPr>
              <w:t>a  数据取值来源为《中国能源统计年鉴2022》；</w:t>
            </w:r>
            <w:r>
              <w:rPr>
                <w:rFonts w:hint="default" w:ascii="Times New Roman" w:hAnsi="Times New Roman" w:eastAsia="仿宋_GB2312" w:cs="Times New Roman"/>
                <w:color w:val="auto"/>
                <w:sz w:val="21"/>
                <w:szCs w:val="21"/>
                <w:lang w:val="en-US" w:eastAsia="zh-CN"/>
              </w:rPr>
              <w:br w:type="textWrapping"/>
            </w:r>
            <w:r>
              <w:rPr>
                <w:rFonts w:hint="default" w:ascii="Times New Roman" w:hAnsi="Times New Roman" w:eastAsia="仿宋_GB2312" w:cs="Times New Roman"/>
                <w:color w:val="auto"/>
                <w:sz w:val="21"/>
                <w:szCs w:val="21"/>
                <w:lang w:val="en-US" w:eastAsia="zh-CN"/>
              </w:rPr>
              <w:t>b  数据取值来源为《省级温室气体清单指南（试行）》；</w:t>
            </w:r>
            <w:r>
              <w:rPr>
                <w:rFonts w:hint="default" w:ascii="Times New Roman" w:hAnsi="Times New Roman" w:eastAsia="仿宋_GB2312" w:cs="Times New Roman"/>
                <w:color w:val="auto"/>
                <w:sz w:val="21"/>
                <w:szCs w:val="21"/>
                <w:lang w:val="en-US" w:eastAsia="zh-CN"/>
              </w:rPr>
              <w:br w:type="textWrapping"/>
            </w:r>
            <w:r>
              <w:rPr>
                <w:rFonts w:hint="default" w:ascii="Times New Roman" w:hAnsi="Times New Roman" w:eastAsia="仿宋_GB2312" w:cs="Times New Roman"/>
                <w:color w:val="auto"/>
                <w:sz w:val="21"/>
                <w:szCs w:val="21"/>
                <w:lang w:val="en-US" w:eastAsia="zh-CN"/>
              </w:rPr>
              <w:t>c  数据取值来源为《2006 年 IPCC国家温室气体清单指南》及 2019 修订版；</w:t>
            </w:r>
            <w:r>
              <w:rPr>
                <w:rFonts w:hint="default" w:ascii="Times New Roman" w:hAnsi="Times New Roman" w:eastAsia="仿宋_GB2312" w:cs="Times New Roman"/>
                <w:color w:val="auto"/>
                <w:sz w:val="21"/>
                <w:szCs w:val="21"/>
                <w:lang w:val="en-US" w:eastAsia="zh-CN"/>
              </w:rPr>
              <w:br w:type="textWrapping"/>
            </w:r>
            <w:r>
              <w:rPr>
                <w:rFonts w:hint="default" w:ascii="Times New Roman" w:hAnsi="Times New Roman" w:eastAsia="仿宋_GB2312" w:cs="Times New Roman"/>
                <w:color w:val="auto"/>
                <w:sz w:val="21"/>
                <w:szCs w:val="21"/>
                <w:lang w:val="en-US" w:eastAsia="zh-CN"/>
              </w:rPr>
              <w:t>d  数据取值来源为《中国温室气体清单研究》；</w:t>
            </w:r>
            <w:r>
              <w:rPr>
                <w:rFonts w:hint="default" w:ascii="Times New Roman" w:hAnsi="Times New Roman" w:eastAsia="仿宋_GB2312" w:cs="Times New Roman"/>
                <w:color w:val="auto"/>
                <w:sz w:val="21"/>
                <w:szCs w:val="21"/>
                <w:lang w:val="en-US" w:eastAsia="zh-CN"/>
              </w:rPr>
              <w:br w:type="textWrapping"/>
            </w:r>
            <w:r>
              <w:rPr>
                <w:rFonts w:hint="default" w:ascii="Times New Roman" w:hAnsi="Times New Roman" w:eastAsia="仿宋_GB2312" w:cs="Times New Roman"/>
                <w:color w:val="auto"/>
                <w:sz w:val="21"/>
                <w:szCs w:val="21"/>
                <w:lang w:val="en-US" w:eastAsia="zh-CN"/>
              </w:rPr>
              <w:t>e  数据取值来源为 GB/T 2589《综合能耗计算通则》。</w:t>
            </w:r>
          </w:p>
          <w:p w14:paraId="5B045AFD">
            <w:pPr>
              <w:bidi w:val="0"/>
              <w:ind w:firstLine="420" w:firstLineChars="200"/>
              <w:rPr>
                <w:rFonts w:hint="default" w:ascii="Times New Roman" w:hAnsi="Times New Roman" w:eastAsia="仿宋_GB2312"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注2：</w:t>
            </w:r>
            <w:r>
              <w:rPr>
                <w:rFonts w:hint="default" w:ascii="Times New Roman" w:hAnsi="Times New Roman" w:eastAsia="仿宋_GB2312" w:cs="Times New Roman"/>
                <w:color w:val="auto"/>
                <w:sz w:val="21"/>
                <w:szCs w:val="21"/>
                <w:lang w:val="en-US" w:eastAsia="zh-CN"/>
              </w:rPr>
              <w:t>数据更新时，宜采取最新值。</w:t>
            </w:r>
          </w:p>
          <w:p w14:paraId="290A3725">
            <w:pPr>
              <w:bidi w:val="0"/>
              <w:ind w:firstLine="420" w:firstLineChars="200"/>
              <w:rPr>
                <w:rFonts w:hint="default" w:ascii="Times New Roman" w:hAnsi="Times New Roman" w:eastAsia="等线" w:cs="Times New Roman"/>
                <w:i w:val="0"/>
                <w:iCs w:val="0"/>
                <w:color w:val="auto"/>
                <w:szCs w:val="21"/>
                <w:highlight w:val="none"/>
                <w:u w:val="none"/>
              </w:rPr>
            </w:pPr>
            <w:r>
              <w:rPr>
                <w:rFonts w:hint="default" w:ascii="Times New Roman" w:hAnsi="Times New Roman" w:eastAsia="黑体" w:cs="Times New Roman"/>
                <w:color w:val="auto"/>
                <w:sz w:val="21"/>
                <w:szCs w:val="21"/>
                <w:lang w:val="en-US" w:eastAsia="zh-CN"/>
              </w:rPr>
              <w:t>注3：</w:t>
            </w:r>
            <w:r>
              <w:rPr>
                <w:rFonts w:hint="default" w:ascii="Times New Roman" w:hAnsi="Times New Roman" w:eastAsia="仿宋_GB2312" w:cs="Times New Roman"/>
                <w:color w:val="auto"/>
                <w:sz w:val="21"/>
                <w:szCs w:val="21"/>
                <w:lang w:val="en-US" w:eastAsia="zh-CN"/>
              </w:rPr>
              <w:t>若采取其他数据，应对数据来源及合理性进行说明。</w:t>
            </w:r>
          </w:p>
        </w:tc>
      </w:tr>
    </w:tbl>
    <w:p w14:paraId="6F4FB5B0">
      <w:pPr>
        <w:bidi w:val="0"/>
        <w:rPr>
          <w:rFonts w:hint="default" w:ascii="Times New Roman" w:hAnsi="Times New Roman" w:cs="Times New Roman"/>
          <w:color w:val="auto"/>
          <w:highlight w:val="none"/>
        </w:rPr>
      </w:pPr>
    </w:p>
    <w:p w14:paraId="7D800ECA">
      <w:pPr>
        <w:bidi w:val="0"/>
        <w:rPr>
          <w:rFonts w:hint="default" w:ascii="Times New Roman" w:hAnsi="Times New Roman" w:cs="Times New Roman"/>
          <w:color w:val="auto"/>
          <w:highlight w:val="none"/>
        </w:rPr>
      </w:pPr>
    </w:p>
    <w:p w14:paraId="4BE5EC24">
      <w:pPr>
        <w:rPr>
          <w:rFonts w:hint="default" w:ascii="Times New Roman" w:hAnsi="Times New Roman" w:eastAsia="楷体_GB2312" w:cs="Times New Roman"/>
          <w:color w:val="auto"/>
          <w:sz w:val="32"/>
          <w:szCs w:val="32"/>
          <w:highlight w:val="none"/>
          <w:lang w:val="en-US" w:eastAsia="zh-CN"/>
        </w:rPr>
      </w:pPr>
    </w:p>
    <w:p w14:paraId="0651A5FE">
      <w:pPr>
        <w:rPr>
          <w:rFonts w:hint="default" w:ascii="Times New Roman" w:hAnsi="Times New Roman" w:eastAsia="楷体_GB2312" w:cs="Times New Roman"/>
          <w:color w:val="auto"/>
          <w:sz w:val="32"/>
          <w:szCs w:val="32"/>
          <w:highlight w:val="none"/>
          <w:lang w:val="en-US" w:eastAsia="zh-CN"/>
        </w:rPr>
      </w:pPr>
    </w:p>
    <w:p w14:paraId="0DDD1E1F">
      <w:pPr>
        <w:rPr>
          <w:rFonts w:hint="default" w:ascii="Times New Roman" w:hAnsi="Times New Roman" w:eastAsia="楷体_GB2312" w:cs="Times New Roman"/>
          <w:color w:val="auto"/>
          <w:sz w:val="32"/>
          <w:szCs w:val="32"/>
          <w:highlight w:val="none"/>
          <w:lang w:val="en-US" w:eastAsia="zh-CN"/>
        </w:rPr>
      </w:pPr>
    </w:p>
    <w:sectPr>
      <w:footerReference r:id="rId5" w:type="default"/>
      <w:footerReference r:id="rId6" w:type="even"/>
      <w:pgSz w:w="11906" w:h="16838"/>
      <w:pgMar w:top="2098" w:right="1474" w:bottom="1984" w:left="1587" w:header="851" w:footer="1559"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9A3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7E4E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74FB">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7A421">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AE7A421">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EA18">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C11A9">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CC11A9">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EFA0D"/>
    <w:multiLevelType w:val="singleLevel"/>
    <w:tmpl w:val="956EFA0D"/>
    <w:lvl w:ilvl="0" w:tentative="0">
      <w:start w:val="1"/>
      <w:numFmt w:val="chineseCounting"/>
      <w:suff w:val="nothing"/>
      <w:lvlText w:val="（%1）"/>
      <w:lvlJc w:val="left"/>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3"/>
      <w:suff w:val="nothing"/>
      <w:lvlText w:val="%1%2　"/>
      <w:lvlJc w:val="left"/>
      <w:pPr>
        <w:ind w:left="0" w:firstLine="0"/>
      </w:pPr>
      <w:rPr>
        <w:rFonts w:hint="eastAsia" w:ascii="黑体" w:eastAsia="黑体"/>
        <w:b w:val="0"/>
        <w:i w:val="0"/>
        <w:sz w:val="21"/>
      </w:rPr>
    </w:lvl>
    <w:lvl w:ilvl="2" w:tentative="0">
      <w:start w:val="1"/>
      <w:numFmt w:val="decimal"/>
      <w:pStyle w:val="2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NjA4MTgwYTViNjQ5MDc1ODQ1NWEzZjlkZjA5ZTEifQ=="/>
  </w:docVars>
  <w:rsids>
    <w:rsidRoot w:val="00000000"/>
    <w:rsid w:val="00060C6A"/>
    <w:rsid w:val="001D7D62"/>
    <w:rsid w:val="002630BB"/>
    <w:rsid w:val="00586FEC"/>
    <w:rsid w:val="006E05BE"/>
    <w:rsid w:val="00A81D22"/>
    <w:rsid w:val="00C44682"/>
    <w:rsid w:val="00CF5500"/>
    <w:rsid w:val="00E80370"/>
    <w:rsid w:val="00EA40E8"/>
    <w:rsid w:val="011C626C"/>
    <w:rsid w:val="011E3D92"/>
    <w:rsid w:val="01543C57"/>
    <w:rsid w:val="015801C8"/>
    <w:rsid w:val="016C0FA1"/>
    <w:rsid w:val="01785B98"/>
    <w:rsid w:val="01826A17"/>
    <w:rsid w:val="01B14C06"/>
    <w:rsid w:val="01B85F94"/>
    <w:rsid w:val="01BF5575"/>
    <w:rsid w:val="01C506B1"/>
    <w:rsid w:val="01DD1E9F"/>
    <w:rsid w:val="01F114A6"/>
    <w:rsid w:val="01FA47FF"/>
    <w:rsid w:val="02105DD0"/>
    <w:rsid w:val="024B505A"/>
    <w:rsid w:val="024C0DD3"/>
    <w:rsid w:val="02750329"/>
    <w:rsid w:val="02794675"/>
    <w:rsid w:val="027A76EE"/>
    <w:rsid w:val="027C16B8"/>
    <w:rsid w:val="02897931"/>
    <w:rsid w:val="029562D6"/>
    <w:rsid w:val="02B26E88"/>
    <w:rsid w:val="02B50726"/>
    <w:rsid w:val="02BF15A4"/>
    <w:rsid w:val="02C95F7F"/>
    <w:rsid w:val="02D0684A"/>
    <w:rsid w:val="02E84657"/>
    <w:rsid w:val="02E903CF"/>
    <w:rsid w:val="02FA25DD"/>
    <w:rsid w:val="0314369E"/>
    <w:rsid w:val="03157416"/>
    <w:rsid w:val="03157C90"/>
    <w:rsid w:val="03196F07"/>
    <w:rsid w:val="03215DBB"/>
    <w:rsid w:val="03305FFE"/>
    <w:rsid w:val="034B2E38"/>
    <w:rsid w:val="034F2928"/>
    <w:rsid w:val="03507B8A"/>
    <w:rsid w:val="035E700F"/>
    <w:rsid w:val="036A1510"/>
    <w:rsid w:val="038500F8"/>
    <w:rsid w:val="03870314"/>
    <w:rsid w:val="038C76D9"/>
    <w:rsid w:val="03960557"/>
    <w:rsid w:val="039D18E6"/>
    <w:rsid w:val="03A10CAA"/>
    <w:rsid w:val="03C86237"/>
    <w:rsid w:val="03DE3CAC"/>
    <w:rsid w:val="03DF62C8"/>
    <w:rsid w:val="040C25C7"/>
    <w:rsid w:val="042C4A18"/>
    <w:rsid w:val="045F4DED"/>
    <w:rsid w:val="04D07A99"/>
    <w:rsid w:val="04DE21B6"/>
    <w:rsid w:val="04E62E18"/>
    <w:rsid w:val="04F512AE"/>
    <w:rsid w:val="050E236F"/>
    <w:rsid w:val="053F077B"/>
    <w:rsid w:val="05410997"/>
    <w:rsid w:val="054D2E98"/>
    <w:rsid w:val="055406CA"/>
    <w:rsid w:val="05654685"/>
    <w:rsid w:val="056D353A"/>
    <w:rsid w:val="05760640"/>
    <w:rsid w:val="05883ED0"/>
    <w:rsid w:val="05924D4E"/>
    <w:rsid w:val="05A30D0A"/>
    <w:rsid w:val="05BE3D95"/>
    <w:rsid w:val="05C72C4A"/>
    <w:rsid w:val="05CC0EC7"/>
    <w:rsid w:val="05CD5D86"/>
    <w:rsid w:val="05D47115"/>
    <w:rsid w:val="05D76C05"/>
    <w:rsid w:val="05EF3F4F"/>
    <w:rsid w:val="05F652DD"/>
    <w:rsid w:val="05F81055"/>
    <w:rsid w:val="05F94DCD"/>
    <w:rsid w:val="05FB28F4"/>
    <w:rsid w:val="0607573C"/>
    <w:rsid w:val="061439B5"/>
    <w:rsid w:val="063302DF"/>
    <w:rsid w:val="06426774"/>
    <w:rsid w:val="065D535C"/>
    <w:rsid w:val="0664493D"/>
    <w:rsid w:val="06712BB6"/>
    <w:rsid w:val="067D77AC"/>
    <w:rsid w:val="0696261C"/>
    <w:rsid w:val="06B70F10"/>
    <w:rsid w:val="06BC02D5"/>
    <w:rsid w:val="06DB44D3"/>
    <w:rsid w:val="06EB2968"/>
    <w:rsid w:val="07034156"/>
    <w:rsid w:val="070C28DE"/>
    <w:rsid w:val="07434552"/>
    <w:rsid w:val="07724E37"/>
    <w:rsid w:val="077961C6"/>
    <w:rsid w:val="078057A6"/>
    <w:rsid w:val="07832BA1"/>
    <w:rsid w:val="07950B26"/>
    <w:rsid w:val="079A613C"/>
    <w:rsid w:val="079E79DA"/>
    <w:rsid w:val="07C84A57"/>
    <w:rsid w:val="07DB29DD"/>
    <w:rsid w:val="07E06245"/>
    <w:rsid w:val="07F67816"/>
    <w:rsid w:val="08002443"/>
    <w:rsid w:val="08055CAB"/>
    <w:rsid w:val="08122176"/>
    <w:rsid w:val="08250678"/>
    <w:rsid w:val="08283748"/>
    <w:rsid w:val="083D5445"/>
    <w:rsid w:val="08591B53"/>
    <w:rsid w:val="086F6867"/>
    <w:rsid w:val="08A76D63"/>
    <w:rsid w:val="08BB636A"/>
    <w:rsid w:val="08C43471"/>
    <w:rsid w:val="08C96CD9"/>
    <w:rsid w:val="08D15B8E"/>
    <w:rsid w:val="08D613F6"/>
    <w:rsid w:val="08DB6A0C"/>
    <w:rsid w:val="08E25FED"/>
    <w:rsid w:val="09093579"/>
    <w:rsid w:val="090B10A0"/>
    <w:rsid w:val="0911242E"/>
    <w:rsid w:val="09265ED9"/>
    <w:rsid w:val="092B1742"/>
    <w:rsid w:val="0932487E"/>
    <w:rsid w:val="093C56FD"/>
    <w:rsid w:val="096B7D90"/>
    <w:rsid w:val="097A7FD3"/>
    <w:rsid w:val="097D1872"/>
    <w:rsid w:val="09BC4A90"/>
    <w:rsid w:val="09D27F58"/>
    <w:rsid w:val="09F63AFE"/>
    <w:rsid w:val="09F935EE"/>
    <w:rsid w:val="09F9539C"/>
    <w:rsid w:val="0A0855DF"/>
    <w:rsid w:val="0A222B45"/>
    <w:rsid w:val="0A2A0E89"/>
    <w:rsid w:val="0A310FDA"/>
    <w:rsid w:val="0A36039E"/>
    <w:rsid w:val="0A402FCB"/>
    <w:rsid w:val="0A4725AB"/>
    <w:rsid w:val="0A474359"/>
    <w:rsid w:val="0A4F76B2"/>
    <w:rsid w:val="0A546A76"/>
    <w:rsid w:val="0A7964DD"/>
    <w:rsid w:val="0A796F3D"/>
    <w:rsid w:val="0A9D041D"/>
    <w:rsid w:val="0AAE43D8"/>
    <w:rsid w:val="0AB319EF"/>
    <w:rsid w:val="0AD35BED"/>
    <w:rsid w:val="0AE61DC4"/>
    <w:rsid w:val="0AF12517"/>
    <w:rsid w:val="0B016BFE"/>
    <w:rsid w:val="0B1B7594"/>
    <w:rsid w:val="0B5C5BE2"/>
    <w:rsid w:val="0B61144B"/>
    <w:rsid w:val="0BA17A99"/>
    <w:rsid w:val="0BCD088E"/>
    <w:rsid w:val="0BDA2FAB"/>
    <w:rsid w:val="0BED0F30"/>
    <w:rsid w:val="0BED2CDE"/>
    <w:rsid w:val="0BEF2EFA"/>
    <w:rsid w:val="0C085D6A"/>
    <w:rsid w:val="0C0B7609"/>
    <w:rsid w:val="0C160487"/>
    <w:rsid w:val="0C1C1816"/>
    <w:rsid w:val="0C2F32F7"/>
    <w:rsid w:val="0C300E1D"/>
    <w:rsid w:val="0C384E7F"/>
    <w:rsid w:val="0C3E79DE"/>
    <w:rsid w:val="0C4A0131"/>
    <w:rsid w:val="0C684A5B"/>
    <w:rsid w:val="0C741652"/>
    <w:rsid w:val="0C776A4C"/>
    <w:rsid w:val="0C7E427E"/>
    <w:rsid w:val="0CB41A4E"/>
    <w:rsid w:val="0CC223BD"/>
    <w:rsid w:val="0CC47EE3"/>
    <w:rsid w:val="0CC55A09"/>
    <w:rsid w:val="0CF85DDF"/>
    <w:rsid w:val="0CFB767D"/>
    <w:rsid w:val="0D366907"/>
    <w:rsid w:val="0D4B23B2"/>
    <w:rsid w:val="0D821B4C"/>
    <w:rsid w:val="0D9553DC"/>
    <w:rsid w:val="0D984ECC"/>
    <w:rsid w:val="0D9E6986"/>
    <w:rsid w:val="0DBE2B84"/>
    <w:rsid w:val="0DC61A39"/>
    <w:rsid w:val="0DE3083D"/>
    <w:rsid w:val="0DE819AF"/>
    <w:rsid w:val="0DF5231E"/>
    <w:rsid w:val="0E0F33E0"/>
    <w:rsid w:val="0E1924B1"/>
    <w:rsid w:val="0E252C04"/>
    <w:rsid w:val="0E3C619F"/>
    <w:rsid w:val="0EA4331A"/>
    <w:rsid w:val="0EAA3109"/>
    <w:rsid w:val="0EB75826"/>
    <w:rsid w:val="0EBD2E3C"/>
    <w:rsid w:val="0ECE5049"/>
    <w:rsid w:val="0ED63EFE"/>
    <w:rsid w:val="0ED85EC8"/>
    <w:rsid w:val="0EF6634E"/>
    <w:rsid w:val="0EF83E74"/>
    <w:rsid w:val="0F16079E"/>
    <w:rsid w:val="0F20161D"/>
    <w:rsid w:val="0F3B1FB3"/>
    <w:rsid w:val="0F492922"/>
    <w:rsid w:val="0F5337A0"/>
    <w:rsid w:val="0F7F4595"/>
    <w:rsid w:val="0F8971C2"/>
    <w:rsid w:val="0F933B9D"/>
    <w:rsid w:val="0F9B0CA3"/>
    <w:rsid w:val="0FBD6E6C"/>
    <w:rsid w:val="0FC95811"/>
    <w:rsid w:val="0FD85A54"/>
    <w:rsid w:val="0FDC3796"/>
    <w:rsid w:val="1008458B"/>
    <w:rsid w:val="10101691"/>
    <w:rsid w:val="10233173"/>
    <w:rsid w:val="10240C99"/>
    <w:rsid w:val="102B21FA"/>
    <w:rsid w:val="1033098C"/>
    <w:rsid w:val="10330CA8"/>
    <w:rsid w:val="1034712E"/>
    <w:rsid w:val="10482BD9"/>
    <w:rsid w:val="1061296D"/>
    <w:rsid w:val="106F460A"/>
    <w:rsid w:val="10973B61"/>
    <w:rsid w:val="10A51DDA"/>
    <w:rsid w:val="10A83815"/>
    <w:rsid w:val="10B71B0D"/>
    <w:rsid w:val="10C304B2"/>
    <w:rsid w:val="10D10E21"/>
    <w:rsid w:val="10E24DDC"/>
    <w:rsid w:val="10E420E0"/>
    <w:rsid w:val="11382C4E"/>
    <w:rsid w:val="113B0990"/>
    <w:rsid w:val="11535CDA"/>
    <w:rsid w:val="116C0B49"/>
    <w:rsid w:val="116C28F7"/>
    <w:rsid w:val="117619C8"/>
    <w:rsid w:val="118E6D12"/>
    <w:rsid w:val="11916802"/>
    <w:rsid w:val="119360D6"/>
    <w:rsid w:val="119B31DD"/>
    <w:rsid w:val="119D51A7"/>
    <w:rsid w:val="11A007F3"/>
    <w:rsid w:val="11A958FA"/>
    <w:rsid w:val="11B30526"/>
    <w:rsid w:val="11C20769"/>
    <w:rsid w:val="11D72467"/>
    <w:rsid w:val="11F052D6"/>
    <w:rsid w:val="120668A8"/>
    <w:rsid w:val="1211524D"/>
    <w:rsid w:val="12135469"/>
    <w:rsid w:val="121C431D"/>
    <w:rsid w:val="122907E8"/>
    <w:rsid w:val="122A7DC5"/>
    <w:rsid w:val="12415B32"/>
    <w:rsid w:val="12437AFC"/>
    <w:rsid w:val="12492C39"/>
    <w:rsid w:val="12687563"/>
    <w:rsid w:val="12695089"/>
    <w:rsid w:val="12745F08"/>
    <w:rsid w:val="12A3059B"/>
    <w:rsid w:val="12C56763"/>
    <w:rsid w:val="12E84200"/>
    <w:rsid w:val="12FE3A23"/>
    <w:rsid w:val="130628D8"/>
    <w:rsid w:val="131E2317"/>
    <w:rsid w:val="13257202"/>
    <w:rsid w:val="132711CC"/>
    <w:rsid w:val="134C29E0"/>
    <w:rsid w:val="13545D39"/>
    <w:rsid w:val="13685340"/>
    <w:rsid w:val="136F4921"/>
    <w:rsid w:val="13734411"/>
    <w:rsid w:val="13767A5D"/>
    <w:rsid w:val="138F28CD"/>
    <w:rsid w:val="13BB7B66"/>
    <w:rsid w:val="13C44C6D"/>
    <w:rsid w:val="13E56991"/>
    <w:rsid w:val="13E744B7"/>
    <w:rsid w:val="13EC7D20"/>
    <w:rsid w:val="13F866C4"/>
    <w:rsid w:val="14432035"/>
    <w:rsid w:val="145204CA"/>
    <w:rsid w:val="14587163"/>
    <w:rsid w:val="14643D5A"/>
    <w:rsid w:val="14685425"/>
    <w:rsid w:val="146855F8"/>
    <w:rsid w:val="148937C0"/>
    <w:rsid w:val="149C34F4"/>
    <w:rsid w:val="14AB1989"/>
    <w:rsid w:val="14B22D17"/>
    <w:rsid w:val="14BC5944"/>
    <w:rsid w:val="14E54E9B"/>
    <w:rsid w:val="15170DCC"/>
    <w:rsid w:val="152F4368"/>
    <w:rsid w:val="154020D1"/>
    <w:rsid w:val="15545B7C"/>
    <w:rsid w:val="15787ABD"/>
    <w:rsid w:val="15957360"/>
    <w:rsid w:val="15966195"/>
    <w:rsid w:val="15E433A4"/>
    <w:rsid w:val="162419F3"/>
    <w:rsid w:val="162714E3"/>
    <w:rsid w:val="16331C36"/>
    <w:rsid w:val="16333219"/>
    <w:rsid w:val="16353C00"/>
    <w:rsid w:val="163C6D3C"/>
    <w:rsid w:val="16467BBB"/>
    <w:rsid w:val="16571DC8"/>
    <w:rsid w:val="166149F5"/>
    <w:rsid w:val="1662251B"/>
    <w:rsid w:val="166242C9"/>
    <w:rsid w:val="1672275E"/>
    <w:rsid w:val="16866209"/>
    <w:rsid w:val="16893F4C"/>
    <w:rsid w:val="16976668"/>
    <w:rsid w:val="16A3500D"/>
    <w:rsid w:val="16B26FFE"/>
    <w:rsid w:val="16C60CFC"/>
    <w:rsid w:val="16D451C7"/>
    <w:rsid w:val="16DF3B6C"/>
    <w:rsid w:val="16FB6BF7"/>
    <w:rsid w:val="17213ED9"/>
    <w:rsid w:val="17255A22"/>
    <w:rsid w:val="172F064F"/>
    <w:rsid w:val="172F68A1"/>
    <w:rsid w:val="173E6AE4"/>
    <w:rsid w:val="1740285C"/>
    <w:rsid w:val="174165D4"/>
    <w:rsid w:val="1743234C"/>
    <w:rsid w:val="174A36DB"/>
    <w:rsid w:val="1752258F"/>
    <w:rsid w:val="175C6F6A"/>
    <w:rsid w:val="1767603B"/>
    <w:rsid w:val="176F3141"/>
    <w:rsid w:val="17712A16"/>
    <w:rsid w:val="1772678E"/>
    <w:rsid w:val="17AA4179"/>
    <w:rsid w:val="17AF353E"/>
    <w:rsid w:val="17B1375A"/>
    <w:rsid w:val="17B40B54"/>
    <w:rsid w:val="17C23271"/>
    <w:rsid w:val="17DE3E23"/>
    <w:rsid w:val="17E31439"/>
    <w:rsid w:val="18133ACD"/>
    <w:rsid w:val="18153CE9"/>
    <w:rsid w:val="18194E5B"/>
    <w:rsid w:val="181A12FF"/>
    <w:rsid w:val="18251A52"/>
    <w:rsid w:val="182E6B59"/>
    <w:rsid w:val="183F34D5"/>
    <w:rsid w:val="18495740"/>
    <w:rsid w:val="188624F1"/>
    <w:rsid w:val="1890336F"/>
    <w:rsid w:val="189746FE"/>
    <w:rsid w:val="189D5A8C"/>
    <w:rsid w:val="18C43019"/>
    <w:rsid w:val="18C9062F"/>
    <w:rsid w:val="18EB4A4A"/>
    <w:rsid w:val="18F733EE"/>
    <w:rsid w:val="191C2E55"/>
    <w:rsid w:val="1934019F"/>
    <w:rsid w:val="19461C80"/>
    <w:rsid w:val="194B54E8"/>
    <w:rsid w:val="19575C3B"/>
    <w:rsid w:val="19803109"/>
    <w:rsid w:val="199E386A"/>
    <w:rsid w:val="19BD63E6"/>
    <w:rsid w:val="19E03E83"/>
    <w:rsid w:val="19E82D37"/>
    <w:rsid w:val="1A0F4768"/>
    <w:rsid w:val="1A2F0966"/>
    <w:rsid w:val="1A324E27"/>
    <w:rsid w:val="1A3F504D"/>
    <w:rsid w:val="1A435F0A"/>
    <w:rsid w:val="1A444411"/>
    <w:rsid w:val="1A495ECC"/>
    <w:rsid w:val="1A824F3A"/>
    <w:rsid w:val="1A8B64E4"/>
    <w:rsid w:val="1A9F789A"/>
    <w:rsid w:val="1AC63078"/>
    <w:rsid w:val="1AC90DBB"/>
    <w:rsid w:val="1AD82DAC"/>
    <w:rsid w:val="1ADF238C"/>
    <w:rsid w:val="1AE17EB2"/>
    <w:rsid w:val="1AED4AA9"/>
    <w:rsid w:val="1AEE25CF"/>
    <w:rsid w:val="1B012302"/>
    <w:rsid w:val="1B0B13D3"/>
    <w:rsid w:val="1B102545"/>
    <w:rsid w:val="1B1C0EEA"/>
    <w:rsid w:val="1B20508D"/>
    <w:rsid w:val="1B281F85"/>
    <w:rsid w:val="1B293607"/>
    <w:rsid w:val="1B304996"/>
    <w:rsid w:val="1B5F527B"/>
    <w:rsid w:val="1B634D6B"/>
    <w:rsid w:val="1B6805D3"/>
    <w:rsid w:val="1B697EA8"/>
    <w:rsid w:val="1B860A5A"/>
    <w:rsid w:val="1B8A22F8"/>
    <w:rsid w:val="1B8B42C2"/>
    <w:rsid w:val="1B8D1DE8"/>
    <w:rsid w:val="1B944F25"/>
    <w:rsid w:val="1B950C9D"/>
    <w:rsid w:val="1BA15893"/>
    <w:rsid w:val="1BAA0BEC"/>
    <w:rsid w:val="1BAD5FE6"/>
    <w:rsid w:val="1BC11A92"/>
    <w:rsid w:val="1BCA6B98"/>
    <w:rsid w:val="1BD84879"/>
    <w:rsid w:val="1BDE2644"/>
    <w:rsid w:val="1C2269D4"/>
    <w:rsid w:val="1C511068"/>
    <w:rsid w:val="1C6E39C8"/>
    <w:rsid w:val="1C7A05BE"/>
    <w:rsid w:val="1C7D3C0B"/>
    <w:rsid w:val="1CB3587E"/>
    <w:rsid w:val="1CB82E95"/>
    <w:rsid w:val="1CBD66FD"/>
    <w:rsid w:val="1CC61A56"/>
    <w:rsid w:val="1CD53A34"/>
    <w:rsid w:val="1CDF48C5"/>
    <w:rsid w:val="1CE95744"/>
    <w:rsid w:val="1CED6FE2"/>
    <w:rsid w:val="1D091942"/>
    <w:rsid w:val="1D1F4CC2"/>
    <w:rsid w:val="1D4604A0"/>
    <w:rsid w:val="1D594678"/>
    <w:rsid w:val="1D6B6159"/>
    <w:rsid w:val="1D7A639C"/>
    <w:rsid w:val="1D905BC0"/>
    <w:rsid w:val="1DA358F3"/>
    <w:rsid w:val="1DB00010"/>
    <w:rsid w:val="1DC615E1"/>
    <w:rsid w:val="1DD261D8"/>
    <w:rsid w:val="1DD43CFE"/>
    <w:rsid w:val="1DDA6E3B"/>
    <w:rsid w:val="1DDB508D"/>
    <w:rsid w:val="1DDF4451"/>
    <w:rsid w:val="1DE008F5"/>
    <w:rsid w:val="1DEF0B38"/>
    <w:rsid w:val="1DFE521F"/>
    <w:rsid w:val="1E0C793C"/>
    <w:rsid w:val="1E122A78"/>
    <w:rsid w:val="1E4C1AE7"/>
    <w:rsid w:val="1E4E3AB1"/>
    <w:rsid w:val="1E601A36"/>
    <w:rsid w:val="1E85324A"/>
    <w:rsid w:val="1E9D0594"/>
    <w:rsid w:val="1EA336D1"/>
    <w:rsid w:val="1EAA4A5F"/>
    <w:rsid w:val="1EB31B66"/>
    <w:rsid w:val="1EE6018D"/>
    <w:rsid w:val="1EED0876"/>
    <w:rsid w:val="1EED151B"/>
    <w:rsid w:val="1EF26B32"/>
    <w:rsid w:val="1F070103"/>
    <w:rsid w:val="1F106FB8"/>
    <w:rsid w:val="1F413615"/>
    <w:rsid w:val="1F4629DA"/>
    <w:rsid w:val="1F494278"/>
    <w:rsid w:val="1F4C5B16"/>
    <w:rsid w:val="1F6966C8"/>
    <w:rsid w:val="1F745799"/>
    <w:rsid w:val="1F813A12"/>
    <w:rsid w:val="1F8A31D7"/>
    <w:rsid w:val="1FA45952"/>
    <w:rsid w:val="1FB77434"/>
    <w:rsid w:val="1FC04481"/>
    <w:rsid w:val="1FDB4C66"/>
    <w:rsid w:val="1FE67D19"/>
    <w:rsid w:val="20085EE1"/>
    <w:rsid w:val="20146634"/>
    <w:rsid w:val="202645B9"/>
    <w:rsid w:val="20361EF4"/>
    <w:rsid w:val="20452C91"/>
    <w:rsid w:val="20564E9E"/>
    <w:rsid w:val="20661027"/>
    <w:rsid w:val="20971013"/>
    <w:rsid w:val="20B10327"/>
    <w:rsid w:val="20D14525"/>
    <w:rsid w:val="20E029BA"/>
    <w:rsid w:val="20E06E5E"/>
    <w:rsid w:val="20EC135F"/>
    <w:rsid w:val="21004E0A"/>
    <w:rsid w:val="211B1C44"/>
    <w:rsid w:val="212C5BFF"/>
    <w:rsid w:val="213827F6"/>
    <w:rsid w:val="213D1BBA"/>
    <w:rsid w:val="213D605E"/>
    <w:rsid w:val="21570ECE"/>
    <w:rsid w:val="216E6218"/>
    <w:rsid w:val="21701F90"/>
    <w:rsid w:val="21815F4B"/>
    <w:rsid w:val="219D08AB"/>
    <w:rsid w:val="21A67760"/>
    <w:rsid w:val="21DC13D3"/>
    <w:rsid w:val="21E32762"/>
    <w:rsid w:val="21E9486D"/>
    <w:rsid w:val="21EA27B2"/>
    <w:rsid w:val="22032E04"/>
    <w:rsid w:val="220D77DF"/>
    <w:rsid w:val="22124DF5"/>
    <w:rsid w:val="22356D36"/>
    <w:rsid w:val="22431452"/>
    <w:rsid w:val="22456F79"/>
    <w:rsid w:val="224A458F"/>
    <w:rsid w:val="22511DC1"/>
    <w:rsid w:val="22680EB9"/>
    <w:rsid w:val="227E0409"/>
    <w:rsid w:val="22995516"/>
    <w:rsid w:val="229C0B63"/>
    <w:rsid w:val="229D5007"/>
    <w:rsid w:val="22BD1205"/>
    <w:rsid w:val="22BE4F7D"/>
    <w:rsid w:val="22C2681B"/>
    <w:rsid w:val="22E20C6B"/>
    <w:rsid w:val="22E9024C"/>
    <w:rsid w:val="22F369D5"/>
    <w:rsid w:val="22F4099F"/>
    <w:rsid w:val="22FF35CB"/>
    <w:rsid w:val="231F3C6E"/>
    <w:rsid w:val="23270D74"/>
    <w:rsid w:val="23533917"/>
    <w:rsid w:val="236E24FF"/>
    <w:rsid w:val="23841D23"/>
    <w:rsid w:val="23843AD1"/>
    <w:rsid w:val="238C0BD7"/>
    <w:rsid w:val="23B1063E"/>
    <w:rsid w:val="23BA5744"/>
    <w:rsid w:val="23E40A13"/>
    <w:rsid w:val="23E6478B"/>
    <w:rsid w:val="23E66539"/>
    <w:rsid w:val="241E5CD3"/>
    <w:rsid w:val="24294678"/>
    <w:rsid w:val="243454F7"/>
    <w:rsid w:val="244020ED"/>
    <w:rsid w:val="24443260"/>
    <w:rsid w:val="246062EC"/>
    <w:rsid w:val="24637B8A"/>
    <w:rsid w:val="2472601F"/>
    <w:rsid w:val="24765B0F"/>
    <w:rsid w:val="2479115B"/>
    <w:rsid w:val="248A15BB"/>
    <w:rsid w:val="24C26A21"/>
    <w:rsid w:val="24F20F0E"/>
    <w:rsid w:val="24F904EE"/>
    <w:rsid w:val="2503311B"/>
    <w:rsid w:val="25227A45"/>
    <w:rsid w:val="255045B2"/>
    <w:rsid w:val="25675458"/>
    <w:rsid w:val="257B0F03"/>
    <w:rsid w:val="258778A8"/>
    <w:rsid w:val="25951FC5"/>
    <w:rsid w:val="25A8619C"/>
    <w:rsid w:val="25C428AA"/>
    <w:rsid w:val="25CB59E7"/>
    <w:rsid w:val="25CE54D7"/>
    <w:rsid w:val="25F211C5"/>
    <w:rsid w:val="25FA62CC"/>
    <w:rsid w:val="26094761"/>
    <w:rsid w:val="26192BF6"/>
    <w:rsid w:val="26263565"/>
    <w:rsid w:val="26301CEE"/>
    <w:rsid w:val="26306192"/>
    <w:rsid w:val="26325A66"/>
    <w:rsid w:val="26431A21"/>
    <w:rsid w:val="26437C73"/>
    <w:rsid w:val="264B2FCC"/>
    <w:rsid w:val="26804A23"/>
    <w:rsid w:val="26964247"/>
    <w:rsid w:val="269C7383"/>
    <w:rsid w:val="26AD333E"/>
    <w:rsid w:val="26BE379D"/>
    <w:rsid w:val="26CF7759"/>
    <w:rsid w:val="26D44D6F"/>
    <w:rsid w:val="26D62895"/>
    <w:rsid w:val="26E8081A"/>
    <w:rsid w:val="26FE3B9A"/>
    <w:rsid w:val="271B299E"/>
    <w:rsid w:val="27315D1D"/>
    <w:rsid w:val="273D2914"/>
    <w:rsid w:val="27532138"/>
    <w:rsid w:val="275639D6"/>
    <w:rsid w:val="27606603"/>
    <w:rsid w:val="27705650"/>
    <w:rsid w:val="27734588"/>
    <w:rsid w:val="27781B9E"/>
    <w:rsid w:val="27906EE8"/>
    <w:rsid w:val="27A33524"/>
    <w:rsid w:val="27B5694E"/>
    <w:rsid w:val="27C43035"/>
    <w:rsid w:val="27C748D4"/>
    <w:rsid w:val="27E014F2"/>
    <w:rsid w:val="27EC60E8"/>
    <w:rsid w:val="27EE3C0E"/>
    <w:rsid w:val="27F51441"/>
    <w:rsid w:val="27FD02F5"/>
    <w:rsid w:val="28292E99"/>
    <w:rsid w:val="28447CD2"/>
    <w:rsid w:val="28481571"/>
    <w:rsid w:val="28771E56"/>
    <w:rsid w:val="288A6ECB"/>
    <w:rsid w:val="28B430AA"/>
    <w:rsid w:val="28E13773"/>
    <w:rsid w:val="28EB63A0"/>
    <w:rsid w:val="28EC45F2"/>
    <w:rsid w:val="29064F88"/>
    <w:rsid w:val="292304C4"/>
    <w:rsid w:val="29231FDE"/>
    <w:rsid w:val="29257B04"/>
    <w:rsid w:val="292702D5"/>
    <w:rsid w:val="29373393"/>
    <w:rsid w:val="29477A7A"/>
    <w:rsid w:val="294B1EAA"/>
    <w:rsid w:val="295D104C"/>
    <w:rsid w:val="296A3769"/>
    <w:rsid w:val="29712D49"/>
    <w:rsid w:val="29714AF7"/>
    <w:rsid w:val="2976035F"/>
    <w:rsid w:val="29830E07"/>
    <w:rsid w:val="298F31CF"/>
    <w:rsid w:val="299D58EC"/>
    <w:rsid w:val="299F1664"/>
    <w:rsid w:val="29A22F02"/>
    <w:rsid w:val="29A46C7B"/>
    <w:rsid w:val="29AA0009"/>
    <w:rsid w:val="29C42123"/>
    <w:rsid w:val="29D46E34"/>
    <w:rsid w:val="29E92B86"/>
    <w:rsid w:val="29EF3C6E"/>
    <w:rsid w:val="29F319B0"/>
    <w:rsid w:val="29F64FFC"/>
    <w:rsid w:val="2A007C29"/>
    <w:rsid w:val="2A0C4820"/>
    <w:rsid w:val="2A1C2CB5"/>
    <w:rsid w:val="2A385615"/>
    <w:rsid w:val="2A3A138D"/>
    <w:rsid w:val="2A510485"/>
    <w:rsid w:val="2A834AE2"/>
    <w:rsid w:val="2AE13EFE"/>
    <w:rsid w:val="2AF4778E"/>
    <w:rsid w:val="2AF53506"/>
    <w:rsid w:val="2AFB4FC0"/>
    <w:rsid w:val="2B0D0850"/>
    <w:rsid w:val="2B4F0E68"/>
    <w:rsid w:val="2B577D1D"/>
    <w:rsid w:val="2B5D3585"/>
    <w:rsid w:val="2B795EE5"/>
    <w:rsid w:val="2B85488A"/>
    <w:rsid w:val="2B8723B0"/>
    <w:rsid w:val="2BA74800"/>
    <w:rsid w:val="2BB1567F"/>
    <w:rsid w:val="2BB533C1"/>
    <w:rsid w:val="2BC058C2"/>
    <w:rsid w:val="2BE21CDC"/>
    <w:rsid w:val="2BE710A1"/>
    <w:rsid w:val="2C46226B"/>
    <w:rsid w:val="2C4D184B"/>
    <w:rsid w:val="2C4E7372"/>
    <w:rsid w:val="2C5129BE"/>
    <w:rsid w:val="2C5B55EB"/>
    <w:rsid w:val="2C7F752B"/>
    <w:rsid w:val="2C9D5C03"/>
    <w:rsid w:val="2C9E14C2"/>
    <w:rsid w:val="2CA174A1"/>
    <w:rsid w:val="2CDE6947"/>
    <w:rsid w:val="2CE455E0"/>
    <w:rsid w:val="2CE657FC"/>
    <w:rsid w:val="2CF41CC7"/>
    <w:rsid w:val="2D0C11B0"/>
    <w:rsid w:val="2D0D4B37"/>
    <w:rsid w:val="2D1C2FCC"/>
    <w:rsid w:val="2D306A77"/>
    <w:rsid w:val="2D522E91"/>
    <w:rsid w:val="2D614E83"/>
    <w:rsid w:val="2D713318"/>
    <w:rsid w:val="2D7746A6"/>
    <w:rsid w:val="2D8D7A26"/>
    <w:rsid w:val="2DE53D06"/>
    <w:rsid w:val="2DEE2BBA"/>
    <w:rsid w:val="2DEF06E0"/>
    <w:rsid w:val="2DF47AA5"/>
    <w:rsid w:val="2DF53F49"/>
    <w:rsid w:val="2DF6381D"/>
    <w:rsid w:val="2E045F3A"/>
    <w:rsid w:val="2E0777D8"/>
    <w:rsid w:val="2E0B376C"/>
    <w:rsid w:val="2E3600BD"/>
    <w:rsid w:val="2E7B3D22"/>
    <w:rsid w:val="2E8157DC"/>
    <w:rsid w:val="2E960B5C"/>
    <w:rsid w:val="2E9A4AF0"/>
    <w:rsid w:val="2E9F5C62"/>
    <w:rsid w:val="2EB07E70"/>
    <w:rsid w:val="2ECE6548"/>
    <w:rsid w:val="2EDF0755"/>
    <w:rsid w:val="2EE1627B"/>
    <w:rsid w:val="2EF75A9F"/>
    <w:rsid w:val="2EFE0BDB"/>
    <w:rsid w:val="2EFF2BA5"/>
    <w:rsid w:val="2F05640D"/>
    <w:rsid w:val="2F3C7955"/>
    <w:rsid w:val="2F3E547B"/>
    <w:rsid w:val="2F430CE4"/>
    <w:rsid w:val="2F5C3B54"/>
    <w:rsid w:val="2F650C5A"/>
    <w:rsid w:val="2F803CE6"/>
    <w:rsid w:val="2F94153F"/>
    <w:rsid w:val="2F9C03F4"/>
    <w:rsid w:val="2FA5374C"/>
    <w:rsid w:val="2FAF0127"/>
    <w:rsid w:val="2FBB4D1E"/>
    <w:rsid w:val="2FC736C3"/>
    <w:rsid w:val="2FE37699"/>
    <w:rsid w:val="2FEE6EA1"/>
    <w:rsid w:val="2FF344B8"/>
    <w:rsid w:val="2FFB511A"/>
    <w:rsid w:val="2FFE4C0B"/>
    <w:rsid w:val="300541EB"/>
    <w:rsid w:val="30085A89"/>
    <w:rsid w:val="30087837"/>
    <w:rsid w:val="300F506A"/>
    <w:rsid w:val="302428C3"/>
    <w:rsid w:val="30446AC1"/>
    <w:rsid w:val="3045283A"/>
    <w:rsid w:val="305B02AF"/>
    <w:rsid w:val="3062163D"/>
    <w:rsid w:val="306C426A"/>
    <w:rsid w:val="307355F9"/>
    <w:rsid w:val="308570DA"/>
    <w:rsid w:val="30B17ECF"/>
    <w:rsid w:val="30B579BF"/>
    <w:rsid w:val="30CB2D3F"/>
    <w:rsid w:val="30E42053"/>
    <w:rsid w:val="310149B3"/>
    <w:rsid w:val="310444A3"/>
    <w:rsid w:val="311A5A74"/>
    <w:rsid w:val="311D7312"/>
    <w:rsid w:val="312410FB"/>
    <w:rsid w:val="31374878"/>
    <w:rsid w:val="31434FCB"/>
    <w:rsid w:val="31496359"/>
    <w:rsid w:val="315216B2"/>
    <w:rsid w:val="31772EC7"/>
    <w:rsid w:val="317C228B"/>
    <w:rsid w:val="31975317"/>
    <w:rsid w:val="31A35A6A"/>
    <w:rsid w:val="31C3610C"/>
    <w:rsid w:val="31C679AA"/>
    <w:rsid w:val="31F75DB5"/>
    <w:rsid w:val="320F1351"/>
    <w:rsid w:val="321E1594"/>
    <w:rsid w:val="324059AE"/>
    <w:rsid w:val="325A3C96"/>
    <w:rsid w:val="32621481"/>
    <w:rsid w:val="328A6C2A"/>
    <w:rsid w:val="328C29A2"/>
    <w:rsid w:val="329655CE"/>
    <w:rsid w:val="32A73338"/>
    <w:rsid w:val="32A96E69"/>
    <w:rsid w:val="32B12408"/>
    <w:rsid w:val="32D3237F"/>
    <w:rsid w:val="32FA3DAF"/>
    <w:rsid w:val="32FD73FC"/>
    <w:rsid w:val="33022C64"/>
    <w:rsid w:val="330469DC"/>
    <w:rsid w:val="33114C55"/>
    <w:rsid w:val="332350B4"/>
    <w:rsid w:val="332E5807"/>
    <w:rsid w:val="3330720D"/>
    <w:rsid w:val="33353039"/>
    <w:rsid w:val="333746BC"/>
    <w:rsid w:val="33492641"/>
    <w:rsid w:val="336E3E55"/>
    <w:rsid w:val="337A0A4C"/>
    <w:rsid w:val="338526EF"/>
    <w:rsid w:val="33857B1D"/>
    <w:rsid w:val="33995376"/>
    <w:rsid w:val="33A8380B"/>
    <w:rsid w:val="33AD0E22"/>
    <w:rsid w:val="33AD497E"/>
    <w:rsid w:val="33B935D8"/>
    <w:rsid w:val="33ED7470"/>
    <w:rsid w:val="3434509F"/>
    <w:rsid w:val="344352E2"/>
    <w:rsid w:val="344C4197"/>
    <w:rsid w:val="347436ED"/>
    <w:rsid w:val="34833930"/>
    <w:rsid w:val="348953EB"/>
    <w:rsid w:val="348E47AF"/>
    <w:rsid w:val="34930017"/>
    <w:rsid w:val="34967B08"/>
    <w:rsid w:val="34AF4725"/>
    <w:rsid w:val="34CE54F3"/>
    <w:rsid w:val="34CE72A2"/>
    <w:rsid w:val="34DF14AF"/>
    <w:rsid w:val="34FA1E45"/>
    <w:rsid w:val="35092088"/>
    <w:rsid w:val="35103416"/>
    <w:rsid w:val="351F18AB"/>
    <w:rsid w:val="358E6A31"/>
    <w:rsid w:val="35973B37"/>
    <w:rsid w:val="35A65B28"/>
    <w:rsid w:val="35A85D44"/>
    <w:rsid w:val="35E87EEF"/>
    <w:rsid w:val="35EB3E83"/>
    <w:rsid w:val="36032F7B"/>
    <w:rsid w:val="362C24D2"/>
    <w:rsid w:val="365732C7"/>
    <w:rsid w:val="3660217B"/>
    <w:rsid w:val="366B28CE"/>
    <w:rsid w:val="366C6D72"/>
    <w:rsid w:val="36883480"/>
    <w:rsid w:val="36A55DE0"/>
    <w:rsid w:val="36DB7A54"/>
    <w:rsid w:val="37070849"/>
    <w:rsid w:val="37113475"/>
    <w:rsid w:val="371371EE"/>
    <w:rsid w:val="37296A11"/>
    <w:rsid w:val="37357164"/>
    <w:rsid w:val="373A6E70"/>
    <w:rsid w:val="373B6744"/>
    <w:rsid w:val="37476E97"/>
    <w:rsid w:val="374B6987"/>
    <w:rsid w:val="37753A04"/>
    <w:rsid w:val="37765CD1"/>
    <w:rsid w:val="377C2FE5"/>
    <w:rsid w:val="377D0B0B"/>
    <w:rsid w:val="3784633D"/>
    <w:rsid w:val="378B3228"/>
    <w:rsid w:val="37906A90"/>
    <w:rsid w:val="3793032E"/>
    <w:rsid w:val="379320DC"/>
    <w:rsid w:val="37977E1F"/>
    <w:rsid w:val="37AB38CA"/>
    <w:rsid w:val="37AE6F16"/>
    <w:rsid w:val="37B02C8E"/>
    <w:rsid w:val="37BC7885"/>
    <w:rsid w:val="37C4498C"/>
    <w:rsid w:val="37C52C3A"/>
    <w:rsid w:val="37F708BD"/>
    <w:rsid w:val="381274A5"/>
    <w:rsid w:val="3834566E"/>
    <w:rsid w:val="384635F3"/>
    <w:rsid w:val="38635F53"/>
    <w:rsid w:val="386C3059"/>
    <w:rsid w:val="388303A3"/>
    <w:rsid w:val="38883C0B"/>
    <w:rsid w:val="389E51DD"/>
    <w:rsid w:val="38A02D03"/>
    <w:rsid w:val="38CE5AC2"/>
    <w:rsid w:val="38E54BBA"/>
    <w:rsid w:val="38E726E0"/>
    <w:rsid w:val="38EA21D0"/>
    <w:rsid w:val="38EF77E6"/>
    <w:rsid w:val="38F117B0"/>
    <w:rsid w:val="38F17A02"/>
    <w:rsid w:val="39070FD4"/>
    <w:rsid w:val="39202096"/>
    <w:rsid w:val="39290F4A"/>
    <w:rsid w:val="392E030F"/>
    <w:rsid w:val="39423DBA"/>
    <w:rsid w:val="39495149"/>
    <w:rsid w:val="39513FFD"/>
    <w:rsid w:val="395D29A2"/>
    <w:rsid w:val="398443D3"/>
    <w:rsid w:val="398C14D9"/>
    <w:rsid w:val="39B50A30"/>
    <w:rsid w:val="39EE7A9E"/>
    <w:rsid w:val="39F07CBA"/>
    <w:rsid w:val="39F33306"/>
    <w:rsid w:val="3A0472C2"/>
    <w:rsid w:val="3A257964"/>
    <w:rsid w:val="3A377697"/>
    <w:rsid w:val="3A410516"/>
    <w:rsid w:val="3A4B4EF0"/>
    <w:rsid w:val="3A52002D"/>
    <w:rsid w:val="3A581B5A"/>
    <w:rsid w:val="3A5C0EAC"/>
    <w:rsid w:val="3A5F274A"/>
    <w:rsid w:val="3A60099C"/>
    <w:rsid w:val="3A7B57D6"/>
    <w:rsid w:val="3A810912"/>
    <w:rsid w:val="3A971EE4"/>
    <w:rsid w:val="3A995C5C"/>
    <w:rsid w:val="3AA60379"/>
    <w:rsid w:val="3AB807D8"/>
    <w:rsid w:val="3AC0143A"/>
    <w:rsid w:val="3AC52EF5"/>
    <w:rsid w:val="3ADE5D64"/>
    <w:rsid w:val="3AE3337B"/>
    <w:rsid w:val="3AED7D56"/>
    <w:rsid w:val="3AF235BE"/>
    <w:rsid w:val="3B007A89"/>
    <w:rsid w:val="3B0532F1"/>
    <w:rsid w:val="3B0C4680"/>
    <w:rsid w:val="3B2714BA"/>
    <w:rsid w:val="3B3A743F"/>
    <w:rsid w:val="3B3D6F2F"/>
    <w:rsid w:val="3B516536"/>
    <w:rsid w:val="3B5322AF"/>
    <w:rsid w:val="3B7B1805"/>
    <w:rsid w:val="3B912DD7"/>
    <w:rsid w:val="3B974891"/>
    <w:rsid w:val="3BB865B6"/>
    <w:rsid w:val="3BC44F5A"/>
    <w:rsid w:val="3BD17677"/>
    <w:rsid w:val="3BD74C8E"/>
    <w:rsid w:val="3BD80A06"/>
    <w:rsid w:val="3BDF1D94"/>
    <w:rsid w:val="3BF82E56"/>
    <w:rsid w:val="3C090BBF"/>
    <w:rsid w:val="3C12216A"/>
    <w:rsid w:val="3C21415B"/>
    <w:rsid w:val="3C2D2B00"/>
    <w:rsid w:val="3C447E49"/>
    <w:rsid w:val="3C681D8A"/>
    <w:rsid w:val="3C6F136A"/>
    <w:rsid w:val="3C8B3CCA"/>
    <w:rsid w:val="3CA54D8C"/>
    <w:rsid w:val="3CC03974"/>
    <w:rsid w:val="3CD016DD"/>
    <w:rsid w:val="3D2C2DB7"/>
    <w:rsid w:val="3D324146"/>
    <w:rsid w:val="3D3D6D72"/>
    <w:rsid w:val="3D624A2B"/>
    <w:rsid w:val="3D874491"/>
    <w:rsid w:val="3D9923BD"/>
    <w:rsid w:val="3D9F5C7F"/>
    <w:rsid w:val="3D9F7A2D"/>
    <w:rsid w:val="3DA212CB"/>
    <w:rsid w:val="3DB1150E"/>
    <w:rsid w:val="3DDD2303"/>
    <w:rsid w:val="3DDD67A7"/>
    <w:rsid w:val="3E021D6A"/>
    <w:rsid w:val="3E1A70B4"/>
    <w:rsid w:val="3E2241BA"/>
    <w:rsid w:val="3E2E2B5F"/>
    <w:rsid w:val="3E5527E2"/>
    <w:rsid w:val="3E612F34"/>
    <w:rsid w:val="3E691DE9"/>
    <w:rsid w:val="3E75253C"/>
    <w:rsid w:val="3EA13331"/>
    <w:rsid w:val="3EBB0897"/>
    <w:rsid w:val="3EE85404"/>
    <w:rsid w:val="3F057D64"/>
    <w:rsid w:val="3F0A537A"/>
    <w:rsid w:val="3F373C95"/>
    <w:rsid w:val="3F3B3785"/>
    <w:rsid w:val="3F3C12AC"/>
    <w:rsid w:val="3F632CDC"/>
    <w:rsid w:val="3F6525B0"/>
    <w:rsid w:val="3F933F83"/>
    <w:rsid w:val="3F942E96"/>
    <w:rsid w:val="3F9966FE"/>
    <w:rsid w:val="3FA90B66"/>
    <w:rsid w:val="3FCC0881"/>
    <w:rsid w:val="3FCE63A8"/>
    <w:rsid w:val="3FCF3ECE"/>
    <w:rsid w:val="3FD339BE"/>
    <w:rsid w:val="3FFA719D"/>
    <w:rsid w:val="40093884"/>
    <w:rsid w:val="40095632"/>
    <w:rsid w:val="400B13AA"/>
    <w:rsid w:val="402D5FD6"/>
    <w:rsid w:val="40300E10"/>
    <w:rsid w:val="40356427"/>
    <w:rsid w:val="40384169"/>
    <w:rsid w:val="403D52DB"/>
    <w:rsid w:val="405745EF"/>
    <w:rsid w:val="405A40DF"/>
    <w:rsid w:val="407050F1"/>
    <w:rsid w:val="40866C82"/>
    <w:rsid w:val="409F5F96"/>
    <w:rsid w:val="40CD665F"/>
    <w:rsid w:val="40E1035D"/>
    <w:rsid w:val="40F2256A"/>
    <w:rsid w:val="410302D3"/>
    <w:rsid w:val="410B7187"/>
    <w:rsid w:val="4110479E"/>
    <w:rsid w:val="411E6EBB"/>
    <w:rsid w:val="41202C33"/>
    <w:rsid w:val="412344D1"/>
    <w:rsid w:val="41377F7D"/>
    <w:rsid w:val="4157061F"/>
    <w:rsid w:val="416074D3"/>
    <w:rsid w:val="416845DA"/>
    <w:rsid w:val="416D399E"/>
    <w:rsid w:val="4171348E"/>
    <w:rsid w:val="418C2076"/>
    <w:rsid w:val="41990C37"/>
    <w:rsid w:val="41C04416"/>
    <w:rsid w:val="41C932CA"/>
    <w:rsid w:val="41D81760"/>
    <w:rsid w:val="41E40104"/>
    <w:rsid w:val="41E974C9"/>
    <w:rsid w:val="41EE4ADF"/>
    <w:rsid w:val="41F67E38"/>
    <w:rsid w:val="41FF4F3E"/>
    <w:rsid w:val="42004812"/>
    <w:rsid w:val="42072045"/>
    <w:rsid w:val="42294DF3"/>
    <w:rsid w:val="42424E2B"/>
    <w:rsid w:val="42707BEA"/>
    <w:rsid w:val="42723962"/>
    <w:rsid w:val="42817701"/>
    <w:rsid w:val="42876CE2"/>
    <w:rsid w:val="42976F25"/>
    <w:rsid w:val="42B775C7"/>
    <w:rsid w:val="42C27D1A"/>
    <w:rsid w:val="42D27F5D"/>
    <w:rsid w:val="42E63A08"/>
    <w:rsid w:val="42EE0B0F"/>
    <w:rsid w:val="42F51E9D"/>
    <w:rsid w:val="43617533"/>
    <w:rsid w:val="43672D9B"/>
    <w:rsid w:val="4368266F"/>
    <w:rsid w:val="436A63E7"/>
    <w:rsid w:val="43882D11"/>
    <w:rsid w:val="43A23DD3"/>
    <w:rsid w:val="43B104BA"/>
    <w:rsid w:val="43B14016"/>
    <w:rsid w:val="43B458B4"/>
    <w:rsid w:val="43B9111D"/>
    <w:rsid w:val="43D321DE"/>
    <w:rsid w:val="43DA42AF"/>
    <w:rsid w:val="43E443EC"/>
    <w:rsid w:val="43E50164"/>
    <w:rsid w:val="43EC32A0"/>
    <w:rsid w:val="43FE4D82"/>
    <w:rsid w:val="44006D4C"/>
    <w:rsid w:val="441B3B85"/>
    <w:rsid w:val="44241CD7"/>
    <w:rsid w:val="442962A2"/>
    <w:rsid w:val="444255B6"/>
    <w:rsid w:val="444529B0"/>
    <w:rsid w:val="44550E45"/>
    <w:rsid w:val="445D7CFA"/>
    <w:rsid w:val="445F1CC4"/>
    <w:rsid w:val="446472DA"/>
    <w:rsid w:val="446E1F07"/>
    <w:rsid w:val="44703ED1"/>
    <w:rsid w:val="447119F7"/>
    <w:rsid w:val="447F2366"/>
    <w:rsid w:val="448B2AB9"/>
    <w:rsid w:val="4497145E"/>
    <w:rsid w:val="449D27EC"/>
    <w:rsid w:val="44A43B7B"/>
    <w:rsid w:val="44A91191"/>
    <w:rsid w:val="44B10046"/>
    <w:rsid w:val="44BA6EFA"/>
    <w:rsid w:val="44D73F50"/>
    <w:rsid w:val="44EB79FC"/>
    <w:rsid w:val="44FA19ED"/>
    <w:rsid w:val="45244CBC"/>
    <w:rsid w:val="452C6DD4"/>
    <w:rsid w:val="45303661"/>
    <w:rsid w:val="45344EFF"/>
    <w:rsid w:val="45350C77"/>
    <w:rsid w:val="45505AB1"/>
    <w:rsid w:val="455410FD"/>
    <w:rsid w:val="45554E75"/>
    <w:rsid w:val="456357E4"/>
    <w:rsid w:val="456B4699"/>
    <w:rsid w:val="45765517"/>
    <w:rsid w:val="457A48DC"/>
    <w:rsid w:val="458D2861"/>
    <w:rsid w:val="459638BA"/>
    <w:rsid w:val="45B002FD"/>
    <w:rsid w:val="45B44292"/>
    <w:rsid w:val="45D16BF2"/>
    <w:rsid w:val="45E32481"/>
    <w:rsid w:val="45F4468E"/>
    <w:rsid w:val="460C19D8"/>
    <w:rsid w:val="462C207A"/>
    <w:rsid w:val="462E638F"/>
    <w:rsid w:val="462E7BA0"/>
    <w:rsid w:val="46386C71"/>
    <w:rsid w:val="463B406B"/>
    <w:rsid w:val="4646138E"/>
    <w:rsid w:val="466C2476"/>
    <w:rsid w:val="46916381"/>
    <w:rsid w:val="46965745"/>
    <w:rsid w:val="46A55988"/>
    <w:rsid w:val="46B53E1D"/>
    <w:rsid w:val="46E2098A"/>
    <w:rsid w:val="46F04E55"/>
    <w:rsid w:val="46F5246C"/>
    <w:rsid w:val="47064679"/>
    <w:rsid w:val="471C20EE"/>
    <w:rsid w:val="47266AC9"/>
    <w:rsid w:val="47460F19"/>
    <w:rsid w:val="475C073D"/>
    <w:rsid w:val="478832E0"/>
    <w:rsid w:val="47AF3B20"/>
    <w:rsid w:val="47B972D2"/>
    <w:rsid w:val="47BB36B5"/>
    <w:rsid w:val="47D6229D"/>
    <w:rsid w:val="47EC1AC1"/>
    <w:rsid w:val="47F00E85"/>
    <w:rsid w:val="47F15329"/>
    <w:rsid w:val="47FE17F4"/>
    <w:rsid w:val="480C5CBF"/>
    <w:rsid w:val="480D1A37"/>
    <w:rsid w:val="48111527"/>
    <w:rsid w:val="48174664"/>
    <w:rsid w:val="48254FD3"/>
    <w:rsid w:val="48315726"/>
    <w:rsid w:val="4839282C"/>
    <w:rsid w:val="48482A6F"/>
    <w:rsid w:val="484B549D"/>
    <w:rsid w:val="48515DC8"/>
    <w:rsid w:val="485338EE"/>
    <w:rsid w:val="48671147"/>
    <w:rsid w:val="486A0C38"/>
    <w:rsid w:val="486A6E89"/>
    <w:rsid w:val="487815A6"/>
    <w:rsid w:val="48B14AB8"/>
    <w:rsid w:val="48B9571B"/>
    <w:rsid w:val="48C447EC"/>
    <w:rsid w:val="48C742DC"/>
    <w:rsid w:val="48D11BAF"/>
    <w:rsid w:val="48D80297"/>
    <w:rsid w:val="48D82045"/>
    <w:rsid w:val="48DA7B6B"/>
    <w:rsid w:val="48DC7D87"/>
    <w:rsid w:val="48DF5182"/>
    <w:rsid w:val="48E704DA"/>
    <w:rsid w:val="491312CF"/>
    <w:rsid w:val="49247038"/>
    <w:rsid w:val="49262DB0"/>
    <w:rsid w:val="492C413F"/>
    <w:rsid w:val="49535B70"/>
    <w:rsid w:val="49553696"/>
    <w:rsid w:val="497004D0"/>
    <w:rsid w:val="497756A4"/>
    <w:rsid w:val="498D249B"/>
    <w:rsid w:val="49A63EF1"/>
    <w:rsid w:val="49B20AE8"/>
    <w:rsid w:val="49C820BA"/>
    <w:rsid w:val="49CA5E32"/>
    <w:rsid w:val="49CB3958"/>
    <w:rsid w:val="49D22F38"/>
    <w:rsid w:val="49E54A1A"/>
    <w:rsid w:val="49EF5898"/>
    <w:rsid w:val="49F64E79"/>
    <w:rsid w:val="4A205A52"/>
    <w:rsid w:val="4A2F3EE7"/>
    <w:rsid w:val="4A322A6A"/>
    <w:rsid w:val="4A404346"/>
    <w:rsid w:val="4A471230"/>
    <w:rsid w:val="4A541B9F"/>
    <w:rsid w:val="4A6C513B"/>
    <w:rsid w:val="4A783AE0"/>
    <w:rsid w:val="4A804742"/>
    <w:rsid w:val="4AA20B5D"/>
    <w:rsid w:val="4AA246B9"/>
    <w:rsid w:val="4AE41175"/>
    <w:rsid w:val="4AE44CD1"/>
    <w:rsid w:val="4AE461E7"/>
    <w:rsid w:val="4AE747C1"/>
    <w:rsid w:val="4AEE5B50"/>
    <w:rsid w:val="4B1730BE"/>
    <w:rsid w:val="4B441C14"/>
    <w:rsid w:val="4B555BCF"/>
    <w:rsid w:val="4B5F07FC"/>
    <w:rsid w:val="4B614574"/>
    <w:rsid w:val="4B6422B6"/>
    <w:rsid w:val="4B6C4CC7"/>
    <w:rsid w:val="4B7818BD"/>
    <w:rsid w:val="4BA3693A"/>
    <w:rsid w:val="4BB70638"/>
    <w:rsid w:val="4BB723E6"/>
    <w:rsid w:val="4BC93EC7"/>
    <w:rsid w:val="4BCE772F"/>
    <w:rsid w:val="4C07336D"/>
    <w:rsid w:val="4C0B2731"/>
    <w:rsid w:val="4C39729F"/>
    <w:rsid w:val="4C417F01"/>
    <w:rsid w:val="4C780389"/>
    <w:rsid w:val="4C800A2A"/>
    <w:rsid w:val="4C83676C"/>
    <w:rsid w:val="4C885B30"/>
    <w:rsid w:val="4C9E5354"/>
    <w:rsid w:val="4CA010CC"/>
    <w:rsid w:val="4CB44B77"/>
    <w:rsid w:val="4CD40D75"/>
    <w:rsid w:val="4CDF7E46"/>
    <w:rsid w:val="4CE30FB8"/>
    <w:rsid w:val="4CE4720A"/>
    <w:rsid w:val="4D07114B"/>
    <w:rsid w:val="4D0A29E9"/>
    <w:rsid w:val="4D641F2A"/>
    <w:rsid w:val="4D645CE9"/>
    <w:rsid w:val="4D6B3488"/>
    <w:rsid w:val="4D6D5452"/>
    <w:rsid w:val="4D7F6F33"/>
    <w:rsid w:val="4DA8648A"/>
    <w:rsid w:val="4DCE1C69"/>
    <w:rsid w:val="4DD0778F"/>
    <w:rsid w:val="4DE84AD8"/>
    <w:rsid w:val="4DE90850"/>
    <w:rsid w:val="4DFE60AA"/>
    <w:rsid w:val="4E047438"/>
    <w:rsid w:val="4E0631B0"/>
    <w:rsid w:val="4E0B1D1A"/>
    <w:rsid w:val="4E235B10"/>
    <w:rsid w:val="4E4A12EF"/>
    <w:rsid w:val="4E5959D6"/>
    <w:rsid w:val="4E6A1991"/>
    <w:rsid w:val="4E6D1482"/>
    <w:rsid w:val="4E7B594C"/>
    <w:rsid w:val="4E8A3DE2"/>
    <w:rsid w:val="4E8B1908"/>
    <w:rsid w:val="4E8D5680"/>
    <w:rsid w:val="4E9407BC"/>
    <w:rsid w:val="4EB66985"/>
    <w:rsid w:val="4EB726FD"/>
    <w:rsid w:val="4EC72940"/>
    <w:rsid w:val="4ED41501"/>
    <w:rsid w:val="4EDD03B5"/>
    <w:rsid w:val="4EE94FAC"/>
    <w:rsid w:val="4EEA4880"/>
    <w:rsid w:val="4EF8192F"/>
    <w:rsid w:val="4F18319B"/>
    <w:rsid w:val="4F2F6737"/>
    <w:rsid w:val="4F384153"/>
    <w:rsid w:val="4F3B50DC"/>
    <w:rsid w:val="4F5A37B4"/>
    <w:rsid w:val="4F6B59C1"/>
    <w:rsid w:val="4F9B5B7A"/>
    <w:rsid w:val="4FAE58AE"/>
    <w:rsid w:val="4FB1539E"/>
    <w:rsid w:val="4FD01CC8"/>
    <w:rsid w:val="4FD30AB0"/>
    <w:rsid w:val="4FEB6B02"/>
    <w:rsid w:val="4FF963FF"/>
    <w:rsid w:val="4FFE6835"/>
    <w:rsid w:val="5006393C"/>
    <w:rsid w:val="50210776"/>
    <w:rsid w:val="502B0565"/>
    <w:rsid w:val="503A35E5"/>
    <w:rsid w:val="503A5393"/>
    <w:rsid w:val="504F0E3F"/>
    <w:rsid w:val="506B19F1"/>
    <w:rsid w:val="50720FD1"/>
    <w:rsid w:val="5079410E"/>
    <w:rsid w:val="50A56CB1"/>
    <w:rsid w:val="50A867A1"/>
    <w:rsid w:val="50D47596"/>
    <w:rsid w:val="50E61077"/>
    <w:rsid w:val="50E772C9"/>
    <w:rsid w:val="50ED0658"/>
    <w:rsid w:val="50F47C38"/>
    <w:rsid w:val="50FE2865"/>
    <w:rsid w:val="51024103"/>
    <w:rsid w:val="51136310"/>
    <w:rsid w:val="51275918"/>
    <w:rsid w:val="513F7105"/>
    <w:rsid w:val="514F30C0"/>
    <w:rsid w:val="515E50B1"/>
    <w:rsid w:val="5167040A"/>
    <w:rsid w:val="51786173"/>
    <w:rsid w:val="517D7C2E"/>
    <w:rsid w:val="5181771E"/>
    <w:rsid w:val="519F7BA4"/>
    <w:rsid w:val="51AB479B"/>
    <w:rsid w:val="51BF0246"/>
    <w:rsid w:val="51C13FBE"/>
    <w:rsid w:val="51C23892"/>
    <w:rsid w:val="51E25CE3"/>
    <w:rsid w:val="52120376"/>
    <w:rsid w:val="52140592"/>
    <w:rsid w:val="52320A18"/>
    <w:rsid w:val="52354064"/>
    <w:rsid w:val="523C1B58"/>
    <w:rsid w:val="523F3135"/>
    <w:rsid w:val="525070F0"/>
    <w:rsid w:val="5257047F"/>
    <w:rsid w:val="525B0D76"/>
    <w:rsid w:val="526112FD"/>
    <w:rsid w:val="5264494A"/>
    <w:rsid w:val="52662470"/>
    <w:rsid w:val="526861E8"/>
    <w:rsid w:val="52727066"/>
    <w:rsid w:val="52741030"/>
    <w:rsid w:val="529671F9"/>
    <w:rsid w:val="529C40E3"/>
    <w:rsid w:val="52AA2CA4"/>
    <w:rsid w:val="52AB2578"/>
    <w:rsid w:val="52AF3E17"/>
    <w:rsid w:val="52EB2107"/>
    <w:rsid w:val="52EC6E19"/>
    <w:rsid w:val="52F1442F"/>
    <w:rsid w:val="53065A01"/>
    <w:rsid w:val="531E0F9C"/>
    <w:rsid w:val="53283BC9"/>
    <w:rsid w:val="532E5683"/>
    <w:rsid w:val="53334A48"/>
    <w:rsid w:val="53486019"/>
    <w:rsid w:val="535449BE"/>
    <w:rsid w:val="53690469"/>
    <w:rsid w:val="537806AC"/>
    <w:rsid w:val="537A08C9"/>
    <w:rsid w:val="537D2167"/>
    <w:rsid w:val="537E1A3B"/>
    <w:rsid w:val="539725B9"/>
    <w:rsid w:val="53C5766A"/>
    <w:rsid w:val="53CE651E"/>
    <w:rsid w:val="53DB0C3B"/>
    <w:rsid w:val="53E73A84"/>
    <w:rsid w:val="53F046E7"/>
    <w:rsid w:val="540168F4"/>
    <w:rsid w:val="540B32CF"/>
    <w:rsid w:val="541F4FCC"/>
    <w:rsid w:val="5425632B"/>
    <w:rsid w:val="542872F4"/>
    <w:rsid w:val="54505185"/>
    <w:rsid w:val="54520EFE"/>
    <w:rsid w:val="54532EC8"/>
    <w:rsid w:val="545509EE"/>
    <w:rsid w:val="546D5D37"/>
    <w:rsid w:val="549A0AF6"/>
    <w:rsid w:val="54A43723"/>
    <w:rsid w:val="54AD25D8"/>
    <w:rsid w:val="54B5148C"/>
    <w:rsid w:val="54DA7145"/>
    <w:rsid w:val="54E0475B"/>
    <w:rsid w:val="54E51D72"/>
    <w:rsid w:val="54EB4EAE"/>
    <w:rsid w:val="551268DF"/>
    <w:rsid w:val="551408A9"/>
    <w:rsid w:val="552B174F"/>
    <w:rsid w:val="55452810"/>
    <w:rsid w:val="558A0D0B"/>
    <w:rsid w:val="55943798"/>
    <w:rsid w:val="55983288"/>
    <w:rsid w:val="55AE6607"/>
    <w:rsid w:val="55CA71B9"/>
    <w:rsid w:val="55D41DE6"/>
    <w:rsid w:val="55D65B5E"/>
    <w:rsid w:val="55DA564E"/>
    <w:rsid w:val="55DF4A13"/>
    <w:rsid w:val="56156687"/>
    <w:rsid w:val="56310FE7"/>
    <w:rsid w:val="563665FD"/>
    <w:rsid w:val="5637484F"/>
    <w:rsid w:val="565076BF"/>
    <w:rsid w:val="56554CD5"/>
    <w:rsid w:val="565F5B54"/>
    <w:rsid w:val="5661367A"/>
    <w:rsid w:val="56701B0F"/>
    <w:rsid w:val="56813D1C"/>
    <w:rsid w:val="568630E0"/>
    <w:rsid w:val="56876E58"/>
    <w:rsid w:val="569357FD"/>
    <w:rsid w:val="56A8574D"/>
    <w:rsid w:val="56D26326"/>
    <w:rsid w:val="56D77DE0"/>
    <w:rsid w:val="56E87F3E"/>
    <w:rsid w:val="56EB5639"/>
    <w:rsid w:val="56F42740"/>
    <w:rsid w:val="56F97D56"/>
    <w:rsid w:val="570F757A"/>
    <w:rsid w:val="573214BA"/>
    <w:rsid w:val="5737262D"/>
    <w:rsid w:val="573945F7"/>
    <w:rsid w:val="574134AB"/>
    <w:rsid w:val="57686C8A"/>
    <w:rsid w:val="57792C45"/>
    <w:rsid w:val="57875362"/>
    <w:rsid w:val="579D4B86"/>
    <w:rsid w:val="57B27F05"/>
    <w:rsid w:val="57D04F5B"/>
    <w:rsid w:val="57D85BBE"/>
    <w:rsid w:val="57DB745C"/>
    <w:rsid w:val="58136BF6"/>
    <w:rsid w:val="582B2191"/>
    <w:rsid w:val="58490869"/>
    <w:rsid w:val="584C2108"/>
    <w:rsid w:val="58515970"/>
    <w:rsid w:val="58533496"/>
    <w:rsid w:val="585A2A77"/>
    <w:rsid w:val="58692CBA"/>
    <w:rsid w:val="586B4C84"/>
    <w:rsid w:val="586E207E"/>
    <w:rsid w:val="587358E6"/>
    <w:rsid w:val="58CB74D0"/>
    <w:rsid w:val="58E3481A"/>
    <w:rsid w:val="58F46A27"/>
    <w:rsid w:val="590D1897"/>
    <w:rsid w:val="594352B9"/>
    <w:rsid w:val="59590F80"/>
    <w:rsid w:val="59633BAD"/>
    <w:rsid w:val="596811C3"/>
    <w:rsid w:val="597C07CB"/>
    <w:rsid w:val="598853C1"/>
    <w:rsid w:val="598A738C"/>
    <w:rsid w:val="5999137D"/>
    <w:rsid w:val="599975CF"/>
    <w:rsid w:val="59A55F73"/>
    <w:rsid w:val="59A87812"/>
    <w:rsid w:val="59AC5554"/>
    <w:rsid w:val="59B937CD"/>
    <w:rsid w:val="59DB1995"/>
    <w:rsid w:val="59E06FAB"/>
    <w:rsid w:val="59E22D24"/>
    <w:rsid w:val="59F42A57"/>
    <w:rsid w:val="59FB5B93"/>
    <w:rsid w:val="5A132EDD"/>
    <w:rsid w:val="5A250E62"/>
    <w:rsid w:val="5A315A59"/>
    <w:rsid w:val="5A3317D1"/>
    <w:rsid w:val="5A3B0686"/>
    <w:rsid w:val="5A3D6ADB"/>
    <w:rsid w:val="5A4237C2"/>
    <w:rsid w:val="5A4412E8"/>
    <w:rsid w:val="5A511C57"/>
    <w:rsid w:val="5A5B4884"/>
    <w:rsid w:val="5A715E56"/>
    <w:rsid w:val="5A785436"/>
    <w:rsid w:val="5A851901"/>
    <w:rsid w:val="5A951B44"/>
    <w:rsid w:val="5AB20948"/>
    <w:rsid w:val="5AB75F5E"/>
    <w:rsid w:val="5AC16DDD"/>
    <w:rsid w:val="5ADC59C5"/>
    <w:rsid w:val="5AF0321E"/>
    <w:rsid w:val="5AF26F96"/>
    <w:rsid w:val="5B022F52"/>
    <w:rsid w:val="5B0C37B7"/>
    <w:rsid w:val="5B13515F"/>
    <w:rsid w:val="5B210E28"/>
    <w:rsid w:val="5B296730"/>
    <w:rsid w:val="5B2D4472"/>
    <w:rsid w:val="5B323837"/>
    <w:rsid w:val="5B3A093D"/>
    <w:rsid w:val="5B436457"/>
    <w:rsid w:val="5B490B80"/>
    <w:rsid w:val="5B57329D"/>
    <w:rsid w:val="5B615ECA"/>
    <w:rsid w:val="5B800A46"/>
    <w:rsid w:val="5BEC1C38"/>
    <w:rsid w:val="5BEC7E8A"/>
    <w:rsid w:val="5BF62AB6"/>
    <w:rsid w:val="5BF8682E"/>
    <w:rsid w:val="5BFE7BBD"/>
    <w:rsid w:val="5C003935"/>
    <w:rsid w:val="5C02145B"/>
    <w:rsid w:val="5C207B33"/>
    <w:rsid w:val="5C294C3A"/>
    <w:rsid w:val="5C34538D"/>
    <w:rsid w:val="5C471564"/>
    <w:rsid w:val="5C4A4BB0"/>
    <w:rsid w:val="5C643EC4"/>
    <w:rsid w:val="5C6A0DAE"/>
    <w:rsid w:val="5C966047"/>
    <w:rsid w:val="5CA97B29"/>
    <w:rsid w:val="5CAC13C7"/>
    <w:rsid w:val="5CAC7619"/>
    <w:rsid w:val="5CB84210"/>
    <w:rsid w:val="5CC901CB"/>
    <w:rsid w:val="5CC91F79"/>
    <w:rsid w:val="5D327B1E"/>
    <w:rsid w:val="5D577585"/>
    <w:rsid w:val="5D6121B1"/>
    <w:rsid w:val="5D6972B8"/>
    <w:rsid w:val="5D8D11F8"/>
    <w:rsid w:val="5D973E25"/>
    <w:rsid w:val="5DB449D7"/>
    <w:rsid w:val="5DBC388C"/>
    <w:rsid w:val="5DBD18C5"/>
    <w:rsid w:val="5DC170F4"/>
    <w:rsid w:val="5DCB3ACF"/>
    <w:rsid w:val="5DDE1A54"/>
    <w:rsid w:val="5E084D23"/>
    <w:rsid w:val="5E174F66"/>
    <w:rsid w:val="5E280F21"/>
    <w:rsid w:val="5E287173"/>
    <w:rsid w:val="5E331DA0"/>
    <w:rsid w:val="5E4A70E9"/>
    <w:rsid w:val="5E624433"/>
    <w:rsid w:val="5E631F59"/>
    <w:rsid w:val="5E8A398A"/>
    <w:rsid w:val="5E914D18"/>
    <w:rsid w:val="5EB56C59"/>
    <w:rsid w:val="5EC155FD"/>
    <w:rsid w:val="5ECB022A"/>
    <w:rsid w:val="5F047298"/>
    <w:rsid w:val="5F092881"/>
    <w:rsid w:val="5F1C0A86"/>
    <w:rsid w:val="5F215560"/>
    <w:rsid w:val="5F230066"/>
    <w:rsid w:val="5F531FCE"/>
    <w:rsid w:val="5F5D2E4C"/>
    <w:rsid w:val="5F6D308F"/>
    <w:rsid w:val="5F742670"/>
    <w:rsid w:val="5F781A34"/>
    <w:rsid w:val="5F8D54E0"/>
    <w:rsid w:val="5F944AC0"/>
    <w:rsid w:val="5F9A19AB"/>
    <w:rsid w:val="5F9A7BFD"/>
    <w:rsid w:val="5FB07420"/>
    <w:rsid w:val="5FB94527"/>
    <w:rsid w:val="5FC66C44"/>
    <w:rsid w:val="5FE61094"/>
    <w:rsid w:val="5FFC4413"/>
    <w:rsid w:val="60067040"/>
    <w:rsid w:val="60082DB8"/>
    <w:rsid w:val="601D2D07"/>
    <w:rsid w:val="602F6597"/>
    <w:rsid w:val="60327E35"/>
    <w:rsid w:val="6065020A"/>
    <w:rsid w:val="60651FB9"/>
    <w:rsid w:val="606A5821"/>
    <w:rsid w:val="60806DF2"/>
    <w:rsid w:val="608763D3"/>
    <w:rsid w:val="60911000"/>
    <w:rsid w:val="60A07495"/>
    <w:rsid w:val="60A800F7"/>
    <w:rsid w:val="60AE3960"/>
    <w:rsid w:val="60B66CB8"/>
    <w:rsid w:val="60BB607C"/>
    <w:rsid w:val="60CC2038"/>
    <w:rsid w:val="60CF38D6"/>
    <w:rsid w:val="60D40EEC"/>
    <w:rsid w:val="60D61108"/>
    <w:rsid w:val="60D62EB6"/>
    <w:rsid w:val="60DB227B"/>
    <w:rsid w:val="60EB4BB4"/>
    <w:rsid w:val="60EC6236"/>
    <w:rsid w:val="60EE0200"/>
    <w:rsid w:val="60F375C4"/>
    <w:rsid w:val="60FE64C3"/>
    <w:rsid w:val="61161505"/>
    <w:rsid w:val="613100ED"/>
    <w:rsid w:val="613C71BD"/>
    <w:rsid w:val="616404C2"/>
    <w:rsid w:val="61695AD8"/>
    <w:rsid w:val="617C580C"/>
    <w:rsid w:val="61A42FB4"/>
    <w:rsid w:val="61B2747F"/>
    <w:rsid w:val="61D5316E"/>
    <w:rsid w:val="61FE4473"/>
    <w:rsid w:val="621A6DD3"/>
    <w:rsid w:val="62522A10"/>
    <w:rsid w:val="625422E5"/>
    <w:rsid w:val="625C563D"/>
    <w:rsid w:val="62606EDB"/>
    <w:rsid w:val="626369CC"/>
    <w:rsid w:val="626544F2"/>
    <w:rsid w:val="62712E97"/>
    <w:rsid w:val="62744735"/>
    <w:rsid w:val="627C183B"/>
    <w:rsid w:val="627E55B4"/>
    <w:rsid w:val="6287090C"/>
    <w:rsid w:val="629D3C8C"/>
    <w:rsid w:val="62A3326C"/>
    <w:rsid w:val="62A82630"/>
    <w:rsid w:val="62CF5E0F"/>
    <w:rsid w:val="62E0001C"/>
    <w:rsid w:val="62EA2C49"/>
    <w:rsid w:val="62FD472A"/>
    <w:rsid w:val="630A6E47"/>
    <w:rsid w:val="63147CC6"/>
    <w:rsid w:val="63185A08"/>
    <w:rsid w:val="631877B6"/>
    <w:rsid w:val="63253C81"/>
    <w:rsid w:val="6329551F"/>
    <w:rsid w:val="63514A76"/>
    <w:rsid w:val="635B58F5"/>
    <w:rsid w:val="636C7B02"/>
    <w:rsid w:val="63701F0F"/>
    <w:rsid w:val="63770981"/>
    <w:rsid w:val="63780255"/>
    <w:rsid w:val="637E06AE"/>
    <w:rsid w:val="639D5F0D"/>
    <w:rsid w:val="63A1155A"/>
    <w:rsid w:val="63A92B04"/>
    <w:rsid w:val="63A96660"/>
    <w:rsid w:val="63B374DF"/>
    <w:rsid w:val="640E2967"/>
    <w:rsid w:val="64176BC2"/>
    <w:rsid w:val="64414AEB"/>
    <w:rsid w:val="64542A70"/>
    <w:rsid w:val="645B2050"/>
    <w:rsid w:val="646B7DB9"/>
    <w:rsid w:val="646D58E0"/>
    <w:rsid w:val="64744EC0"/>
    <w:rsid w:val="64794284"/>
    <w:rsid w:val="647E7AED"/>
    <w:rsid w:val="648D7D30"/>
    <w:rsid w:val="64BE6006"/>
    <w:rsid w:val="64E75692"/>
    <w:rsid w:val="65051FBC"/>
    <w:rsid w:val="65092886"/>
    <w:rsid w:val="6509385A"/>
    <w:rsid w:val="650A1380"/>
    <w:rsid w:val="650F6997"/>
    <w:rsid w:val="651D10B4"/>
    <w:rsid w:val="651E4E2C"/>
    <w:rsid w:val="65202952"/>
    <w:rsid w:val="652561BA"/>
    <w:rsid w:val="65476131"/>
    <w:rsid w:val="654E3963"/>
    <w:rsid w:val="655820EC"/>
    <w:rsid w:val="65711400"/>
    <w:rsid w:val="65962C14"/>
    <w:rsid w:val="65984BDE"/>
    <w:rsid w:val="65CB6D62"/>
    <w:rsid w:val="65D5198E"/>
    <w:rsid w:val="65F04A1A"/>
    <w:rsid w:val="65F83E6C"/>
    <w:rsid w:val="661204ED"/>
    <w:rsid w:val="66291CDA"/>
    <w:rsid w:val="66326DE1"/>
    <w:rsid w:val="664408C2"/>
    <w:rsid w:val="667A42E4"/>
    <w:rsid w:val="66815672"/>
    <w:rsid w:val="668F7D8F"/>
    <w:rsid w:val="66A575B3"/>
    <w:rsid w:val="66F127F8"/>
    <w:rsid w:val="671958AB"/>
    <w:rsid w:val="67220C03"/>
    <w:rsid w:val="67346B89"/>
    <w:rsid w:val="674548F2"/>
    <w:rsid w:val="67674868"/>
    <w:rsid w:val="6773145F"/>
    <w:rsid w:val="67801DCE"/>
    <w:rsid w:val="6784541A"/>
    <w:rsid w:val="67A41618"/>
    <w:rsid w:val="67A71109"/>
    <w:rsid w:val="67B13D35"/>
    <w:rsid w:val="67B83316"/>
    <w:rsid w:val="67BF28F6"/>
    <w:rsid w:val="67CA4DF7"/>
    <w:rsid w:val="67CC0B6F"/>
    <w:rsid w:val="67DB0DB2"/>
    <w:rsid w:val="681F1B75"/>
    <w:rsid w:val="68352BB8"/>
    <w:rsid w:val="684352D5"/>
    <w:rsid w:val="68437083"/>
    <w:rsid w:val="685C0145"/>
    <w:rsid w:val="685C6397"/>
    <w:rsid w:val="685F3791"/>
    <w:rsid w:val="68633281"/>
    <w:rsid w:val="686D4100"/>
    <w:rsid w:val="686D5EAE"/>
    <w:rsid w:val="6873723D"/>
    <w:rsid w:val="689C6793"/>
    <w:rsid w:val="68DB72BC"/>
    <w:rsid w:val="68F16ADF"/>
    <w:rsid w:val="68F22857"/>
    <w:rsid w:val="68F86E47"/>
    <w:rsid w:val="69027D95"/>
    <w:rsid w:val="69083E29"/>
    <w:rsid w:val="690A7BA1"/>
    <w:rsid w:val="69110F2F"/>
    <w:rsid w:val="69166546"/>
    <w:rsid w:val="691E364C"/>
    <w:rsid w:val="69201173"/>
    <w:rsid w:val="692C5D69"/>
    <w:rsid w:val="693370F8"/>
    <w:rsid w:val="69392234"/>
    <w:rsid w:val="69434E61"/>
    <w:rsid w:val="69912070"/>
    <w:rsid w:val="69AF1771"/>
    <w:rsid w:val="69B12712"/>
    <w:rsid w:val="69B31FE7"/>
    <w:rsid w:val="69C45FA2"/>
    <w:rsid w:val="69C9180A"/>
    <w:rsid w:val="6A0B3BD1"/>
    <w:rsid w:val="6A114F5F"/>
    <w:rsid w:val="6A1F767C"/>
    <w:rsid w:val="6A2B6021"/>
    <w:rsid w:val="6A3D7B02"/>
    <w:rsid w:val="6A5F3F1C"/>
    <w:rsid w:val="6A667059"/>
    <w:rsid w:val="6A9736B6"/>
    <w:rsid w:val="6A9A31A7"/>
    <w:rsid w:val="6AC124E1"/>
    <w:rsid w:val="6AE306AA"/>
    <w:rsid w:val="6AFE54E3"/>
    <w:rsid w:val="6B0625EA"/>
    <w:rsid w:val="6B0A20DA"/>
    <w:rsid w:val="6B160A7F"/>
    <w:rsid w:val="6B162075"/>
    <w:rsid w:val="6B2F38EF"/>
    <w:rsid w:val="6B376C47"/>
    <w:rsid w:val="6B39476E"/>
    <w:rsid w:val="6B3B04E6"/>
    <w:rsid w:val="6B3E3B32"/>
    <w:rsid w:val="6B5E41D4"/>
    <w:rsid w:val="6B6C68F1"/>
    <w:rsid w:val="6B7B6B34"/>
    <w:rsid w:val="6B833C3B"/>
    <w:rsid w:val="6B8F7699"/>
    <w:rsid w:val="6B9D4CFC"/>
    <w:rsid w:val="6B9D6AAA"/>
    <w:rsid w:val="6BB32772"/>
    <w:rsid w:val="6BDA7CFF"/>
    <w:rsid w:val="6BE741CA"/>
    <w:rsid w:val="6BF30DC0"/>
    <w:rsid w:val="6BFD39ED"/>
    <w:rsid w:val="6C044D7B"/>
    <w:rsid w:val="6C1B20C5"/>
    <w:rsid w:val="6C1F3963"/>
    <w:rsid w:val="6C376EFF"/>
    <w:rsid w:val="6C3F5DB4"/>
    <w:rsid w:val="6C496C32"/>
    <w:rsid w:val="6C64581A"/>
    <w:rsid w:val="6C661592"/>
    <w:rsid w:val="6C6E6699"/>
    <w:rsid w:val="6C7517D5"/>
    <w:rsid w:val="6C7C0DB6"/>
    <w:rsid w:val="6C7D068A"/>
    <w:rsid w:val="6C81017A"/>
    <w:rsid w:val="6C8D2FC3"/>
    <w:rsid w:val="6C8E2897"/>
    <w:rsid w:val="6C97799E"/>
    <w:rsid w:val="6CA83959"/>
    <w:rsid w:val="6CAB3449"/>
    <w:rsid w:val="6CBA368C"/>
    <w:rsid w:val="6CCD1611"/>
    <w:rsid w:val="6CE150BD"/>
    <w:rsid w:val="6CF52916"/>
    <w:rsid w:val="6CF92406"/>
    <w:rsid w:val="6D140FEE"/>
    <w:rsid w:val="6D1A237D"/>
    <w:rsid w:val="6D205BE5"/>
    <w:rsid w:val="6D21370B"/>
    <w:rsid w:val="6D284A9A"/>
    <w:rsid w:val="6D2F5E28"/>
    <w:rsid w:val="6D3B47CD"/>
    <w:rsid w:val="6D48513C"/>
    <w:rsid w:val="6D567859"/>
    <w:rsid w:val="6D5E495F"/>
    <w:rsid w:val="6D633D24"/>
    <w:rsid w:val="6D6C2BD8"/>
    <w:rsid w:val="6D761CA9"/>
    <w:rsid w:val="6D7777CF"/>
    <w:rsid w:val="6D7E188B"/>
    <w:rsid w:val="6D8141AA"/>
    <w:rsid w:val="6D837F22"/>
    <w:rsid w:val="6D8A7502"/>
    <w:rsid w:val="6DB93944"/>
    <w:rsid w:val="6DB97DE8"/>
    <w:rsid w:val="6DCF3167"/>
    <w:rsid w:val="6DD8026E"/>
    <w:rsid w:val="6E25722B"/>
    <w:rsid w:val="6E301E58"/>
    <w:rsid w:val="6E5042A8"/>
    <w:rsid w:val="6EA75E92"/>
    <w:rsid w:val="6EC66318"/>
    <w:rsid w:val="6EE60768"/>
    <w:rsid w:val="6F0155A2"/>
    <w:rsid w:val="6F196D90"/>
    <w:rsid w:val="6F2B6AC3"/>
    <w:rsid w:val="6F327E52"/>
    <w:rsid w:val="6F3E05A4"/>
    <w:rsid w:val="6F435BBB"/>
    <w:rsid w:val="6F5558EE"/>
    <w:rsid w:val="6F5953DE"/>
    <w:rsid w:val="6F60051B"/>
    <w:rsid w:val="6F6A3147"/>
    <w:rsid w:val="6F751AEC"/>
    <w:rsid w:val="6F810491"/>
    <w:rsid w:val="6F96218E"/>
    <w:rsid w:val="6F9E7295"/>
    <w:rsid w:val="6FAC7C04"/>
    <w:rsid w:val="6FC211D5"/>
    <w:rsid w:val="6FD74555"/>
    <w:rsid w:val="6FD902CD"/>
    <w:rsid w:val="6FE0340A"/>
    <w:rsid w:val="6FE23626"/>
    <w:rsid w:val="703A6FBE"/>
    <w:rsid w:val="70441BEA"/>
    <w:rsid w:val="70660052"/>
    <w:rsid w:val="709366CE"/>
    <w:rsid w:val="709F1517"/>
    <w:rsid w:val="70A22DB5"/>
    <w:rsid w:val="70AB1C6A"/>
    <w:rsid w:val="70D0347E"/>
    <w:rsid w:val="70D80585"/>
    <w:rsid w:val="70EE5FFA"/>
    <w:rsid w:val="70F74EAF"/>
    <w:rsid w:val="70FF3D63"/>
    <w:rsid w:val="70FF5B11"/>
    <w:rsid w:val="710C022E"/>
    <w:rsid w:val="71125845"/>
    <w:rsid w:val="71211F2C"/>
    <w:rsid w:val="712B6906"/>
    <w:rsid w:val="71333A0D"/>
    <w:rsid w:val="7150636D"/>
    <w:rsid w:val="717A163C"/>
    <w:rsid w:val="71B92164"/>
    <w:rsid w:val="71C11019"/>
    <w:rsid w:val="71C31235"/>
    <w:rsid w:val="71C805F9"/>
    <w:rsid w:val="71EF202A"/>
    <w:rsid w:val="72111FA0"/>
    <w:rsid w:val="723D4B43"/>
    <w:rsid w:val="72534367"/>
    <w:rsid w:val="72683E78"/>
    <w:rsid w:val="72802C82"/>
    <w:rsid w:val="72BD5C84"/>
    <w:rsid w:val="72BD7A32"/>
    <w:rsid w:val="72CB03A1"/>
    <w:rsid w:val="73090EC9"/>
    <w:rsid w:val="731735E6"/>
    <w:rsid w:val="73181CB1"/>
    <w:rsid w:val="731A1328"/>
    <w:rsid w:val="73247AB1"/>
    <w:rsid w:val="732E0930"/>
    <w:rsid w:val="733046A8"/>
    <w:rsid w:val="73463ECB"/>
    <w:rsid w:val="73506AF8"/>
    <w:rsid w:val="735E7467"/>
    <w:rsid w:val="7372081D"/>
    <w:rsid w:val="737C78ED"/>
    <w:rsid w:val="739015EB"/>
    <w:rsid w:val="739E529E"/>
    <w:rsid w:val="73C372CA"/>
    <w:rsid w:val="73C53042"/>
    <w:rsid w:val="73CD0149"/>
    <w:rsid w:val="73DE5EB2"/>
    <w:rsid w:val="73ED4347"/>
    <w:rsid w:val="74024296"/>
    <w:rsid w:val="74081181"/>
    <w:rsid w:val="740D6797"/>
    <w:rsid w:val="74575C64"/>
    <w:rsid w:val="74582108"/>
    <w:rsid w:val="745B5755"/>
    <w:rsid w:val="745D327B"/>
    <w:rsid w:val="748F3650"/>
    <w:rsid w:val="7499627D"/>
    <w:rsid w:val="74AE1D28"/>
    <w:rsid w:val="74BF5CE3"/>
    <w:rsid w:val="74D6127F"/>
    <w:rsid w:val="74D86DA5"/>
    <w:rsid w:val="74E53270"/>
    <w:rsid w:val="74EC45FF"/>
    <w:rsid w:val="74F6547D"/>
    <w:rsid w:val="75183646"/>
    <w:rsid w:val="751853F4"/>
    <w:rsid w:val="751C3136"/>
    <w:rsid w:val="752913AF"/>
    <w:rsid w:val="75371D1E"/>
    <w:rsid w:val="754D1541"/>
    <w:rsid w:val="756D4E2F"/>
    <w:rsid w:val="757545F4"/>
    <w:rsid w:val="757A7E5C"/>
    <w:rsid w:val="757C5983"/>
    <w:rsid w:val="75840CDB"/>
    <w:rsid w:val="75882579"/>
    <w:rsid w:val="758B02BC"/>
    <w:rsid w:val="75907680"/>
    <w:rsid w:val="759A405B"/>
    <w:rsid w:val="75A849CA"/>
    <w:rsid w:val="75AD1FE0"/>
    <w:rsid w:val="7601057E"/>
    <w:rsid w:val="761262E7"/>
    <w:rsid w:val="761E4C8C"/>
    <w:rsid w:val="762A3631"/>
    <w:rsid w:val="762B73A9"/>
    <w:rsid w:val="763149BF"/>
    <w:rsid w:val="763444AF"/>
    <w:rsid w:val="76472434"/>
    <w:rsid w:val="764A5A81"/>
    <w:rsid w:val="766034F6"/>
    <w:rsid w:val="76650B0D"/>
    <w:rsid w:val="76733229"/>
    <w:rsid w:val="76AA4771"/>
    <w:rsid w:val="76AC2297"/>
    <w:rsid w:val="76B4114C"/>
    <w:rsid w:val="76C10199"/>
    <w:rsid w:val="76E063E5"/>
    <w:rsid w:val="76F61765"/>
    <w:rsid w:val="76FA1255"/>
    <w:rsid w:val="76FB4FCD"/>
    <w:rsid w:val="77057BFA"/>
    <w:rsid w:val="770B3462"/>
    <w:rsid w:val="770E6AAE"/>
    <w:rsid w:val="773329B9"/>
    <w:rsid w:val="77440722"/>
    <w:rsid w:val="77513458"/>
    <w:rsid w:val="776E39F1"/>
    <w:rsid w:val="77701517"/>
    <w:rsid w:val="777D3C34"/>
    <w:rsid w:val="779A6594"/>
    <w:rsid w:val="77A2369A"/>
    <w:rsid w:val="77A83FA1"/>
    <w:rsid w:val="77C27899"/>
    <w:rsid w:val="77CD6969"/>
    <w:rsid w:val="77EE068E"/>
    <w:rsid w:val="77F9150C"/>
    <w:rsid w:val="780A371A"/>
    <w:rsid w:val="780D4FB8"/>
    <w:rsid w:val="780F6F82"/>
    <w:rsid w:val="781F4CEB"/>
    <w:rsid w:val="78210A63"/>
    <w:rsid w:val="783562BD"/>
    <w:rsid w:val="7840713B"/>
    <w:rsid w:val="785B21C7"/>
    <w:rsid w:val="785C1A9B"/>
    <w:rsid w:val="78680440"/>
    <w:rsid w:val="78874D6A"/>
    <w:rsid w:val="78B6564F"/>
    <w:rsid w:val="78BB4A14"/>
    <w:rsid w:val="78BC253A"/>
    <w:rsid w:val="78E35D19"/>
    <w:rsid w:val="78E81581"/>
    <w:rsid w:val="78F16688"/>
    <w:rsid w:val="79020895"/>
    <w:rsid w:val="79116D2A"/>
    <w:rsid w:val="791D747D"/>
    <w:rsid w:val="792A1B99"/>
    <w:rsid w:val="793842B6"/>
    <w:rsid w:val="79537342"/>
    <w:rsid w:val="795B1D53"/>
    <w:rsid w:val="795B7FA5"/>
    <w:rsid w:val="796432FD"/>
    <w:rsid w:val="796926C2"/>
    <w:rsid w:val="799E680F"/>
    <w:rsid w:val="79A436FA"/>
    <w:rsid w:val="79A8143C"/>
    <w:rsid w:val="79BA2F1D"/>
    <w:rsid w:val="79BF22E2"/>
    <w:rsid w:val="79C2046E"/>
    <w:rsid w:val="79CF6ED7"/>
    <w:rsid w:val="79DD6C0C"/>
    <w:rsid w:val="79FA77BE"/>
    <w:rsid w:val="79FD2E0A"/>
    <w:rsid w:val="7A010B4C"/>
    <w:rsid w:val="7A0348C4"/>
    <w:rsid w:val="7A1563A6"/>
    <w:rsid w:val="7A1940E8"/>
    <w:rsid w:val="7A37456E"/>
    <w:rsid w:val="7A3E58FC"/>
    <w:rsid w:val="7A4647B1"/>
    <w:rsid w:val="7A4F18B8"/>
    <w:rsid w:val="7A546ECE"/>
    <w:rsid w:val="7A6115EB"/>
    <w:rsid w:val="7A6B246A"/>
    <w:rsid w:val="7A6F5AB6"/>
    <w:rsid w:val="7A74131E"/>
    <w:rsid w:val="7A796935"/>
    <w:rsid w:val="7A9D6AC7"/>
    <w:rsid w:val="7AAD4830"/>
    <w:rsid w:val="7ADB139D"/>
    <w:rsid w:val="7AE73542"/>
    <w:rsid w:val="7B024B7C"/>
    <w:rsid w:val="7B0F1047"/>
    <w:rsid w:val="7B29035B"/>
    <w:rsid w:val="7B31720F"/>
    <w:rsid w:val="7B346CFF"/>
    <w:rsid w:val="7B474C85"/>
    <w:rsid w:val="7B4A02D1"/>
    <w:rsid w:val="7B5B0730"/>
    <w:rsid w:val="7B62561B"/>
    <w:rsid w:val="7B694BFB"/>
    <w:rsid w:val="7B6C0247"/>
    <w:rsid w:val="7B727BD7"/>
    <w:rsid w:val="7B7315D6"/>
    <w:rsid w:val="7B7535A0"/>
    <w:rsid w:val="7B9B28DB"/>
    <w:rsid w:val="7BB12E18"/>
    <w:rsid w:val="7BB5326F"/>
    <w:rsid w:val="7BB87930"/>
    <w:rsid w:val="7BD1454E"/>
    <w:rsid w:val="7BDC53CD"/>
    <w:rsid w:val="7BF070CA"/>
    <w:rsid w:val="7BF85F7F"/>
    <w:rsid w:val="7C0466D2"/>
    <w:rsid w:val="7C093CE8"/>
    <w:rsid w:val="7C136915"/>
    <w:rsid w:val="7C280612"/>
    <w:rsid w:val="7C286EE2"/>
    <w:rsid w:val="7C2E374F"/>
    <w:rsid w:val="7C466CEA"/>
    <w:rsid w:val="7C727ADF"/>
    <w:rsid w:val="7C817D22"/>
    <w:rsid w:val="7C8F243F"/>
    <w:rsid w:val="7CAB2FF1"/>
    <w:rsid w:val="7CBB3234"/>
    <w:rsid w:val="7CC071B7"/>
    <w:rsid w:val="7CCA16C9"/>
    <w:rsid w:val="7CDC31AB"/>
    <w:rsid w:val="7CDE5175"/>
    <w:rsid w:val="7CE32770"/>
    <w:rsid w:val="7CF6426C"/>
    <w:rsid w:val="7D1868D9"/>
    <w:rsid w:val="7D197F5B"/>
    <w:rsid w:val="7D1D17B7"/>
    <w:rsid w:val="7D23702C"/>
    <w:rsid w:val="7D2F3C22"/>
    <w:rsid w:val="7D31799A"/>
    <w:rsid w:val="7D382AD7"/>
    <w:rsid w:val="7D4274B2"/>
    <w:rsid w:val="7D6A6A08"/>
    <w:rsid w:val="7D747887"/>
    <w:rsid w:val="7D821FA4"/>
    <w:rsid w:val="7D99109C"/>
    <w:rsid w:val="7D9F2B56"/>
    <w:rsid w:val="7E01111B"/>
    <w:rsid w:val="7E2117BD"/>
    <w:rsid w:val="7E265025"/>
    <w:rsid w:val="7E3A63DB"/>
    <w:rsid w:val="7E5C27F5"/>
    <w:rsid w:val="7E5F4093"/>
    <w:rsid w:val="7E786F03"/>
    <w:rsid w:val="7E957AB5"/>
    <w:rsid w:val="7E97382D"/>
    <w:rsid w:val="7EA30424"/>
    <w:rsid w:val="7EAD12A3"/>
    <w:rsid w:val="7EC34622"/>
    <w:rsid w:val="7ED24865"/>
    <w:rsid w:val="7ED74932"/>
    <w:rsid w:val="7EF42A2E"/>
    <w:rsid w:val="7F0013D2"/>
    <w:rsid w:val="7F004419"/>
    <w:rsid w:val="7F0864D9"/>
    <w:rsid w:val="7F0C5FC9"/>
    <w:rsid w:val="7F1135E0"/>
    <w:rsid w:val="7F280963"/>
    <w:rsid w:val="7F376DBE"/>
    <w:rsid w:val="7F4339B5"/>
    <w:rsid w:val="7F4D213E"/>
    <w:rsid w:val="7F4F5EB6"/>
    <w:rsid w:val="7F511C2E"/>
    <w:rsid w:val="7F567244"/>
    <w:rsid w:val="7F932247"/>
    <w:rsid w:val="7F9D4E73"/>
    <w:rsid w:val="7FA2692E"/>
    <w:rsid w:val="7FB65F35"/>
    <w:rsid w:val="7FC06DB4"/>
    <w:rsid w:val="7FD60385"/>
    <w:rsid w:val="7FDA7E75"/>
    <w:rsid w:val="7FE01204"/>
    <w:rsid w:val="7FE26D2A"/>
    <w:rsid w:val="7FE900B8"/>
    <w:rsid w:val="7FEA3E31"/>
    <w:rsid w:val="7FF07699"/>
    <w:rsid w:val="7FF13411"/>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420" w:leftChars="200"/>
    </w:pPr>
  </w:style>
  <w:style w:type="paragraph" w:customStyle="1" w:styleId="1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
    <w:name w:val="font31"/>
    <w:basedOn w:val="15"/>
    <w:qFormat/>
    <w:uiPriority w:val="0"/>
    <w:rPr>
      <w:rFonts w:hint="eastAsia" w:ascii="仿宋_GB2312" w:eastAsia="仿宋_GB2312" w:cs="仿宋_GB2312"/>
      <w:color w:val="000000"/>
      <w:sz w:val="22"/>
      <w:szCs w:val="22"/>
      <w:u w:val="none"/>
      <w:vertAlign w:val="superscript"/>
    </w:rPr>
  </w:style>
  <w:style w:type="character" w:customStyle="1" w:styleId="18">
    <w:name w:val="font41"/>
    <w:basedOn w:val="15"/>
    <w:qFormat/>
    <w:uiPriority w:val="0"/>
    <w:rPr>
      <w:rFonts w:hint="eastAsia" w:ascii="仿宋_GB2312" w:eastAsia="仿宋_GB2312" w:cs="仿宋_GB2312"/>
      <w:color w:val="000000"/>
      <w:sz w:val="22"/>
      <w:szCs w:val="22"/>
      <w:u w:val="none"/>
      <w:vertAlign w:val="subscript"/>
    </w:rPr>
  </w:style>
  <w:style w:type="character" w:customStyle="1" w:styleId="19">
    <w:name w:val="font11"/>
    <w:basedOn w:val="15"/>
    <w:qFormat/>
    <w:uiPriority w:val="0"/>
    <w:rPr>
      <w:rFonts w:hint="eastAsia" w:ascii="仿宋_GB2312" w:eastAsia="仿宋_GB2312" w:cs="仿宋_GB2312"/>
      <w:color w:val="000000"/>
      <w:sz w:val="22"/>
      <w:szCs w:val="22"/>
      <w:u w:val="none"/>
    </w:rPr>
  </w:style>
  <w:style w:type="character" w:customStyle="1" w:styleId="20">
    <w:name w:val="font21"/>
    <w:basedOn w:val="15"/>
    <w:qFormat/>
    <w:uiPriority w:val="0"/>
    <w:rPr>
      <w:rFonts w:hint="eastAsia" w:ascii="仿宋_GB2312" w:eastAsia="仿宋_GB2312" w:cs="仿宋_GB2312"/>
      <w:b/>
      <w:bCs/>
      <w:color w:val="000000"/>
      <w:sz w:val="24"/>
      <w:szCs w:val="24"/>
      <w:u w:val="none"/>
    </w:rPr>
  </w:style>
  <w:style w:type="character" w:customStyle="1" w:styleId="21">
    <w:name w:val="font51"/>
    <w:basedOn w:val="15"/>
    <w:qFormat/>
    <w:uiPriority w:val="0"/>
    <w:rPr>
      <w:rFonts w:hint="eastAsia" w:ascii="仿宋_GB2312" w:eastAsia="仿宋_GB2312" w:cs="仿宋_GB2312"/>
      <w:color w:val="000000"/>
      <w:sz w:val="22"/>
      <w:szCs w:val="22"/>
      <w:u w:val="none"/>
      <w:vertAlign w:val="subscript"/>
    </w:rPr>
  </w:style>
  <w:style w:type="paragraph" w:customStyle="1" w:styleId="22">
    <w:name w:val="标准文件_一级条标题"/>
    <w:basedOn w:val="23"/>
    <w:next w:val="16"/>
    <w:autoRedefine/>
    <w:qFormat/>
    <w:uiPriority w:val="0"/>
    <w:pPr>
      <w:numPr>
        <w:ilvl w:val="2"/>
      </w:numPr>
      <w:spacing w:before="50" w:beforeLines="50" w:after="50" w:afterLines="50"/>
      <w:outlineLvl w:val="1"/>
    </w:pPr>
  </w:style>
  <w:style w:type="paragraph" w:customStyle="1" w:styleId="23">
    <w:name w:val="标准文件_章标题"/>
    <w:next w:val="16"/>
    <w:autoRedefine/>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24">
    <w:name w:val="font71"/>
    <w:basedOn w:val="15"/>
    <w:qFormat/>
    <w:uiPriority w:val="0"/>
    <w:rPr>
      <w:rFonts w:ascii="仿宋_GB2312" w:eastAsia="仿宋_GB2312" w:cs="仿宋_GB2312"/>
      <w:b/>
      <w:bCs/>
      <w:color w:val="000000"/>
      <w:sz w:val="20"/>
      <w:szCs w:val="20"/>
      <w:u w:val="none"/>
    </w:rPr>
  </w:style>
  <w:style w:type="character" w:customStyle="1" w:styleId="25">
    <w:name w:val="font12"/>
    <w:basedOn w:val="15"/>
    <w:qFormat/>
    <w:uiPriority w:val="0"/>
    <w:rPr>
      <w:rFonts w:hint="default" w:ascii="Times New Roman" w:hAnsi="Times New Roman" w:cs="Times New Roman"/>
      <w:color w:val="000000"/>
      <w:sz w:val="22"/>
      <w:szCs w:val="22"/>
      <w:u w:val="none"/>
    </w:rPr>
  </w:style>
  <w:style w:type="character" w:customStyle="1" w:styleId="26">
    <w:name w:val="font81"/>
    <w:basedOn w:val="15"/>
    <w:qFormat/>
    <w:uiPriority w:val="0"/>
    <w:rPr>
      <w:rFonts w:hint="default" w:ascii="Times New Roman" w:hAnsi="Times New Roman" w:cs="Times New Roman"/>
      <w:b/>
      <w:bCs/>
      <w:color w:val="FF0000"/>
      <w:sz w:val="22"/>
      <w:szCs w:val="22"/>
      <w:u w:val="none"/>
    </w:rPr>
  </w:style>
  <w:style w:type="character" w:customStyle="1" w:styleId="27">
    <w:name w:val="font91"/>
    <w:basedOn w:val="15"/>
    <w:qFormat/>
    <w:uiPriority w:val="0"/>
    <w:rPr>
      <w:rFonts w:hint="default" w:ascii="Times New Roman" w:hAnsi="Times New Roman" w:cs="Times New Roman"/>
      <w:b/>
      <w:bCs/>
      <w:color w:val="FF0000"/>
      <w:sz w:val="22"/>
      <w:szCs w:val="22"/>
      <w:u w:val="none"/>
      <w:vertAlign w:val="superscript"/>
    </w:rPr>
  </w:style>
  <w:style w:type="character" w:customStyle="1" w:styleId="28">
    <w:name w:val="font61"/>
    <w:basedOn w:val="15"/>
    <w:qFormat/>
    <w:uiPriority w:val="0"/>
    <w:rPr>
      <w:rFonts w:hint="default" w:ascii="Times New Roman" w:hAnsi="Times New Roman" w:cs="Times New Roman"/>
      <w:color w:val="FF0000"/>
      <w:sz w:val="22"/>
      <w:szCs w:val="22"/>
      <w:u w:val="none"/>
    </w:rPr>
  </w:style>
  <w:style w:type="character" w:customStyle="1" w:styleId="29">
    <w:name w:val="font101"/>
    <w:basedOn w:val="15"/>
    <w:qFormat/>
    <w:uiPriority w:val="0"/>
    <w:rPr>
      <w:rFonts w:hint="default" w:ascii="Times New Roman" w:hAnsi="Times New Roman" w:cs="Times New Roman"/>
      <w:color w:val="FF0000"/>
      <w:sz w:val="22"/>
      <w:szCs w:val="22"/>
      <w:u w:val="none"/>
      <w:vertAlign w:val="superscript"/>
    </w:rPr>
  </w:style>
  <w:style w:type="character" w:customStyle="1" w:styleId="30">
    <w:name w:val="font112"/>
    <w:basedOn w:val="15"/>
    <w:qFormat/>
    <w:uiPriority w:val="0"/>
    <w:rPr>
      <w:rFonts w:hint="default" w:ascii="Times New Roman" w:hAnsi="Times New Roman" w:cs="Times New Roman"/>
      <w:color w:val="000000"/>
      <w:sz w:val="22"/>
      <w:szCs w:val="22"/>
      <w:u w:val="none"/>
      <w:vertAlign w:val="superscript"/>
    </w:rPr>
  </w:style>
  <w:style w:type="character" w:customStyle="1" w:styleId="31">
    <w:name w:val="font121"/>
    <w:basedOn w:val="15"/>
    <w:qFormat/>
    <w:uiPriority w:val="0"/>
    <w:rPr>
      <w:rFonts w:hint="eastAsia" w:ascii="仿宋_GB2312" w:eastAsia="仿宋_GB2312" w:cs="仿宋_GB2312"/>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1.wmf"/><Relationship Id="rId28" Type="http://schemas.openxmlformats.org/officeDocument/2006/relationships/oleObject" Target="embeddings/oleObject11.bin"/><Relationship Id="rId27" Type="http://schemas.openxmlformats.org/officeDocument/2006/relationships/image" Target="media/image10.wmf"/><Relationship Id="rId26" Type="http://schemas.openxmlformats.org/officeDocument/2006/relationships/oleObject" Target="embeddings/oleObject10.bin"/><Relationship Id="rId25" Type="http://schemas.openxmlformats.org/officeDocument/2006/relationships/image" Target="media/image9.wmf"/><Relationship Id="rId24" Type="http://schemas.openxmlformats.org/officeDocument/2006/relationships/oleObject" Target="embeddings/oleObject9.bin"/><Relationship Id="rId23" Type="http://schemas.openxmlformats.org/officeDocument/2006/relationships/image" Target="media/image8.wmf"/><Relationship Id="rId22" Type="http://schemas.openxmlformats.org/officeDocument/2006/relationships/oleObject" Target="embeddings/oleObject8.bin"/><Relationship Id="rId21" Type="http://schemas.openxmlformats.org/officeDocument/2006/relationships/image" Target="media/image7.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6.bin"/><Relationship Id="rId17" Type="http://schemas.openxmlformats.org/officeDocument/2006/relationships/image" Target="media/image5.wmf"/><Relationship Id="rId16" Type="http://schemas.openxmlformats.org/officeDocument/2006/relationships/oleObject" Target="embeddings/oleObject5.bin"/><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8" textRotate="1"/>
    <customShpInfo spid="_x0000_s1027" textRotate="1"/>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272</Words>
  <Characters>286</Characters>
  <Lines>0</Lines>
  <Paragraphs>0</Paragraphs>
  <TotalTime>3</TotalTime>
  <ScaleCrop>false</ScaleCrop>
  <LinksUpToDate>false</LinksUpToDate>
  <CharactersWithSpaces>318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2024-09-03T09:56:00Z</dcterms:created>
  <dc:creator>2020</dc:creator>
  <cp:lastModifiedBy>天韵灵音</cp:lastModifiedBy>
  <dcterms:modified xsi:type="dcterms:W3CDTF">2024-11-12T01:54:21Z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3A4E2A282EFF48D2A90479D40B99024B_12</vt:lpwstr>
  </property>
</Properties>
</file>