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A7FCCA">
      <w:pPr>
        <w:spacing w:line="600" w:lineRule="exact"/>
        <w:jc w:val="center"/>
        <w:rPr>
          <w:rFonts w:ascii="Times New Roman" w:hAnsi="Times New Roman" w:eastAsia="方正小标宋简体" w:cs="微软雅黑"/>
          <w:sz w:val="44"/>
          <w:szCs w:val="44"/>
        </w:rPr>
      </w:pPr>
      <w:r>
        <w:rPr>
          <w:rFonts w:hint="eastAsia" w:ascii="Times New Roman" w:hAnsi="Times New Roman" w:eastAsia="方正小标宋简体" w:cs="微软雅黑"/>
          <w:sz w:val="44"/>
          <w:szCs w:val="44"/>
        </w:rPr>
        <w:t>贵阳市生态城市发展基金管理办法（试行）</w:t>
      </w:r>
    </w:p>
    <w:p w14:paraId="403D8AF6">
      <w:pPr>
        <w:spacing w:line="600" w:lineRule="exact"/>
        <w:rPr>
          <w:rFonts w:ascii="Times New Roman" w:hAnsi="Times New Roman" w:eastAsia="方正小标宋简体"/>
        </w:rPr>
      </w:pPr>
    </w:p>
    <w:p w14:paraId="5F293351">
      <w:pPr>
        <w:pStyle w:val="16"/>
        <w:spacing w:line="600" w:lineRule="exact"/>
        <w:ind w:firstLine="0" w:firstLineChars="0"/>
        <w:jc w:val="center"/>
        <w:outlineLvl w:val="0"/>
        <w:rPr>
          <w:rFonts w:ascii="Times New Roman" w:hAnsi="Times New Roman" w:eastAsia="黑体" w:cs="黑体"/>
          <w:spacing w:val="-10"/>
          <w:sz w:val="36"/>
          <w:szCs w:val="36"/>
        </w:rPr>
      </w:pPr>
      <w:r>
        <w:rPr>
          <w:rFonts w:hint="eastAsia" w:ascii="Times New Roman" w:hAnsi="Times New Roman" w:eastAsia="黑体" w:cs="黑体"/>
          <w:spacing w:val="-10"/>
          <w:sz w:val="36"/>
          <w:szCs w:val="36"/>
        </w:rPr>
        <w:t>第一章  总</w:t>
      </w:r>
      <w:r>
        <w:rPr>
          <w:rFonts w:hint="eastAsia" w:ascii="Times New Roman" w:hAnsi="Times New Roman" w:eastAsia="黑体" w:cs="黑体"/>
          <w:spacing w:val="9"/>
          <w:sz w:val="36"/>
          <w:szCs w:val="36"/>
        </w:rPr>
        <w:t xml:space="preserve">  </w:t>
      </w:r>
      <w:r>
        <w:rPr>
          <w:rFonts w:hint="eastAsia" w:ascii="Times New Roman" w:hAnsi="Times New Roman" w:eastAsia="黑体" w:cs="黑体"/>
          <w:spacing w:val="-10"/>
          <w:sz w:val="36"/>
          <w:szCs w:val="36"/>
        </w:rPr>
        <w:t>则</w:t>
      </w:r>
    </w:p>
    <w:p w14:paraId="2BB24691">
      <w:pPr>
        <w:spacing w:line="600" w:lineRule="exact"/>
        <w:rPr>
          <w:rFonts w:ascii="Times New Roman" w:hAnsi="Times New Roman"/>
        </w:rPr>
      </w:pPr>
    </w:p>
    <w:p w14:paraId="098150FC">
      <w:pPr>
        <w:pStyle w:val="3"/>
        <w:spacing w:line="600" w:lineRule="exact"/>
        <w:ind w:firstLine="711" w:firstLineChars="200"/>
        <w:rPr>
          <w:rFonts w:ascii="Times New Roman" w:hAnsi="Times New Roman" w:eastAsia="仿宋_GB2312" w:cs="仿宋_GB2312"/>
          <w:sz w:val="32"/>
          <w:szCs w:val="32"/>
          <w:lang w:eastAsia="zh-CN"/>
        </w:rPr>
      </w:pPr>
      <w:r>
        <w:rPr>
          <w:rFonts w:hint="eastAsia" w:ascii="Times New Roman" w:hAnsi="Times New Roman" w:eastAsia="仿宋_GB2312" w:cs="仿宋_GB2312"/>
          <w:b/>
          <w:bCs/>
          <w:spacing w:val="17"/>
          <w:sz w:val="32"/>
          <w:szCs w:val="32"/>
          <w:lang w:eastAsia="zh-CN"/>
        </w:rPr>
        <w:t>第一条</w:t>
      </w:r>
      <w:r>
        <w:rPr>
          <w:rFonts w:hint="eastAsia" w:ascii="Times New Roman" w:hAnsi="Times New Roman" w:eastAsia="黑体" w:cs="黑体"/>
          <w:spacing w:val="17"/>
          <w:sz w:val="32"/>
          <w:szCs w:val="32"/>
          <w:lang w:eastAsia="zh-CN"/>
        </w:rPr>
        <w:t xml:space="preserve">  </w:t>
      </w:r>
      <w:r>
        <w:rPr>
          <w:rFonts w:hint="eastAsia" w:ascii="Times New Roman" w:hAnsi="Times New Roman" w:eastAsia="仿宋_GB2312" w:cs="仿宋_GB2312"/>
          <w:spacing w:val="17"/>
          <w:sz w:val="32"/>
          <w:szCs w:val="32"/>
          <w:lang w:eastAsia="zh-CN"/>
        </w:rPr>
        <w:t>为规范贵阳市生态城市发展基金（以下简称生态城市基金）</w:t>
      </w:r>
      <w:r>
        <w:rPr>
          <w:rFonts w:hint="eastAsia" w:ascii="Times New Roman" w:hAnsi="Times New Roman" w:eastAsia="仿宋_GB2312" w:cs="仿宋_GB2312"/>
          <w:spacing w:val="16"/>
          <w:sz w:val="32"/>
          <w:szCs w:val="32"/>
          <w:lang w:eastAsia="zh-CN"/>
        </w:rPr>
        <w:t>管理和运作，根据</w:t>
      </w:r>
      <w:r>
        <w:rPr>
          <w:rFonts w:hint="eastAsia" w:ascii="Times New Roman" w:hAnsi="Times New Roman" w:eastAsia="仿宋_GB2312" w:cs="仿宋_GB2312"/>
          <w:spacing w:val="6"/>
          <w:sz w:val="32"/>
          <w:szCs w:val="32"/>
          <w:lang w:eastAsia="zh-CN"/>
        </w:rPr>
        <w:t>《财政部关于印发政府投</w:t>
      </w:r>
      <w:r>
        <w:rPr>
          <w:rFonts w:hint="eastAsia" w:ascii="Times New Roman" w:hAnsi="Times New Roman" w:eastAsia="仿宋_GB2312" w:cs="仿宋_GB2312"/>
          <w:spacing w:val="5"/>
          <w:sz w:val="32"/>
          <w:szCs w:val="32"/>
          <w:lang w:eastAsia="zh-CN"/>
        </w:rPr>
        <w:t>资基金暂行管</w:t>
      </w:r>
      <w:r>
        <w:rPr>
          <w:rFonts w:hint="eastAsia" w:ascii="Times New Roman" w:hAnsi="Times New Roman" w:eastAsia="仿宋_GB2312" w:cs="仿宋_GB2312"/>
          <w:spacing w:val="-12"/>
          <w:sz w:val="32"/>
          <w:szCs w:val="32"/>
          <w:lang w:eastAsia="zh-CN"/>
        </w:rPr>
        <w:t>理办法的通知》（财预〔2015〕210号）、《财政部</w:t>
      </w:r>
      <w:r>
        <w:rPr>
          <w:rFonts w:hint="eastAsia" w:ascii="Times New Roman" w:hAnsi="Times New Roman" w:eastAsia="仿宋_GB2312" w:cs="仿宋_GB2312"/>
          <w:spacing w:val="-13"/>
          <w:sz w:val="32"/>
          <w:szCs w:val="32"/>
          <w:lang w:eastAsia="zh-CN"/>
        </w:rPr>
        <w:t>关于财政资金</w:t>
      </w:r>
      <w:r>
        <w:rPr>
          <w:rFonts w:hint="eastAsia" w:ascii="Times New Roman" w:hAnsi="Times New Roman" w:eastAsia="仿宋_GB2312" w:cs="仿宋_GB2312"/>
          <w:spacing w:val="-5"/>
          <w:sz w:val="32"/>
          <w:szCs w:val="32"/>
          <w:lang w:eastAsia="zh-CN"/>
        </w:rPr>
        <w:t>注资政府投资基金支持产业发展的指导意见》（财建〔2015〕1062</w:t>
      </w:r>
      <w:r>
        <w:rPr>
          <w:rFonts w:hint="eastAsia" w:ascii="Times New Roman" w:hAnsi="Times New Roman" w:eastAsia="仿宋_GB2312" w:cs="仿宋_GB2312"/>
          <w:spacing w:val="-10"/>
          <w:sz w:val="32"/>
          <w:szCs w:val="32"/>
          <w:lang w:eastAsia="zh-CN"/>
        </w:rPr>
        <w:t>号）《财政部关于加强政府投资基金管理提高财政出</w:t>
      </w:r>
      <w:r>
        <w:rPr>
          <w:rFonts w:hint="eastAsia" w:ascii="Times New Roman" w:hAnsi="Times New Roman" w:eastAsia="仿宋_GB2312" w:cs="仿宋_GB2312"/>
          <w:spacing w:val="-11"/>
          <w:sz w:val="32"/>
          <w:szCs w:val="32"/>
          <w:lang w:eastAsia="zh-CN"/>
        </w:rPr>
        <w:t>资效益的通</w:t>
      </w:r>
      <w:r>
        <w:rPr>
          <w:rFonts w:hint="eastAsia" w:ascii="Times New Roman" w:hAnsi="Times New Roman" w:eastAsia="仿宋_GB2312" w:cs="仿宋_GB2312"/>
          <w:spacing w:val="-13"/>
          <w:sz w:val="32"/>
          <w:szCs w:val="32"/>
          <w:lang w:eastAsia="zh-CN"/>
        </w:rPr>
        <w:t>知》（财预〔2020〕7号）《省人民政府办公厅关于推进政府投资</w:t>
      </w:r>
      <w:r>
        <w:rPr>
          <w:rFonts w:hint="eastAsia" w:ascii="Times New Roman" w:hAnsi="Times New Roman" w:eastAsia="仿宋_GB2312" w:cs="仿宋_GB2312"/>
          <w:spacing w:val="-17"/>
          <w:sz w:val="32"/>
          <w:szCs w:val="32"/>
          <w:lang w:eastAsia="zh-CN"/>
        </w:rPr>
        <w:t>基金高质量发展的意见》（黔府办发〔2020〕24号）《市人民政府</w:t>
      </w:r>
      <w:r>
        <w:rPr>
          <w:rFonts w:hint="eastAsia" w:ascii="Times New Roman" w:hAnsi="Times New Roman" w:eastAsia="仿宋_GB2312" w:cs="仿宋_GB2312"/>
          <w:spacing w:val="11"/>
          <w:sz w:val="32"/>
          <w:szCs w:val="32"/>
          <w:lang w:eastAsia="zh-CN"/>
        </w:rPr>
        <w:t>办公厅 贵安新区办公室关于推进政府投资基金高质量发展的指</w:t>
      </w:r>
      <w:r>
        <w:rPr>
          <w:rFonts w:hint="eastAsia" w:ascii="Times New Roman" w:hAnsi="Times New Roman" w:eastAsia="仿宋_GB2312" w:cs="仿宋_GB2312"/>
          <w:spacing w:val="-22"/>
          <w:sz w:val="32"/>
          <w:szCs w:val="32"/>
          <w:lang w:eastAsia="zh-CN"/>
        </w:rPr>
        <w:t>导意见（试行）》（筑府办发〔2024〕6号）《</w:t>
      </w:r>
      <w:r>
        <w:rPr>
          <w:rFonts w:hint="eastAsia" w:ascii="Times New Roman" w:hAnsi="Times New Roman" w:eastAsia="仿宋_GB2312" w:cs="仿宋_GB2312"/>
          <w:spacing w:val="-5"/>
          <w:sz w:val="32"/>
          <w:szCs w:val="32"/>
          <w:lang w:eastAsia="zh-CN"/>
        </w:rPr>
        <w:t>贵阳市政府投资基金优化整合实施方案》</w:t>
      </w:r>
      <w:r>
        <w:rPr>
          <w:rFonts w:hint="eastAsia" w:ascii="Times New Roman" w:hAnsi="Times New Roman" w:eastAsia="仿宋_GB2312" w:cs="仿宋_GB2312"/>
          <w:spacing w:val="16"/>
          <w:sz w:val="32"/>
          <w:szCs w:val="32"/>
          <w:lang w:eastAsia="zh-CN"/>
        </w:rPr>
        <w:t>《贵阳市政府投资基金管理办法（试行）》</w:t>
      </w:r>
      <w:bookmarkStart w:id="0" w:name="OLE_LINK2"/>
      <w:r>
        <w:rPr>
          <w:rFonts w:hint="eastAsia" w:ascii="Times New Roman" w:hAnsi="Times New Roman" w:eastAsia="仿宋_GB2312" w:cs="仿宋_GB2312"/>
          <w:spacing w:val="16"/>
          <w:sz w:val="32"/>
          <w:szCs w:val="32"/>
          <w:lang w:eastAsia="zh-CN"/>
        </w:rPr>
        <w:t>《</w:t>
      </w:r>
      <w:bookmarkEnd w:id="0"/>
      <w:r>
        <w:rPr>
          <w:rFonts w:hint="eastAsia" w:ascii="Times New Roman" w:hAnsi="Times New Roman" w:eastAsia="仿宋_GB2312" w:cs="仿宋_GB2312"/>
          <w:spacing w:val="16"/>
          <w:sz w:val="32"/>
          <w:szCs w:val="32"/>
          <w:lang w:eastAsia="zh-CN"/>
        </w:rPr>
        <w:t>贵阳市政府投资基金管理办法实施细则（试行）》</w:t>
      </w:r>
      <w:r>
        <w:rPr>
          <w:rFonts w:hint="eastAsia" w:ascii="Times New Roman" w:hAnsi="Times New Roman" w:eastAsia="仿宋_GB2312" w:cs="仿宋_GB2312"/>
          <w:spacing w:val="-17"/>
          <w:sz w:val="32"/>
          <w:szCs w:val="32"/>
          <w:lang w:eastAsia="zh-CN"/>
        </w:rPr>
        <w:t>《贵阳市生态城市发展基金组建方案》</w:t>
      </w:r>
      <w:r>
        <w:rPr>
          <w:rFonts w:hint="eastAsia" w:ascii="Times New Roman" w:hAnsi="Times New Roman" w:eastAsia="仿宋_GB2312" w:cs="仿宋_GB2312"/>
          <w:sz w:val="32"/>
          <w:szCs w:val="32"/>
          <w:lang w:eastAsia="zh-CN"/>
        </w:rPr>
        <w:t>等文件精神，结合贵阳市实际，制定本办法。</w:t>
      </w:r>
    </w:p>
    <w:p w14:paraId="48E94DFA">
      <w:pPr>
        <w:pStyle w:val="3"/>
        <w:spacing w:line="600" w:lineRule="exact"/>
        <w:ind w:firstLine="711" w:firstLineChars="200"/>
        <w:rPr>
          <w:rFonts w:ascii="Times New Roman" w:hAnsi="Times New Roman" w:eastAsia="仿宋_GB2312" w:cs="仿宋_GB2312"/>
          <w:b/>
          <w:bCs/>
          <w:spacing w:val="17"/>
          <w:sz w:val="32"/>
          <w:szCs w:val="32"/>
          <w:lang w:eastAsia="zh-CN"/>
        </w:rPr>
      </w:pPr>
      <w:r>
        <w:rPr>
          <w:rFonts w:hint="eastAsia" w:ascii="Times New Roman" w:hAnsi="Times New Roman" w:eastAsia="仿宋_GB2312" w:cs="仿宋_GB2312"/>
          <w:b/>
          <w:bCs/>
          <w:spacing w:val="17"/>
          <w:sz w:val="32"/>
          <w:szCs w:val="32"/>
          <w:lang w:eastAsia="zh-CN"/>
        </w:rPr>
        <w:t xml:space="preserve">第二条  </w:t>
      </w:r>
      <w:r>
        <w:rPr>
          <w:rFonts w:hint="eastAsia" w:ascii="Times New Roman" w:hAnsi="Times New Roman" w:eastAsia="仿宋_GB2312" w:cs="仿宋_GB2312"/>
          <w:spacing w:val="17"/>
          <w:sz w:val="32"/>
          <w:szCs w:val="32"/>
          <w:lang w:eastAsia="zh-CN"/>
        </w:rPr>
        <w:t>本办法所称生态城市基金，是指由各级政府通过预算安排，与国有企业、社会资本出资设立，采用股权投资等市场化方式，引导各类资本投资贵阳市新型城镇化、绿色低碳生态、城市文旅产业领域，支持全市“生态立市”六个生态建设。</w:t>
      </w:r>
    </w:p>
    <w:p w14:paraId="48EBD732">
      <w:pPr>
        <w:pStyle w:val="3"/>
        <w:spacing w:line="600" w:lineRule="exact"/>
        <w:ind w:firstLine="711" w:firstLineChars="200"/>
        <w:rPr>
          <w:rFonts w:ascii="Times New Roman" w:hAnsi="Times New Roman" w:eastAsia="仿宋_GB2312" w:cs="仿宋_GB2312"/>
          <w:sz w:val="32"/>
          <w:szCs w:val="32"/>
          <w:lang w:eastAsia="zh-CN"/>
        </w:rPr>
      </w:pPr>
      <w:r>
        <w:rPr>
          <w:rFonts w:hint="eastAsia" w:ascii="Times New Roman" w:hAnsi="Times New Roman" w:eastAsia="仿宋_GB2312" w:cs="仿宋_GB2312"/>
          <w:b/>
          <w:bCs/>
          <w:spacing w:val="17"/>
          <w:sz w:val="32"/>
          <w:szCs w:val="32"/>
          <w:lang w:eastAsia="zh-CN"/>
        </w:rPr>
        <w:t>第三条</w:t>
      </w:r>
      <w:r>
        <w:rPr>
          <w:rFonts w:hint="eastAsia" w:ascii="Times New Roman" w:hAnsi="Times New Roman" w:eastAsia="黑体" w:cs="黑体"/>
          <w:sz w:val="32"/>
          <w:szCs w:val="32"/>
          <w:lang w:eastAsia="zh-CN"/>
        </w:rPr>
        <w:t xml:space="preserve">  </w:t>
      </w:r>
      <w:r>
        <w:rPr>
          <w:rFonts w:hint="eastAsia" w:ascii="Times New Roman" w:hAnsi="Times New Roman" w:eastAsia="仿宋_GB2312" w:cs="仿宋_GB2312"/>
          <w:sz w:val="32"/>
          <w:szCs w:val="32"/>
          <w:lang w:eastAsia="zh-CN"/>
        </w:rPr>
        <w:t>生态城市基金是贵阳市基金管委会批准设立，由市级财政、国有企业和区（市、县、开发区）共同出资，贵阳市发展和改革委员会（以下简称市发展改革委）为行业主管部门，贵阳市久银私募基金管理有限公司（以下简称久银基金）为基金管理人的市级政府投资基金。</w:t>
      </w:r>
    </w:p>
    <w:p w14:paraId="73F8F601">
      <w:pPr>
        <w:spacing w:line="600" w:lineRule="exact"/>
        <w:ind w:firstLine="711" w:firstLineChars="200"/>
        <w:rPr>
          <w:rFonts w:ascii="Times New Roman" w:hAnsi="Times New Roman" w:cs="仿宋_GB2312"/>
          <w:szCs w:val="32"/>
        </w:rPr>
      </w:pPr>
      <w:r>
        <w:rPr>
          <w:rFonts w:hint="eastAsia" w:ascii="Times New Roman" w:hAnsi="Times New Roman" w:cs="仿宋_GB2312"/>
          <w:b/>
          <w:bCs/>
          <w:spacing w:val="17"/>
          <w:szCs w:val="32"/>
        </w:rPr>
        <w:t>第四条</w:t>
      </w:r>
      <w:r>
        <w:rPr>
          <w:rFonts w:hint="eastAsia" w:ascii="Times New Roman" w:hAnsi="Times New Roman" w:eastAsia="黑体" w:cs="黑体"/>
          <w:spacing w:val="10"/>
          <w:szCs w:val="32"/>
        </w:rPr>
        <w:t xml:space="preserve">  </w:t>
      </w:r>
      <w:r>
        <w:rPr>
          <w:rFonts w:hint="eastAsia" w:ascii="Times New Roman" w:hAnsi="Times New Roman" w:cs="仿宋_GB2312"/>
          <w:spacing w:val="-1"/>
          <w:szCs w:val="32"/>
        </w:rPr>
        <w:t>生态城市基金采用“母基金+子基金”的</w:t>
      </w:r>
      <w:r>
        <w:rPr>
          <w:rFonts w:hint="eastAsia" w:ascii="Times New Roman" w:hAnsi="Times New Roman" w:cs="仿宋_GB2312"/>
          <w:spacing w:val="-2"/>
          <w:szCs w:val="32"/>
        </w:rPr>
        <w:t>运作</w:t>
      </w:r>
      <w:r>
        <w:rPr>
          <w:rFonts w:hint="eastAsia" w:ascii="Times New Roman" w:hAnsi="Times New Roman" w:cs="仿宋_GB2312"/>
          <w:spacing w:val="5"/>
          <w:szCs w:val="32"/>
        </w:rPr>
        <w:t>架构，母基金</w:t>
      </w:r>
      <w:r>
        <w:rPr>
          <w:rFonts w:hint="eastAsia" w:ascii="Times New Roman" w:hAnsi="Times New Roman" w:cs="仿宋_GB2312"/>
          <w:szCs w:val="32"/>
        </w:rPr>
        <w:t>通过“战略性直投+参股子基金”方式进行投资。</w:t>
      </w:r>
    </w:p>
    <w:p w14:paraId="62DD026F">
      <w:pPr>
        <w:spacing w:line="600" w:lineRule="exact"/>
        <w:ind w:firstLine="711" w:firstLineChars="200"/>
        <w:rPr>
          <w:rFonts w:ascii="Times New Roman" w:hAnsi="Times New Roman" w:cs="仿宋_GB2312"/>
          <w:spacing w:val="-1"/>
          <w:szCs w:val="32"/>
        </w:rPr>
      </w:pPr>
      <w:r>
        <w:rPr>
          <w:rFonts w:hint="eastAsia" w:ascii="Times New Roman" w:hAnsi="Times New Roman" w:cs="仿宋_GB2312"/>
          <w:b/>
          <w:bCs/>
          <w:spacing w:val="17"/>
          <w:szCs w:val="32"/>
        </w:rPr>
        <w:t>第五条</w:t>
      </w:r>
      <w:r>
        <w:rPr>
          <w:rFonts w:hint="eastAsia" w:ascii="Times New Roman" w:hAnsi="Times New Roman" w:eastAsia="黑体" w:cs="黑体"/>
          <w:spacing w:val="6"/>
          <w:szCs w:val="32"/>
        </w:rPr>
        <w:t xml:space="preserve">  </w:t>
      </w:r>
      <w:r>
        <w:rPr>
          <w:rFonts w:hint="eastAsia" w:ascii="Times New Roman" w:hAnsi="Times New Roman" w:cs="仿宋_GB2312"/>
          <w:spacing w:val="6"/>
          <w:szCs w:val="32"/>
        </w:rPr>
        <w:t>生态城市基金</w:t>
      </w:r>
      <w:r>
        <w:rPr>
          <w:rFonts w:hint="eastAsia" w:ascii="Times New Roman" w:hAnsi="Times New Roman" w:cs="仿宋_GB2312"/>
          <w:spacing w:val="4"/>
          <w:szCs w:val="32"/>
        </w:rPr>
        <w:t>遵循“政府引导、市场运作、科学决</w:t>
      </w:r>
      <w:r>
        <w:rPr>
          <w:rFonts w:hint="eastAsia" w:ascii="Times New Roman" w:hAnsi="Times New Roman" w:cs="仿宋_GB2312"/>
          <w:spacing w:val="-1"/>
          <w:szCs w:val="32"/>
        </w:rPr>
        <w:t>策、防范风险”的原则，突出政策效果，兼顾经济效益，通过股权投资方式，引导和撬动金融机构等社会资本，围绕新型城镇化建设、绿色低碳生态建设及城市文旅产业发展等领域开展基金运作。</w:t>
      </w:r>
    </w:p>
    <w:p w14:paraId="230B9BA1">
      <w:pPr>
        <w:spacing w:line="600" w:lineRule="exact"/>
        <w:ind w:firstLine="711" w:firstLineChars="200"/>
        <w:rPr>
          <w:rFonts w:ascii="Times New Roman" w:hAnsi="Times New Roman" w:cs="仿宋_GB2312"/>
          <w:spacing w:val="-1"/>
          <w:szCs w:val="32"/>
          <w:highlight w:val="yellow"/>
        </w:rPr>
      </w:pPr>
      <w:r>
        <w:rPr>
          <w:rFonts w:hint="eastAsia" w:ascii="Times New Roman" w:hAnsi="Times New Roman" w:cs="仿宋_GB2312"/>
          <w:b/>
          <w:bCs/>
          <w:spacing w:val="17"/>
          <w:szCs w:val="32"/>
        </w:rPr>
        <w:t>第六条</w:t>
      </w:r>
      <w:r>
        <w:rPr>
          <w:rFonts w:hint="eastAsia" w:ascii="Times New Roman" w:hAnsi="Times New Roman" w:eastAsia="黑体" w:cs="黑体"/>
          <w:spacing w:val="6"/>
          <w:szCs w:val="32"/>
        </w:rPr>
        <w:t xml:space="preserve">  </w:t>
      </w:r>
      <w:r>
        <w:rPr>
          <w:rFonts w:hint="eastAsia" w:ascii="Times New Roman" w:hAnsi="Times New Roman" w:cs="仿宋_GB2312"/>
          <w:spacing w:val="-1"/>
          <w:szCs w:val="32"/>
        </w:rPr>
        <w:t>基金存续期为</w:t>
      </w:r>
      <w:r>
        <w:rPr>
          <w:rFonts w:ascii="Times New Roman" w:hAnsi="Times New Roman" w:cs="仿宋_GB2312"/>
          <w:spacing w:val="-1"/>
          <w:szCs w:val="32"/>
        </w:rPr>
        <w:t>15</w:t>
      </w:r>
      <w:r>
        <w:rPr>
          <w:rFonts w:hint="eastAsia" w:ascii="Times New Roman" w:hAnsi="Times New Roman" w:cs="仿宋_GB2312"/>
          <w:spacing w:val="-1"/>
          <w:szCs w:val="32"/>
        </w:rPr>
        <w:t>年（自基金设立登记之日起计算）。其中前</w:t>
      </w:r>
      <w:r>
        <w:rPr>
          <w:rFonts w:ascii="Times New Roman" w:hAnsi="Times New Roman" w:cs="仿宋_GB2312"/>
          <w:spacing w:val="-1"/>
          <w:szCs w:val="32"/>
        </w:rPr>
        <w:t>8</w:t>
      </w:r>
      <w:r>
        <w:rPr>
          <w:rFonts w:hint="eastAsia" w:ascii="Times New Roman" w:hAnsi="Times New Roman" w:cs="仿宋_GB2312"/>
          <w:spacing w:val="-1"/>
          <w:szCs w:val="32"/>
        </w:rPr>
        <w:t>年为投资期，投资期结束后进入退出期，投资期内项目资金回收后可滚动投资，基金到期后可视情况按程序延长。如需延长存续期，依法按有关规定办理。</w:t>
      </w:r>
      <w:r>
        <w:rPr>
          <w:rFonts w:ascii="Times New Roman" w:hAnsi="Times New Roman" w:cs="仿宋_GB2312"/>
          <w:color w:val="FF0000"/>
          <w:spacing w:val="-1"/>
          <w:szCs w:val="32"/>
        </w:rPr>
        <w:t xml:space="preserve"> </w:t>
      </w:r>
    </w:p>
    <w:p w14:paraId="3AEFB95F">
      <w:pPr>
        <w:spacing w:line="600" w:lineRule="exact"/>
        <w:ind w:firstLine="636" w:firstLineChars="200"/>
        <w:rPr>
          <w:rFonts w:ascii="Times New Roman" w:hAnsi="Times New Roman" w:eastAsia="黑体" w:cs="黑体"/>
          <w:spacing w:val="-1"/>
          <w:szCs w:val="32"/>
        </w:rPr>
      </w:pPr>
    </w:p>
    <w:p w14:paraId="4F753548">
      <w:pPr>
        <w:spacing w:line="600" w:lineRule="exact"/>
        <w:jc w:val="center"/>
        <w:rPr>
          <w:rFonts w:ascii="Times New Roman" w:hAnsi="Times New Roman" w:eastAsia="黑体" w:cs="黑体"/>
          <w:sz w:val="36"/>
          <w:szCs w:val="36"/>
        </w:rPr>
      </w:pPr>
      <w:r>
        <w:rPr>
          <w:rFonts w:hint="eastAsia" w:ascii="Times New Roman" w:hAnsi="Times New Roman" w:eastAsia="黑体" w:cs="黑体"/>
          <w:sz w:val="36"/>
          <w:szCs w:val="36"/>
        </w:rPr>
        <w:t>第二章  管理构架和职责分工</w:t>
      </w:r>
    </w:p>
    <w:p w14:paraId="51F627D2">
      <w:pPr>
        <w:spacing w:line="600" w:lineRule="exact"/>
        <w:ind w:firstLine="660" w:firstLineChars="200"/>
        <w:rPr>
          <w:rFonts w:ascii="Times New Roman" w:hAnsi="Times New Roman" w:eastAsia="黑体" w:cs="黑体"/>
          <w:spacing w:val="5"/>
          <w:szCs w:val="32"/>
        </w:rPr>
      </w:pPr>
    </w:p>
    <w:p w14:paraId="09D49E5D">
      <w:pPr>
        <w:spacing w:line="600" w:lineRule="exact"/>
        <w:ind w:firstLine="711" w:firstLineChars="200"/>
        <w:rPr>
          <w:rFonts w:ascii="Times New Roman" w:hAnsi="Times New Roman" w:cs="仿宋_GB2312"/>
          <w:spacing w:val="5"/>
          <w:szCs w:val="32"/>
        </w:rPr>
      </w:pPr>
      <w:r>
        <w:rPr>
          <w:rFonts w:hint="eastAsia" w:ascii="Times New Roman" w:hAnsi="Times New Roman" w:cs="仿宋_GB2312"/>
          <w:b/>
          <w:bCs/>
          <w:spacing w:val="17"/>
          <w:szCs w:val="32"/>
        </w:rPr>
        <w:t>第七条</w:t>
      </w:r>
      <w:r>
        <w:rPr>
          <w:rFonts w:hint="eastAsia" w:ascii="Times New Roman" w:hAnsi="Times New Roman" w:eastAsia="黑体" w:cs="黑体"/>
          <w:spacing w:val="5"/>
          <w:szCs w:val="32"/>
        </w:rPr>
        <w:t xml:space="preserve">  </w:t>
      </w:r>
      <w:r>
        <w:rPr>
          <w:rFonts w:hint="eastAsia" w:ascii="Times New Roman" w:hAnsi="Times New Roman" w:cs="仿宋_GB2312"/>
          <w:spacing w:val="5"/>
          <w:szCs w:val="32"/>
        </w:rPr>
        <w:t>市发展改革委负责研究制定生态城市基金绩效评价规章制度，制定生态城市基金管理相关管理细则或办法，并向基金工作机制和市基金管委会报备；负责指导</w:t>
      </w:r>
      <w:r>
        <w:rPr>
          <w:rFonts w:hint="eastAsia" w:ascii="Times New Roman" w:hAnsi="Times New Roman" w:cs="仿宋_GB2312"/>
          <w:spacing w:val="4"/>
          <w:szCs w:val="32"/>
        </w:rPr>
        <w:t>久银基金</w:t>
      </w:r>
      <w:r>
        <w:rPr>
          <w:rFonts w:hint="eastAsia" w:ascii="Times New Roman" w:hAnsi="Times New Roman" w:cs="仿宋_GB2312"/>
          <w:spacing w:val="5"/>
          <w:szCs w:val="32"/>
        </w:rPr>
        <w:t>制定直投项目及子基金申报指南</w:t>
      </w:r>
      <w:r>
        <w:rPr>
          <w:rFonts w:ascii="Times New Roman" w:hAnsi="Times New Roman" w:cs="仿宋_GB2312"/>
          <w:spacing w:val="5"/>
          <w:szCs w:val="32"/>
        </w:rPr>
        <w:t>/</w:t>
      </w:r>
      <w:r>
        <w:rPr>
          <w:rFonts w:hint="eastAsia" w:ascii="Times New Roman" w:hAnsi="Times New Roman" w:cs="仿宋_GB2312"/>
          <w:spacing w:val="5"/>
          <w:szCs w:val="32"/>
        </w:rPr>
        <w:t>遴选公告；向市基金管委会办公室报送本部门管理基金年度工作计划和总结报告，如有重大事项变更，及时向市基金管委会办公室报备；组织</w:t>
      </w:r>
      <w:r>
        <w:rPr>
          <w:rFonts w:hint="eastAsia" w:ascii="Times New Roman" w:hAnsi="Times New Roman" w:cs="仿宋_GB2312"/>
          <w:spacing w:val="3"/>
          <w:szCs w:val="32"/>
        </w:rPr>
        <w:t>实施生态城市基金自评，自评内容应包括但不限于上年绩</w:t>
      </w:r>
      <w:r>
        <w:rPr>
          <w:rFonts w:hint="eastAsia" w:ascii="Times New Roman" w:hAnsi="Times New Roman" w:cs="仿宋_GB2312"/>
          <w:spacing w:val="5"/>
          <w:szCs w:val="32"/>
        </w:rPr>
        <w:t>效目标实现情况、投资进度及投资质量的跟踪情况；根据绩效评价结果改进基金的预算支出管理；督促基金管理人做好已投项目的投后管理，并牵头协调相关资源，为生态城市基金的已投项目提供落地空间、政策等支持；完成基金工作机制和市基金管委会交办的其他工作任务。</w:t>
      </w:r>
    </w:p>
    <w:p w14:paraId="787CF287">
      <w:pPr>
        <w:widowControl/>
        <w:spacing w:line="600" w:lineRule="exact"/>
        <w:ind w:firstLine="711" w:firstLineChars="200"/>
        <w:rPr>
          <w:rFonts w:ascii="Times New Roman" w:hAnsi="Times New Roman" w:cs="仿宋_GB2312"/>
          <w:szCs w:val="32"/>
        </w:rPr>
      </w:pPr>
      <w:r>
        <w:rPr>
          <w:rFonts w:hint="eastAsia" w:ascii="Times New Roman" w:hAnsi="Times New Roman" w:cs="仿宋_GB2312"/>
          <w:b/>
          <w:bCs/>
          <w:spacing w:val="17"/>
          <w:szCs w:val="32"/>
        </w:rPr>
        <w:t>第八条</w:t>
      </w:r>
      <w:r>
        <w:rPr>
          <w:rFonts w:hint="eastAsia" w:ascii="Times New Roman" w:hAnsi="Times New Roman" w:eastAsia="黑体" w:cs="黑体"/>
          <w:spacing w:val="4"/>
          <w:szCs w:val="32"/>
        </w:rPr>
        <w:t xml:space="preserve">  </w:t>
      </w:r>
      <w:r>
        <w:rPr>
          <w:rFonts w:hint="eastAsia" w:ascii="Times New Roman" w:hAnsi="Times New Roman" w:cs="仿宋_GB2312"/>
          <w:spacing w:val="5"/>
          <w:szCs w:val="32"/>
        </w:rPr>
        <w:t>市财政局负责政府投资基金出资、绩效评价职责，包括：根据本级政府授权，履行本级财政资金出资人职责；组织开展绩效评价管理工作，督促、指导市发展改革委绩效自评工作，对基金管理绩效目标进行运行监控，对绩效评价结果进行初步认定，作为财政后续出资的依据；完成基金工作机制和市基金管委会交办的其他工作任务。</w:t>
      </w:r>
    </w:p>
    <w:p w14:paraId="5AA101C1">
      <w:pPr>
        <w:spacing w:line="600" w:lineRule="exact"/>
        <w:ind w:firstLine="711" w:firstLineChars="200"/>
        <w:rPr>
          <w:rFonts w:ascii="Times New Roman" w:hAnsi="Times New Roman" w:cs="仿宋_GB2312"/>
          <w:szCs w:val="32"/>
        </w:rPr>
      </w:pPr>
      <w:r>
        <w:rPr>
          <w:rFonts w:hint="eastAsia" w:ascii="Times New Roman" w:hAnsi="Times New Roman" w:cs="仿宋_GB2312"/>
          <w:b/>
          <w:bCs/>
          <w:spacing w:val="17"/>
          <w:szCs w:val="32"/>
        </w:rPr>
        <w:t>第九条</w:t>
      </w:r>
      <w:r>
        <w:rPr>
          <w:rFonts w:hint="eastAsia" w:ascii="Times New Roman" w:hAnsi="Times New Roman" w:eastAsia="黑体" w:cs="黑体"/>
          <w:spacing w:val="4"/>
          <w:szCs w:val="32"/>
        </w:rPr>
        <w:t xml:space="preserve"> </w:t>
      </w:r>
      <w:r>
        <w:rPr>
          <w:rFonts w:hint="eastAsia" w:ascii="Times New Roman" w:hAnsi="Times New Roman" w:cs="仿宋_GB2312"/>
          <w:szCs w:val="32"/>
        </w:rPr>
        <w:t>久银基金</w:t>
      </w:r>
      <w:r>
        <w:rPr>
          <w:rFonts w:hint="eastAsia" w:ascii="Times New Roman" w:hAnsi="Times New Roman" w:cs="仿宋_GB2312"/>
          <w:spacing w:val="4"/>
          <w:szCs w:val="32"/>
        </w:rPr>
        <w:t>在基金工作机制、市基金管委会和市发展改革委的</w:t>
      </w:r>
      <w:r>
        <w:rPr>
          <w:rFonts w:hint="eastAsia" w:ascii="Times New Roman" w:hAnsi="Times New Roman" w:cs="仿宋_GB2312"/>
          <w:spacing w:val="5"/>
          <w:szCs w:val="32"/>
        </w:rPr>
        <w:t>指导下，负责生态城市基金的日常运营管理。包括：拟定生态城市基金年度投资计划报市发展改革委审议；发布直投项目及子基金申报指南/遴选公告并以市场化方式遴选子基金管理人；对拟出资子基金进行立项、尽职调查和投资谈判，签订子基金合伙协议或章程；对战略性直投项目进行立项、尽职调查和提出投资方案，在履行完相应决策程序后开展投资谈判和签订投资协议；负责子基金和战略性直投项目的风险控制、投后管理和退出工作；按照协议和相关部门要求，定期和不定期对基金运作情况进行信息披露；负责生态城市基金管理人自评和对子基金的绩效评价，配合相关部门对基金运作开展监督管理和绩效评价；完</w:t>
      </w:r>
      <w:r>
        <w:rPr>
          <w:rFonts w:hint="eastAsia" w:ascii="Times New Roman" w:hAnsi="Times New Roman" w:cs="仿宋_GB2312"/>
          <w:szCs w:val="32"/>
        </w:rPr>
        <w:t>成基金工作机制、市基金管委会及市发展改革委交办的其他工作任务。</w:t>
      </w:r>
    </w:p>
    <w:p w14:paraId="1BBA90EE">
      <w:pPr>
        <w:spacing w:line="600" w:lineRule="exact"/>
        <w:ind w:firstLine="640" w:firstLineChars="200"/>
        <w:rPr>
          <w:rFonts w:ascii="Times New Roman" w:hAnsi="Times New Roman" w:cs="仿宋_GB2312"/>
          <w:szCs w:val="32"/>
        </w:rPr>
      </w:pPr>
    </w:p>
    <w:p w14:paraId="2CC388C5">
      <w:pPr>
        <w:spacing w:line="600" w:lineRule="exact"/>
        <w:jc w:val="center"/>
        <w:rPr>
          <w:rFonts w:ascii="Times New Roman" w:hAnsi="Times New Roman" w:eastAsia="黑体" w:cs="黑体"/>
          <w:sz w:val="36"/>
          <w:szCs w:val="36"/>
        </w:rPr>
      </w:pPr>
      <w:r>
        <w:rPr>
          <w:rFonts w:hint="eastAsia" w:ascii="Times New Roman" w:hAnsi="Times New Roman" w:eastAsia="黑体" w:cs="黑体"/>
          <w:sz w:val="36"/>
          <w:szCs w:val="36"/>
        </w:rPr>
        <w:t>第三章  投资管理</w:t>
      </w:r>
    </w:p>
    <w:p w14:paraId="59721016">
      <w:pPr>
        <w:spacing w:line="600" w:lineRule="exact"/>
        <w:rPr>
          <w:rFonts w:ascii="Times New Roman" w:hAnsi="Times New Roman" w:eastAsia="方正小标宋简体"/>
          <w:sz w:val="36"/>
          <w:szCs w:val="36"/>
        </w:rPr>
      </w:pPr>
    </w:p>
    <w:p w14:paraId="4B6AC71B">
      <w:pPr>
        <w:spacing w:line="600" w:lineRule="exact"/>
        <w:ind w:firstLine="711" w:firstLineChars="200"/>
        <w:rPr>
          <w:rFonts w:ascii="Times New Roman" w:hAnsi="Times New Roman" w:cs="黑体"/>
          <w:spacing w:val="5"/>
          <w:szCs w:val="32"/>
        </w:rPr>
      </w:pPr>
      <w:r>
        <w:rPr>
          <w:rFonts w:hint="eastAsia" w:ascii="Times New Roman" w:hAnsi="Times New Roman" w:cs="仿宋_GB2312"/>
          <w:b/>
          <w:bCs/>
          <w:spacing w:val="17"/>
          <w:szCs w:val="32"/>
        </w:rPr>
        <w:t>第十条</w:t>
      </w:r>
      <w:r>
        <w:rPr>
          <w:rFonts w:hint="eastAsia" w:ascii="Times New Roman" w:hAnsi="Times New Roman" w:eastAsia="黑体" w:cs="黑体"/>
          <w:spacing w:val="5"/>
          <w:szCs w:val="32"/>
        </w:rPr>
        <w:t xml:space="preserve">  </w:t>
      </w:r>
      <w:r>
        <w:rPr>
          <w:rFonts w:hint="eastAsia" w:ascii="Times New Roman" w:hAnsi="Times New Roman" w:cs="黑体"/>
          <w:spacing w:val="5"/>
          <w:szCs w:val="32"/>
        </w:rPr>
        <w:t>生态城市基金应当体现国家宏观政策、产业政策和区域发展战略意图，聚焦市委、市政府明确的重大战略和重大项目开展投资活动。主要围绕新型城镇化建设重点投向城市更新、产城融合、特色小镇、物业服务、人才保障、低空经济等领域；围绕绿色低碳生态建设重点投向城市水环境治理、固（危）废治理、清洁能源、新能源（绿色能源）、循环经济、节能环保、城市管养，以及交通、建筑等领域绿色发展和低碳转型的重点项目；围绕城市文旅产业发展重点投向红色旅游、避暑康养度假旅游、森林生态旅游等景区建设项目，文化园区、特色街区、酒店民宿等建设运营项目，文化、体育、消费、夜间经济、装备制造业（文体康旅方向）等具有城市发展特色的企业。</w:t>
      </w:r>
    </w:p>
    <w:p w14:paraId="0044A90B">
      <w:pPr>
        <w:spacing w:line="600" w:lineRule="exact"/>
        <w:ind w:firstLine="711" w:firstLineChars="200"/>
        <w:rPr>
          <w:rFonts w:ascii="Times New Roman" w:hAnsi="Times New Roman" w:cs="仿宋_GB2312"/>
          <w:spacing w:val="-1"/>
          <w:szCs w:val="32"/>
        </w:rPr>
      </w:pPr>
      <w:r>
        <w:rPr>
          <w:rFonts w:hint="eastAsia" w:ascii="Times New Roman" w:hAnsi="Times New Roman" w:cs="仿宋_GB2312"/>
          <w:b/>
          <w:bCs/>
          <w:spacing w:val="17"/>
          <w:szCs w:val="32"/>
        </w:rPr>
        <w:t>第十一条</w:t>
      </w:r>
      <w:r>
        <w:rPr>
          <w:rFonts w:hint="eastAsia" w:ascii="Times New Roman" w:hAnsi="Times New Roman" w:eastAsia="黑体" w:cs="黑体"/>
          <w:spacing w:val="6"/>
          <w:szCs w:val="32"/>
        </w:rPr>
        <w:t xml:space="preserve">  </w:t>
      </w:r>
      <w:r>
        <w:rPr>
          <w:rFonts w:hint="eastAsia" w:ascii="Times New Roman" w:hAnsi="Times New Roman" w:cs="仿宋_GB2312"/>
          <w:spacing w:val="-1"/>
          <w:szCs w:val="32"/>
        </w:rPr>
        <w:t>生态城市基金原则上，投向注册在贵阳贵安的各类基金或企业，投资贵阳贵安以外的基金或企业需符合返投要求。</w:t>
      </w:r>
    </w:p>
    <w:p w14:paraId="05D21BEA">
      <w:pPr>
        <w:spacing w:line="600" w:lineRule="exact"/>
        <w:ind w:firstLine="711" w:firstLineChars="200"/>
        <w:rPr>
          <w:rFonts w:ascii="Times New Roman" w:hAnsi="Times New Roman" w:cs="仿宋_GB2312"/>
          <w:szCs w:val="32"/>
        </w:rPr>
      </w:pPr>
      <w:r>
        <w:rPr>
          <w:rFonts w:hint="eastAsia" w:ascii="Times New Roman" w:hAnsi="Times New Roman" w:cs="仿宋_GB2312"/>
          <w:b/>
          <w:bCs/>
          <w:spacing w:val="17"/>
          <w:szCs w:val="32"/>
        </w:rPr>
        <w:t>第十二条</w:t>
      </w:r>
      <w:r>
        <w:rPr>
          <w:rFonts w:hint="eastAsia" w:ascii="Times New Roman" w:hAnsi="Times New Roman" w:eastAsia="黑体" w:cs="黑体"/>
          <w:szCs w:val="32"/>
        </w:rPr>
        <w:t xml:space="preserve"> </w:t>
      </w:r>
      <w:r>
        <w:rPr>
          <w:rFonts w:hint="eastAsia" w:ascii="Times New Roman" w:hAnsi="Times New Roman" w:cs="仿宋_GB2312"/>
          <w:szCs w:val="32"/>
        </w:rPr>
        <w:t xml:space="preserve"> 生态城市基金对单支子基金的出资比例原则上不超过子基金规模的50%且不超过生态城市基金规模的20%；母基金对单个企业股权投资不超过被投资企业股权比例的50%，对战略性直投项目原则上不控股且战略性直投金额累计原则上不超过母基金规模的20%。</w:t>
      </w:r>
    </w:p>
    <w:p w14:paraId="5D9B1582">
      <w:pPr>
        <w:spacing w:line="600" w:lineRule="exact"/>
        <w:ind w:firstLine="711" w:firstLineChars="200"/>
        <w:rPr>
          <w:rFonts w:ascii="Times New Roman" w:hAnsi="Times New Roman" w:cs="仿宋_GB2312"/>
          <w:spacing w:val="-2"/>
          <w:szCs w:val="32"/>
        </w:rPr>
      </w:pPr>
      <w:r>
        <w:rPr>
          <w:rFonts w:hint="eastAsia" w:ascii="Times New Roman" w:hAnsi="Times New Roman" w:cs="仿宋_GB2312"/>
          <w:b/>
          <w:bCs/>
          <w:spacing w:val="17"/>
          <w:szCs w:val="32"/>
        </w:rPr>
        <w:t xml:space="preserve">第十三条 </w:t>
      </w:r>
      <w:r>
        <w:rPr>
          <w:rFonts w:hint="eastAsia" w:ascii="Times New Roman" w:hAnsi="Times New Roman" w:eastAsia="黑体" w:cs="黑体"/>
          <w:spacing w:val="-2"/>
          <w:szCs w:val="32"/>
        </w:rPr>
        <w:t xml:space="preserve"> </w:t>
      </w:r>
      <w:r>
        <w:rPr>
          <w:rFonts w:hint="eastAsia" w:ascii="Times New Roman" w:hAnsi="Times New Roman" w:cs="仿宋_GB2312"/>
          <w:spacing w:val="-2"/>
          <w:szCs w:val="32"/>
        </w:rPr>
        <w:t>战略性直投项目业主应当符合以下条件（包括但不限于）：</w:t>
      </w:r>
    </w:p>
    <w:p w14:paraId="78A12262">
      <w:pPr>
        <w:spacing w:line="600" w:lineRule="exact"/>
        <w:ind w:firstLine="632" w:firstLineChars="200"/>
        <w:rPr>
          <w:rFonts w:ascii="Times New Roman" w:hAnsi="Times New Roman" w:cs="仿宋_GB2312"/>
          <w:spacing w:val="-2"/>
          <w:szCs w:val="32"/>
        </w:rPr>
      </w:pPr>
      <w:r>
        <w:rPr>
          <w:rFonts w:hint="eastAsia" w:ascii="Times New Roman" w:hAnsi="Times New Roman" w:cs="仿宋_GB2312"/>
          <w:spacing w:val="-2"/>
          <w:szCs w:val="32"/>
        </w:rPr>
        <w:t>（一）标的企业经营业务符合国家法律法规及相关行业准则。</w:t>
      </w:r>
    </w:p>
    <w:p w14:paraId="6F37CACB">
      <w:pPr>
        <w:spacing w:line="600" w:lineRule="exact"/>
        <w:ind w:firstLine="632" w:firstLineChars="200"/>
        <w:rPr>
          <w:rFonts w:ascii="Times New Roman" w:hAnsi="Times New Roman" w:cs="仿宋_GB2312"/>
          <w:spacing w:val="-2"/>
          <w:szCs w:val="32"/>
        </w:rPr>
      </w:pPr>
      <w:r>
        <w:rPr>
          <w:rFonts w:hint="eastAsia" w:ascii="Times New Roman" w:hAnsi="Times New Roman" w:cs="仿宋_GB2312"/>
          <w:spacing w:val="-2"/>
          <w:szCs w:val="32"/>
        </w:rPr>
        <w:t>（二）标的企业资产状况真实，资信状况良好。</w:t>
      </w:r>
    </w:p>
    <w:p w14:paraId="7E536522">
      <w:pPr>
        <w:spacing w:line="600" w:lineRule="exact"/>
        <w:ind w:firstLine="632" w:firstLineChars="200"/>
        <w:rPr>
          <w:rFonts w:ascii="Times New Roman" w:hAnsi="Times New Roman" w:cs="仿宋_GB2312"/>
          <w:spacing w:val="-5"/>
          <w:szCs w:val="32"/>
        </w:rPr>
      </w:pPr>
      <w:r>
        <w:rPr>
          <w:rFonts w:hint="eastAsia" w:ascii="Times New Roman" w:hAnsi="Times New Roman" w:cs="仿宋_GB2312"/>
          <w:spacing w:val="-2"/>
          <w:szCs w:val="32"/>
        </w:rPr>
        <w:t>（三）标的</w:t>
      </w:r>
      <w:r>
        <w:rPr>
          <w:rFonts w:hint="eastAsia" w:ascii="Times New Roman" w:hAnsi="Times New Roman" w:cs="仿宋_GB2312"/>
          <w:spacing w:val="13"/>
          <w:szCs w:val="32"/>
        </w:rPr>
        <w:t>企业产权性质、股权权属及股东出资不存在无法解决</w:t>
      </w:r>
      <w:r>
        <w:rPr>
          <w:rFonts w:hint="eastAsia" w:ascii="Times New Roman" w:hAnsi="Times New Roman" w:cs="仿宋_GB2312"/>
          <w:spacing w:val="-5"/>
          <w:szCs w:val="32"/>
        </w:rPr>
        <w:t>的争议，不存在无法弥补的缺陷。</w:t>
      </w:r>
    </w:p>
    <w:p w14:paraId="58AC7A06">
      <w:pPr>
        <w:spacing w:line="600" w:lineRule="exact"/>
        <w:ind w:firstLine="688" w:firstLineChars="200"/>
        <w:rPr>
          <w:rFonts w:ascii="Times New Roman" w:hAnsi="Times New Roman" w:cs="仿宋_GB2312"/>
          <w:spacing w:val="-12"/>
          <w:szCs w:val="32"/>
        </w:rPr>
      </w:pPr>
      <w:r>
        <w:rPr>
          <w:rFonts w:hint="eastAsia" w:ascii="Times New Roman" w:hAnsi="Times New Roman" w:cs="仿宋_GB2312"/>
          <w:spacing w:val="12"/>
          <w:szCs w:val="32"/>
        </w:rPr>
        <w:t>（四）不存在影响企业存续、发展的重大资产权属纠纷和法</w:t>
      </w:r>
      <w:r>
        <w:rPr>
          <w:rFonts w:hint="eastAsia" w:ascii="Times New Roman" w:hAnsi="Times New Roman" w:cs="仿宋_GB2312"/>
          <w:spacing w:val="-12"/>
          <w:szCs w:val="32"/>
        </w:rPr>
        <w:t>律诉讼。</w:t>
      </w:r>
    </w:p>
    <w:p w14:paraId="46570694">
      <w:pPr>
        <w:spacing w:line="600" w:lineRule="exact"/>
        <w:ind w:firstLine="688" w:firstLineChars="200"/>
        <w:rPr>
          <w:rFonts w:ascii="Times New Roman" w:hAnsi="Times New Roman" w:cs="仿宋_GB2312"/>
          <w:spacing w:val="12"/>
          <w:szCs w:val="32"/>
        </w:rPr>
      </w:pPr>
      <w:r>
        <w:rPr>
          <w:rFonts w:hint="eastAsia" w:ascii="Times New Roman" w:hAnsi="Times New Roman" w:cs="仿宋_GB2312"/>
          <w:spacing w:val="12"/>
          <w:szCs w:val="32"/>
        </w:rPr>
        <w:t>（五）其他符合生态城市基金投资条件的标的企业。</w:t>
      </w:r>
    </w:p>
    <w:p w14:paraId="797848D0">
      <w:pPr>
        <w:spacing w:line="600" w:lineRule="exact"/>
        <w:ind w:firstLine="711" w:firstLineChars="200"/>
        <w:rPr>
          <w:rFonts w:ascii="Times New Roman" w:hAnsi="Times New Roman" w:cs="仿宋_GB2312"/>
          <w:szCs w:val="32"/>
        </w:rPr>
      </w:pPr>
      <w:r>
        <w:rPr>
          <w:rFonts w:hint="eastAsia" w:ascii="Times New Roman" w:hAnsi="Times New Roman" w:cs="仿宋_GB2312"/>
          <w:b/>
          <w:bCs/>
          <w:spacing w:val="17"/>
          <w:szCs w:val="32"/>
        </w:rPr>
        <w:t>第十四条</w:t>
      </w:r>
      <w:r>
        <w:rPr>
          <w:rFonts w:hint="eastAsia" w:ascii="Times New Roman" w:hAnsi="Times New Roman" w:eastAsia="黑体" w:cs="仿宋_GB2312"/>
          <w:szCs w:val="32"/>
        </w:rPr>
        <w:t xml:space="preserve"> </w:t>
      </w:r>
      <w:r>
        <w:rPr>
          <w:rFonts w:hint="eastAsia" w:ascii="Times New Roman" w:hAnsi="Times New Roman" w:cs="仿宋_GB2312"/>
          <w:szCs w:val="32"/>
        </w:rPr>
        <w:t xml:space="preserve"> 子基金对单个项目的投资额，原则上不得超过子基金规模的20%，如超过上述比例，需经子基金合伙人会议等权力机构表决通过。根据投资需要由生态城市基金投资决策委员会通过设立的单项目子基金，不受上述限制。</w:t>
      </w:r>
    </w:p>
    <w:p w14:paraId="41C3ED24">
      <w:pPr>
        <w:spacing w:line="600" w:lineRule="exact"/>
        <w:ind w:firstLine="711" w:firstLineChars="200"/>
        <w:rPr>
          <w:rFonts w:ascii="Times New Roman" w:hAnsi="Times New Roman" w:cs="仿宋_GB2312"/>
          <w:spacing w:val="5"/>
          <w:szCs w:val="32"/>
        </w:rPr>
      </w:pPr>
      <w:r>
        <w:rPr>
          <w:rFonts w:hint="eastAsia" w:ascii="Times New Roman" w:hAnsi="Times New Roman" w:cs="仿宋_GB2312"/>
          <w:b/>
          <w:bCs/>
          <w:spacing w:val="17"/>
          <w:szCs w:val="32"/>
        </w:rPr>
        <w:t>第十五条</w:t>
      </w:r>
      <w:r>
        <w:rPr>
          <w:rFonts w:hint="eastAsia" w:ascii="Times New Roman" w:hAnsi="Times New Roman" w:eastAsia="黑体" w:cs="黑体"/>
          <w:spacing w:val="5"/>
          <w:szCs w:val="32"/>
        </w:rPr>
        <w:t xml:space="preserve"> </w:t>
      </w:r>
      <w:r>
        <w:rPr>
          <w:rFonts w:hint="eastAsia" w:ascii="Times New Roman" w:hAnsi="Times New Roman" w:cs="仿宋_GB2312"/>
          <w:spacing w:val="5"/>
          <w:szCs w:val="32"/>
        </w:rPr>
        <w:t xml:space="preserve"> 子基金应满足以下基本条件：</w:t>
      </w:r>
    </w:p>
    <w:p w14:paraId="5307105B">
      <w:pPr>
        <w:spacing w:line="600" w:lineRule="exact"/>
        <w:ind w:firstLine="660" w:firstLineChars="200"/>
        <w:rPr>
          <w:rFonts w:ascii="Times New Roman" w:hAnsi="Times New Roman" w:cs="仿宋_GB2312"/>
          <w:spacing w:val="5"/>
          <w:szCs w:val="32"/>
        </w:rPr>
      </w:pPr>
      <w:r>
        <w:rPr>
          <w:rFonts w:hint="eastAsia" w:ascii="Times New Roman" w:hAnsi="Times New Roman" w:cs="仿宋_GB2312"/>
          <w:spacing w:val="5"/>
          <w:szCs w:val="32"/>
        </w:rPr>
        <w:t>（一）存续期限。子基金存续期限原则上不超过10年（含延长期），且不得超过生态城市基金存续期。</w:t>
      </w:r>
    </w:p>
    <w:p w14:paraId="2E508707">
      <w:pPr>
        <w:spacing w:line="600" w:lineRule="exact"/>
        <w:ind w:firstLine="660" w:firstLineChars="200"/>
        <w:rPr>
          <w:rFonts w:ascii="Times New Roman" w:hAnsi="Times New Roman" w:cs="仿宋_GB2312"/>
          <w:spacing w:val="5"/>
          <w:szCs w:val="32"/>
        </w:rPr>
      </w:pPr>
      <w:r>
        <w:rPr>
          <w:rFonts w:hint="eastAsia" w:ascii="Times New Roman" w:hAnsi="Times New Roman" w:cs="仿宋_GB2312"/>
          <w:spacing w:val="5"/>
          <w:szCs w:val="32"/>
        </w:rPr>
        <w:t>（二）</w:t>
      </w:r>
      <w:r>
        <w:rPr>
          <w:rFonts w:hint="eastAsia" w:ascii="Times New Roman" w:hAnsi="Times New Roman" w:cs="仿宋_GB2312"/>
          <w:color w:val="000000"/>
          <w:kern w:val="0"/>
          <w:szCs w:val="32"/>
        </w:rPr>
        <w:t>子基金返投于贵阳市企业的金额原则上不低于母基金出资额的1.2倍。</w:t>
      </w:r>
    </w:p>
    <w:p w14:paraId="269B80C4">
      <w:pPr>
        <w:autoSpaceDE w:val="0"/>
        <w:autoSpaceDN w:val="0"/>
        <w:adjustRightInd w:val="0"/>
        <w:spacing w:line="600" w:lineRule="exact"/>
        <w:ind w:firstLine="660" w:firstLineChars="200"/>
        <w:rPr>
          <w:rFonts w:ascii="Times New Roman" w:hAnsi="Times New Roman" w:cs="仿宋_GB2312"/>
          <w:spacing w:val="5"/>
          <w:szCs w:val="32"/>
        </w:rPr>
      </w:pPr>
      <w:r>
        <w:rPr>
          <w:rFonts w:hint="eastAsia" w:ascii="Times New Roman" w:hAnsi="Times New Roman" w:cs="仿宋_GB2312"/>
          <w:spacing w:val="5"/>
          <w:szCs w:val="32"/>
        </w:rPr>
        <w:t>（三）募资要求。1.子基金管理人及其关联方须对其管理的基金出资，合计认缴出资原则上不低于基金认缴规模的1%；2.子基金管理机构应向《私募投资基金监督管理暂行办法》等规定的合格投资者募集资金。申请新设子基金的，子基金管理人提交申报方案时，原则上应至少募集到子基金目标规模的30%资金（不含生态城市基金出资部分），并提供出资承诺函或出资意向函等证明材料（拟出资人为各级人民政府或其职能部门直接出资的政府投资基金除外，但应提供同等效力的证明材料）；3.申请生态城市基金增资的子基金，应争取同意生态城市基金享有基金已投资项目收益（如有），提供现有基金全体出资人同意生态城市基金平价或折价增资并豁免生态城市基金惩罚性条款等的合伙人会议决议或股东会决议。</w:t>
      </w:r>
    </w:p>
    <w:p w14:paraId="01EEEA99">
      <w:pPr>
        <w:autoSpaceDE w:val="0"/>
        <w:autoSpaceDN w:val="0"/>
        <w:adjustRightInd w:val="0"/>
        <w:spacing w:line="600" w:lineRule="exact"/>
        <w:ind w:firstLine="711" w:firstLineChars="200"/>
        <w:rPr>
          <w:rFonts w:ascii="Times New Roman" w:hAnsi="Times New Roman" w:cs="仿宋_GB2312"/>
          <w:color w:val="000000"/>
          <w:kern w:val="0"/>
          <w:szCs w:val="32"/>
        </w:rPr>
      </w:pPr>
      <w:r>
        <w:rPr>
          <w:rFonts w:hint="eastAsia" w:ascii="Times New Roman" w:hAnsi="Times New Roman" w:cs="仿宋_GB2312"/>
          <w:b/>
          <w:bCs/>
          <w:spacing w:val="17"/>
          <w:szCs w:val="32"/>
        </w:rPr>
        <w:t>第十六条</w:t>
      </w:r>
      <w:r>
        <w:rPr>
          <w:rFonts w:hint="eastAsia" w:ascii="Times New Roman" w:hAnsi="Times New Roman" w:eastAsia="黑体" w:cs="黑体"/>
          <w:spacing w:val="5"/>
          <w:szCs w:val="32"/>
        </w:rPr>
        <w:t xml:space="preserve">  </w:t>
      </w:r>
      <w:r>
        <w:rPr>
          <w:rFonts w:hint="eastAsia" w:ascii="Times New Roman" w:hAnsi="Times New Roman" w:cs="仿宋_GB2312"/>
          <w:color w:val="000000"/>
          <w:kern w:val="0"/>
          <w:szCs w:val="32"/>
        </w:rPr>
        <w:t>子基金管理人原则上需满足以下基本条件：</w:t>
      </w:r>
    </w:p>
    <w:p w14:paraId="24EB20AB">
      <w:pPr>
        <w:autoSpaceDE w:val="0"/>
        <w:autoSpaceDN w:val="0"/>
        <w:adjustRightInd w:val="0"/>
        <w:spacing w:line="600" w:lineRule="exact"/>
        <w:ind w:firstLine="640" w:firstLineChars="200"/>
        <w:rPr>
          <w:rFonts w:ascii="Times New Roman" w:hAnsi="Times New Roman" w:cs="仿宋_GB2312"/>
          <w:color w:val="000000"/>
          <w:kern w:val="0"/>
          <w:szCs w:val="32"/>
        </w:rPr>
      </w:pPr>
      <w:r>
        <w:rPr>
          <w:rFonts w:hint="eastAsia" w:ascii="Times New Roman" w:hAnsi="Times New Roman" w:cs="仿宋_GB2312"/>
          <w:color w:val="000000"/>
          <w:kern w:val="0"/>
          <w:szCs w:val="32"/>
        </w:rPr>
        <w:t>（一）管理资质。管理人在中国境内注册，在中国证券投资基金业协会完成登记。</w:t>
      </w:r>
    </w:p>
    <w:p w14:paraId="5D18E8CA">
      <w:pPr>
        <w:autoSpaceDE w:val="0"/>
        <w:autoSpaceDN w:val="0"/>
        <w:adjustRightInd w:val="0"/>
        <w:spacing w:line="600" w:lineRule="exact"/>
        <w:ind w:firstLine="640" w:firstLineChars="200"/>
        <w:rPr>
          <w:rFonts w:ascii="Times New Roman" w:hAnsi="Times New Roman" w:cs="仿宋_GB2312"/>
          <w:color w:val="000000"/>
          <w:kern w:val="0"/>
          <w:szCs w:val="32"/>
        </w:rPr>
      </w:pPr>
      <w:r>
        <w:rPr>
          <w:rFonts w:hint="eastAsia" w:ascii="Times New Roman" w:hAnsi="Times New Roman" w:cs="仿宋_GB2312"/>
          <w:color w:val="000000"/>
          <w:kern w:val="0"/>
          <w:szCs w:val="32"/>
        </w:rPr>
        <w:t>（二）实缴资本。不低于1000万元。</w:t>
      </w:r>
    </w:p>
    <w:p w14:paraId="5DA508B2">
      <w:pPr>
        <w:autoSpaceDE w:val="0"/>
        <w:autoSpaceDN w:val="0"/>
        <w:adjustRightInd w:val="0"/>
        <w:spacing w:line="600" w:lineRule="exact"/>
        <w:ind w:firstLine="640" w:firstLineChars="200"/>
        <w:rPr>
          <w:rFonts w:ascii="Times New Roman" w:hAnsi="Times New Roman" w:cs="仿宋_GB2312"/>
          <w:color w:val="000000"/>
          <w:kern w:val="0"/>
          <w:szCs w:val="32"/>
        </w:rPr>
      </w:pPr>
      <w:r>
        <w:rPr>
          <w:rFonts w:hint="eastAsia" w:ascii="Times New Roman" w:hAnsi="Times New Roman" w:cs="仿宋_GB2312"/>
          <w:color w:val="000000"/>
          <w:kern w:val="0"/>
          <w:szCs w:val="32"/>
        </w:rPr>
        <w:t>（三）管理团队。1.管理人应配备专属且稳定的管理团队，拥有不少于5名专业投资人员（含高管、财务和法务专业人员）；2.至少有3名具备5年以上股权投资或相关行业经验的专职高级管理人员。3.具备丰富的投资管理经验和良好的管理业绩，管理团队成员具备与岗位要求相适应的职业操守和专业能力。</w:t>
      </w:r>
    </w:p>
    <w:p w14:paraId="05E565AC">
      <w:pPr>
        <w:autoSpaceDE w:val="0"/>
        <w:autoSpaceDN w:val="0"/>
        <w:adjustRightInd w:val="0"/>
        <w:spacing w:line="600" w:lineRule="exact"/>
        <w:ind w:firstLine="640" w:firstLineChars="200"/>
        <w:rPr>
          <w:rFonts w:ascii="Times New Roman" w:hAnsi="Times New Roman" w:cs="仿宋_GB2312"/>
          <w:color w:val="000000"/>
          <w:kern w:val="0"/>
          <w:szCs w:val="32"/>
        </w:rPr>
      </w:pPr>
      <w:r>
        <w:rPr>
          <w:rFonts w:hint="eastAsia" w:ascii="Times New Roman" w:hAnsi="Times New Roman" w:cs="仿宋_GB2312"/>
          <w:color w:val="000000"/>
          <w:kern w:val="0"/>
          <w:szCs w:val="32"/>
        </w:rPr>
        <w:t>（四）运作规范。管理和投资运作规范，具有完善的内部控制体系、投资决策程序、风险控制机制、财务管理机制等。</w:t>
      </w:r>
    </w:p>
    <w:p w14:paraId="4FC0CC49">
      <w:pPr>
        <w:autoSpaceDE w:val="0"/>
        <w:autoSpaceDN w:val="0"/>
        <w:adjustRightInd w:val="0"/>
        <w:spacing w:line="600" w:lineRule="exact"/>
        <w:ind w:firstLine="640" w:firstLineChars="200"/>
        <w:rPr>
          <w:rFonts w:ascii="Times New Roman" w:hAnsi="Times New Roman" w:cs="仿宋_GB2312"/>
          <w:color w:val="000000"/>
          <w:kern w:val="0"/>
          <w:szCs w:val="32"/>
        </w:rPr>
      </w:pPr>
      <w:r>
        <w:rPr>
          <w:rFonts w:hint="eastAsia" w:ascii="Times New Roman" w:hAnsi="Times New Roman" w:cs="仿宋_GB2312"/>
          <w:color w:val="000000"/>
          <w:kern w:val="0"/>
          <w:szCs w:val="32"/>
        </w:rPr>
        <w:t>（五）无违法行为。管理人及其董事、监事、高级管理人员无行政主管机关或司法机关处罚的不良记录。</w:t>
      </w:r>
    </w:p>
    <w:p w14:paraId="39099735">
      <w:pPr>
        <w:spacing w:line="600" w:lineRule="exact"/>
        <w:ind w:firstLine="640" w:firstLineChars="200"/>
        <w:rPr>
          <w:rFonts w:ascii="Times New Roman" w:hAnsi="Times New Roman" w:cs="仿宋_GB2312"/>
          <w:spacing w:val="5"/>
          <w:szCs w:val="32"/>
        </w:rPr>
      </w:pPr>
      <w:r>
        <w:rPr>
          <w:rFonts w:hint="eastAsia" w:ascii="Times New Roman" w:hAnsi="Times New Roman" w:cs="仿宋_GB2312"/>
          <w:color w:val="000000"/>
          <w:kern w:val="0"/>
          <w:szCs w:val="32"/>
        </w:rPr>
        <w:t>（六）法律、行政法规、中国证监会和中国证券投资基金业协会规定的其他条件。</w:t>
      </w:r>
    </w:p>
    <w:p w14:paraId="5BAFCFA6">
      <w:pPr>
        <w:spacing w:line="600" w:lineRule="exact"/>
        <w:ind w:firstLine="711" w:firstLineChars="200"/>
        <w:rPr>
          <w:rFonts w:ascii="Times New Roman" w:hAnsi="Times New Roman" w:cs="黑体"/>
          <w:spacing w:val="5"/>
          <w:szCs w:val="32"/>
        </w:rPr>
      </w:pPr>
      <w:r>
        <w:rPr>
          <w:rFonts w:hint="eastAsia" w:ascii="Times New Roman" w:hAnsi="Times New Roman" w:cs="仿宋_GB2312"/>
          <w:b/>
          <w:bCs/>
          <w:spacing w:val="17"/>
          <w:szCs w:val="32"/>
        </w:rPr>
        <w:t>第十七条</w:t>
      </w:r>
      <w:r>
        <w:rPr>
          <w:rFonts w:hint="eastAsia" w:ascii="Times New Roman" w:hAnsi="Times New Roman" w:eastAsia="黑体" w:cs="黑体"/>
          <w:spacing w:val="5"/>
          <w:szCs w:val="32"/>
        </w:rPr>
        <w:t xml:space="preserve">  </w:t>
      </w:r>
      <w:r>
        <w:rPr>
          <w:rFonts w:hint="eastAsia" w:ascii="Times New Roman" w:hAnsi="Times New Roman" w:cs="黑体"/>
          <w:spacing w:val="5"/>
          <w:szCs w:val="32"/>
        </w:rPr>
        <w:t>生态城市基金资产应当委托在中华人民共和国境内依法成立的拥有托管资质的金融机构进行托管，并签订托管协议。托管机构应当按照托管协议约定开展资产保管、资金拨付和结算等日常工作，对投资活动进行动态监管，确保生态城市基金投向及资金安全，并定期出具托管报告。子基金的托管机构由子基金管理人确定。</w:t>
      </w:r>
    </w:p>
    <w:p w14:paraId="40E005ED">
      <w:pPr>
        <w:pStyle w:val="3"/>
        <w:spacing w:line="600" w:lineRule="exact"/>
        <w:ind w:firstLine="711" w:firstLineChars="200"/>
        <w:rPr>
          <w:rFonts w:ascii="Times New Roman" w:hAnsi="Times New Roman" w:eastAsia="黑体" w:cs="黑体"/>
          <w:spacing w:val="2"/>
          <w:sz w:val="32"/>
          <w:szCs w:val="32"/>
          <w:highlight w:val="yellow"/>
          <w:lang w:eastAsia="zh-CN"/>
        </w:rPr>
      </w:pPr>
      <w:r>
        <w:rPr>
          <w:rFonts w:hint="eastAsia" w:ascii="Times New Roman" w:hAnsi="Times New Roman" w:eastAsia="仿宋_GB2312" w:cs="仿宋_GB2312"/>
          <w:b/>
          <w:bCs/>
          <w:spacing w:val="17"/>
          <w:sz w:val="32"/>
          <w:szCs w:val="32"/>
          <w:lang w:eastAsia="zh-CN"/>
        </w:rPr>
        <w:t>第十八条</w:t>
      </w:r>
      <w:r>
        <w:rPr>
          <w:rFonts w:hint="eastAsia" w:ascii="Times New Roman" w:hAnsi="Times New Roman" w:eastAsia="仿宋_GB2312" w:cs="仿宋_GB2312"/>
          <w:spacing w:val="-3"/>
          <w:sz w:val="32"/>
          <w:szCs w:val="32"/>
          <w:lang w:eastAsia="zh-CN"/>
        </w:rPr>
        <w:t xml:space="preserve">  生态城市基金与国家、省开展合作的，按照上级相关规定执行。</w:t>
      </w:r>
    </w:p>
    <w:p w14:paraId="23456FD0">
      <w:pPr>
        <w:spacing w:line="600" w:lineRule="exact"/>
        <w:ind w:firstLine="728" w:firstLineChars="200"/>
        <w:jc w:val="center"/>
        <w:rPr>
          <w:rFonts w:ascii="Times New Roman" w:hAnsi="Times New Roman" w:eastAsia="黑体" w:cs="黑体"/>
          <w:spacing w:val="2"/>
          <w:sz w:val="36"/>
          <w:szCs w:val="36"/>
          <w:highlight w:val="yellow"/>
        </w:rPr>
      </w:pPr>
    </w:p>
    <w:p w14:paraId="3F660193">
      <w:pPr>
        <w:numPr>
          <w:ilvl w:val="0"/>
          <w:numId w:val="1"/>
        </w:numPr>
        <w:spacing w:line="600" w:lineRule="exact"/>
        <w:jc w:val="center"/>
        <w:rPr>
          <w:rFonts w:hint="eastAsia" w:ascii="Times New Roman" w:hAnsi="Times New Roman" w:eastAsia="黑体" w:cs="黑体"/>
          <w:sz w:val="36"/>
          <w:szCs w:val="36"/>
        </w:rPr>
      </w:pPr>
      <w:r>
        <w:rPr>
          <w:rFonts w:hint="eastAsia" w:ascii="Times New Roman" w:hAnsi="Times New Roman" w:eastAsia="黑体" w:cs="黑体"/>
          <w:sz w:val="36"/>
          <w:szCs w:val="36"/>
        </w:rPr>
        <w:t>投资决策</w:t>
      </w:r>
    </w:p>
    <w:p w14:paraId="5C35230B">
      <w:pPr>
        <w:numPr>
          <w:numId w:val="0"/>
        </w:numPr>
        <w:spacing w:line="600" w:lineRule="exact"/>
        <w:jc w:val="both"/>
        <w:rPr>
          <w:rFonts w:hint="eastAsia" w:ascii="Times New Roman" w:hAnsi="Times New Roman" w:eastAsia="黑体" w:cs="黑体"/>
          <w:sz w:val="36"/>
          <w:szCs w:val="36"/>
        </w:rPr>
      </w:pPr>
    </w:p>
    <w:p w14:paraId="72286A51">
      <w:pPr>
        <w:pStyle w:val="3"/>
        <w:spacing w:line="560" w:lineRule="exact"/>
        <w:ind w:firstLine="711" w:firstLineChars="200"/>
        <w:rPr>
          <w:rFonts w:hint="eastAsia" w:ascii="仿宋_GB2312" w:hAnsi="仿宋_GB2312" w:eastAsia="仿宋_GB2312" w:cs="仿宋_GB2312"/>
          <w:spacing w:val="17"/>
          <w:sz w:val="32"/>
          <w:szCs w:val="32"/>
          <w:lang w:eastAsia="zh-CN"/>
        </w:rPr>
      </w:pPr>
      <w:r>
        <w:rPr>
          <w:rFonts w:hint="eastAsia" w:ascii="Times New Roman" w:hAnsi="Times New Roman" w:eastAsia="仿宋_GB2312" w:cs="仿宋_GB2312"/>
          <w:b/>
          <w:bCs/>
          <w:spacing w:val="17"/>
          <w:sz w:val="32"/>
          <w:szCs w:val="32"/>
          <w:lang w:eastAsia="zh-CN"/>
        </w:rPr>
        <w:t xml:space="preserve">第十九条  </w:t>
      </w:r>
      <w:r>
        <w:rPr>
          <w:rFonts w:hint="eastAsia" w:ascii="仿宋_GB2312" w:hAnsi="仿宋_GB2312" w:eastAsia="仿宋_GB2312" w:cs="仿宋_GB2312"/>
          <w:spacing w:val="17"/>
          <w:sz w:val="32"/>
          <w:szCs w:val="32"/>
          <w:lang w:eastAsia="zh-CN"/>
        </w:rPr>
        <w:t>战略性</w:t>
      </w:r>
      <w:bookmarkStart w:id="1" w:name="OLE_LINK3"/>
      <w:r>
        <w:rPr>
          <w:rFonts w:hint="eastAsia" w:ascii="仿宋_GB2312" w:hAnsi="仿宋_GB2312" w:eastAsia="仿宋_GB2312" w:cs="仿宋_GB2312"/>
          <w:spacing w:val="17"/>
          <w:sz w:val="32"/>
          <w:szCs w:val="32"/>
          <w:lang w:eastAsia="zh-CN"/>
        </w:rPr>
        <w:t>直投项目/子基金</w:t>
      </w:r>
      <w:bookmarkEnd w:id="1"/>
      <w:r>
        <w:rPr>
          <w:rFonts w:hint="eastAsia" w:ascii="仿宋_GB2312" w:hAnsi="仿宋_GB2312" w:eastAsia="仿宋_GB2312" w:cs="仿宋_GB2312"/>
          <w:spacing w:val="17"/>
          <w:sz w:val="32"/>
          <w:szCs w:val="32"/>
          <w:lang w:eastAsia="zh-CN"/>
        </w:rPr>
        <w:t>投资决策流程如下：</w:t>
      </w:r>
    </w:p>
    <w:p w14:paraId="5CFE8D9F">
      <w:pPr>
        <w:pStyle w:val="3"/>
        <w:spacing w:line="560" w:lineRule="exact"/>
        <w:ind w:firstLine="632" w:firstLineChars="200"/>
        <w:rPr>
          <w:rFonts w:ascii="Times New Roman" w:hAnsi="Times New Roman" w:eastAsia="仿宋_GB2312" w:cs="仿宋_GB2312"/>
          <w:spacing w:val="-2"/>
          <w:sz w:val="32"/>
          <w:szCs w:val="32"/>
          <w:lang w:eastAsia="zh-CN"/>
        </w:rPr>
      </w:pPr>
      <w:r>
        <w:rPr>
          <w:rFonts w:hint="eastAsia" w:ascii="Times New Roman" w:hAnsi="Times New Roman" w:eastAsia="仿宋_GB2312" w:cs="仿宋_GB2312"/>
          <w:spacing w:val="-2"/>
          <w:sz w:val="32"/>
          <w:szCs w:val="32"/>
          <w:lang w:eastAsia="zh-CN"/>
        </w:rPr>
        <w:t>（一）</w:t>
      </w:r>
      <w:r>
        <w:rPr>
          <w:rFonts w:hint="eastAsia" w:ascii="仿宋_GB2312" w:hAnsi="仿宋_GB2312" w:eastAsia="仿宋_GB2312" w:cs="仿宋_GB2312"/>
          <w:spacing w:val="17"/>
          <w:sz w:val="32"/>
          <w:szCs w:val="32"/>
          <w:lang w:eastAsia="zh-CN"/>
        </w:rPr>
        <w:t>直投项目/子基金</w:t>
      </w:r>
      <w:r>
        <w:rPr>
          <w:rFonts w:hint="eastAsia" w:ascii="Times New Roman" w:hAnsi="Times New Roman" w:eastAsia="仿宋_GB2312" w:cs="仿宋_GB2312"/>
          <w:spacing w:val="-2"/>
          <w:sz w:val="32"/>
          <w:szCs w:val="32"/>
          <w:lang w:eastAsia="zh-CN"/>
        </w:rPr>
        <w:t>来源及立项。由生态城市基金相关行业主管部门推荐或久银基金多渠道、多途径主动寻找、发掘市场化的优质</w:t>
      </w:r>
      <w:r>
        <w:rPr>
          <w:rFonts w:hint="eastAsia" w:ascii="仿宋_GB2312" w:hAnsi="仿宋_GB2312" w:eastAsia="仿宋_GB2312" w:cs="仿宋_GB2312"/>
          <w:spacing w:val="17"/>
          <w:sz w:val="32"/>
          <w:szCs w:val="32"/>
          <w:lang w:eastAsia="zh-CN"/>
        </w:rPr>
        <w:t>直投项目/子基金</w:t>
      </w:r>
      <w:r>
        <w:rPr>
          <w:rFonts w:hint="eastAsia" w:ascii="Times New Roman" w:hAnsi="Times New Roman" w:eastAsia="仿宋_GB2312" w:cs="仿宋_GB2312"/>
          <w:spacing w:val="-2"/>
          <w:sz w:val="32"/>
          <w:szCs w:val="32"/>
          <w:lang w:eastAsia="zh-CN"/>
        </w:rPr>
        <w:t>。久银基金根据已收集的《项目可行性研究报告》或《商业计划书》等资料完成</w:t>
      </w:r>
      <w:r>
        <w:rPr>
          <w:rFonts w:hint="eastAsia" w:ascii="仿宋_GB2312" w:hAnsi="仿宋_GB2312" w:eastAsia="仿宋_GB2312" w:cs="仿宋_GB2312"/>
          <w:spacing w:val="17"/>
          <w:sz w:val="32"/>
          <w:szCs w:val="32"/>
          <w:lang w:eastAsia="zh-CN"/>
        </w:rPr>
        <w:t>直投项目/子基金</w:t>
      </w:r>
      <w:r>
        <w:rPr>
          <w:rFonts w:hint="eastAsia" w:ascii="Times New Roman" w:hAnsi="Times New Roman" w:eastAsia="仿宋_GB2312" w:cs="仿宋_GB2312"/>
          <w:spacing w:val="-2"/>
          <w:sz w:val="32"/>
          <w:szCs w:val="32"/>
          <w:lang w:eastAsia="zh-CN"/>
        </w:rPr>
        <w:t>立项。</w:t>
      </w:r>
    </w:p>
    <w:p w14:paraId="00507EB7">
      <w:pPr>
        <w:pStyle w:val="3"/>
        <w:spacing w:line="560" w:lineRule="exact"/>
        <w:ind w:firstLine="632" w:firstLineChars="200"/>
        <w:rPr>
          <w:rFonts w:ascii="Times New Roman" w:hAnsi="Times New Roman" w:eastAsia="仿宋_GB2312" w:cs="仿宋_GB2312"/>
          <w:spacing w:val="-2"/>
          <w:sz w:val="32"/>
          <w:szCs w:val="32"/>
          <w:lang w:eastAsia="zh-CN"/>
        </w:rPr>
      </w:pPr>
      <w:r>
        <w:rPr>
          <w:rFonts w:hint="eastAsia" w:ascii="Times New Roman" w:hAnsi="Times New Roman" w:eastAsia="仿宋_GB2312" w:cs="仿宋_GB2312"/>
          <w:spacing w:val="-2"/>
          <w:sz w:val="32"/>
          <w:szCs w:val="32"/>
          <w:lang w:eastAsia="zh-CN"/>
        </w:rPr>
        <w:t>（二）预审机制。</w:t>
      </w:r>
      <w:r>
        <w:rPr>
          <w:rFonts w:hint="eastAsia" w:ascii="Times New Roman" w:hAnsi="Times New Roman" w:eastAsia="仿宋_GB2312" w:cs="仿宋_GB2312"/>
          <w:spacing w:val="7"/>
          <w:sz w:val="32"/>
          <w:szCs w:val="32"/>
          <w:lang w:eastAsia="zh-CN"/>
        </w:rPr>
        <w:t>设立联席预审会（以下简称预审会），对投资</w:t>
      </w:r>
      <w:r>
        <w:rPr>
          <w:rFonts w:hint="eastAsia" w:ascii="仿宋_GB2312" w:hAnsi="仿宋_GB2312" w:eastAsia="仿宋_GB2312" w:cs="仿宋_GB2312"/>
          <w:spacing w:val="17"/>
          <w:sz w:val="32"/>
          <w:szCs w:val="32"/>
          <w:lang w:eastAsia="zh-CN"/>
        </w:rPr>
        <w:t>直投项目/子基金</w:t>
      </w:r>
      <w:r>
        <w:rPr>
          <w:rFonts w:hint="eastAsia" w:ascii="Times New Roman" w:hAnsi="Times New Roman" w:eastAsia="仿宋_GB2312" w:cs="仿宋_GB2312"/>
          <w:spacing w:val="7"/>
          <w:sz w:val="32"/>
          <w:szCs w:val="32"/>
          <w:lang w:eastAsia="zh-CN"/>
        </w:rPr>
        <w:t>进行预先审核，主</w:t>
      </w:r>
      <w:r>
        <w:rPr>
          <w:rFonts w:hint="eastAsia" w:ascii="Times New Roman" w:hAnsi="Times New Roman" w:eastAsia="仿宋_GB2312" w:cs="仿宋_GB2312"/>
          <w:spacing w:val="18"/>
          <w:sz w:val="32"/>
          <w:szCs w:val="32"/>
          <w:lang w:eastAsia="zh-CN"/>
        </w:rPr>
        <w:t>要对</w:t>
      </w:r>
      <w:r>
        <w:rPr>
          <w:rFonts w:hint="eastAsia" w:ascii="仿宋_GB2312" w:hAnsi="仿宋_GB2312" w:eastAsia="仿宋_GB2312" w:cs="仿宋_GB2312"/>
          <w:spacing w:val="17"/>
          <w:sz w:val="32"/>
          <w:szCs w:val="32"/>
          <w:lang w:eastAsia="zh-CN"/>
        </w:rPr>
        <w:t>直投项目/子基金</w:t>
      </w:r>
      <w:r>
        <w:rPr>
          <w:rFonts w:hint="eastAsia" w:ascii="Times New Roman" w:hAnsi="Times New Roman" w:eastAsia="仿宋_GB2312" w:cs="仿宋_GB2312"/>
          <w:spacing w:val="18"/>
          <w:sz w:val="32"/>
          <w:szCs w:val="32"/>
          <w:lang w:eastAsia="zh-CN"/>
        </w:rPr>
        <w:t>政策导向、技术趋势、合规风险等方面进行审核。预审会成员由市发展改革委、贵阳筑财投资有限公司（以下简称贵阳筑财公司）、贵阳市城市建设投资集团有限公司（以下简称市城投集团）、贵阳市水务环境集</w:t>
      </w:r>
      <w:r>
        <w:rPr>
          <w:rFonts w:hint="eastAsia" w:ascii="Times New Roman" w:hAnsi="Times New Roman" w:eastAsia="仿宋_GB2312" w:cs="仿宋_GB2312"/>
          <w:spacing w:val="15"/>
          <w:sz w:val="32"/>
          <w:szCs w:val="32"/>
          <w:lang w:eastAsia="zh-CN"/>
        </w:rPr>
        <w:t>团有限公司（以下简称市水务集团）、久银基金各委派一名代表组成，市发展改革委审核政策导向，贵阳筑财公司、市城投集团、市水务集团</w:t>
      </w:r>
      <w:r>
        <w:rPr>
          <w:rFonts w:hint="eastAsia" w:ascii="Times New Roman" w:hAnsi="Times New Roman" w:eastAsia="仿宋_GB2312" w:cs="仿宋_GB2312"/>
          <w:spacing w:val="18"/>
          <w:sz w:val="32"/>
          <w:szCs w:val="32"/>
          <w:lang w:eastAsia="zh-CN"/>
        </w:rPr>
        <w:t>审核合规性、资金安全性等。</w:t>
      </w:r>
      <w:r>
        <w:rPr>
          <w:rFonts w:ascii="Times New Roman" w:hAnsi="Times New Roman" w:eastAsia="仿宋_GB2312" w:cs="仿宋_GB2312"/>
          <w:spacing w:val="18"/>
          <w:sz w:val="32"/>
          <w:szCs w:val="32"/>
          <w:lang w:eastAsia="zh-CN"/>
        </w:rPr>
        <w:t>生态城市基金管理人</w:t>
      </w:r>
      <w:r>
        <w:rPr>
          <w:rFonts w:hint="eastAsia" w:ascii="Times New Roman" w:hAnsi="Times New Roman" w:eastAsia="仿宋_GB2312" w:cs="仿宋_GB2312"/>
          <w:spacing w:val="18"/>
          <w:sz w:val="32"/>
          <w:szCs w:val="32"/>
          <w:lang w:eastAsia="zh-CN"/>
        </w:rPr>
        <w:t>负责通知预审会会议。相关行业主管部门提出基金投资决策委员会拟邀请参加投资决策专家名单，提交预审会审议。预审会向基金投资决策委员会出具预审会意见，确定对应</w:t>
      </w:r>
      <w:r>
        <w:rPr>
          <w:rFonts w:hint="eastAsia" w:ascii="仿宋_GB2312" w:hAnsi="仿宋_GB2312" w:eastAsia="仿宋_GB2312" w:cs="仿宋_GB2312"/>
          <w:spacing w:val="17"/>
          <w:sz w:val="32"/>
          <w:szCs w:val="32"/>
          <w:lang w:eastAsia="zh-CN"/>
        </w:rPr>
        <w:t>直投项目/子基金</w:t>
      </w:r>
      <w:r>
        <w:rPr>
          <w:rFonts w:hint="eastAsia" w:ascii="Times New Roman" w:hAnsi="Times New Roman" w:eastAsia="仿宋_GB2312" w:cs="仿宋_GB2312"/>
          <w:spacing w:val="18"/>
          <w:sz w:val="32"/>
          <w:szCs w:val="32"/>
          <w:lang w:eastAsia="zh-CN"/>
        </w:rPr>
        <w:t>基金投资决策委员会拟邀请专家名单。根据</w:t>
      </w:r>
      <w:r>
        <w:rPr>
          <w:rFonts w:hint="eastAsia" w:ascii="Times New Roman" w:hAnsi="Times New Roman" w:eastAsia="仿宋_GB2312" w:cs="仿宋_GB2312"/>
          <w:spacing w:val="15"/>
          <w:sz w:val="32"/>
          <w:szCs w:val="32"/>
          <w:lang w:eastAsia="zh-CN"/>
        </w:rPr>
        <w:t>投资领域可增加一名临时委员，由相关行业</w:t>
      </w:r>
      <w:r>
        <w:rPr>
          <w:rFonts w:hint="eastAsia" w:ascii="Times New Roman" w:hAnsi="Times New Roman" w:eastAsia="仿宋_GB2312" w:cs="仿宋_GB2312"/>
          <w:spacing w:val="14"/>
          <w:sz w:val="32"/>
          <w:szCs w:val="32"/>
          <w:lang w:eastAsia="zh-CN"/>
        </w:rPr>
        <w:t>主管部门委派一名代</w:t>
      </w:r>
      <w:r>
        <w:rPr>
          <w:rFonts w:hint="eastAsia" w:ascii="Times New Roman" w:hAnsi="Times New Roman" w:eastAsia="仿宋_GB2312" w:cs="仿宋_GB2312"/>
          <w:spacing w:val="6"/>
          <w:sz w:val="32"/>
          <w:szCs w:val="32"/>
          <w:lang w:eastAsia="zh-CN"/>
        </w:rPr>
        <w:t>表参加，预审会实行票决制，经所有参会委员2/3以上同意视为项</w:t>
      </w:r>
      <w:r>
        <w:rPr>
          <w:rFonts w:hint="eastAsia" w:ascii="Times New Roman" w:hAnsi="Times New Roman" w:eastAsia="仿宋_GB2312" w:cs="仿宋_GB2312"/>
          <w:spacing w:val="-4"/>
          <w:sz w:val="32"/>
          <w:szCs w:val="32"/>
          <w:lang w:eastAsia="zh-CN"/>
        </w:rPr>
        <w:t>目通过预审。</w:t>
      </w:r>
    </w:p>
    <w:p w14:paraId="11A383B9">
      <w:pPr>
        <w:pStyle w:val="3"/>
        <w:spacing w:line="600" w:lineRule="exact"/>
        <w:ind w:firstLine="632" w:firstLineChars="200"/>
        <w:rPr>
          <w:rFonts w:ascii="Times New Roman" w:hAnsi="Times New Roman" w:eastAsia="仿宋_GB2312" w:cs="仿宋_GB2312"/>
          <w:spacing w:val="17"/>
          <w:sz w:val="32"/>
          <w:szCs w:val="32"/>
          <w:lang w:eastAsia="zh-CN"/>
        </w:rPr>
      </w:pPr>
      <w:r>
        <w:rPr>
          <w:rFonts w:hint="eastAsia" w:ascii="Times New Roman" w:hAnsi="Times New Roman" w:eastAsia="仿宋_GB2312" w:cs="仿宋_GB2312"/>
          <w:spacing w:val="-2"/>
          <w:sz w:val="32"/>
          <w:szCs w:val="32"/>
          <w:lang w:eastAsia="zh-CN"/>
        </w:rPr>
        <w:t>（三）投资决策。</w:t>
      </w:r>
      <w:r>
        <w:rPr>
          <w:rFonts w:hint="eastAsia" w:ascii="Times New Roman" w:hAnsi="Times New Roman" w:eastAsia="仿宋_GB2312" w:cs="仿宋_GB2312"/>
          <w:spacing w:val="7"/>
          <w:sz w:val="32"/>
          <w:szCs w:val="32"/>
          <w:lang w:eastAsia="zh-CN"/>
        </w:rPr>
        <w:t>设立投资决策委员会</w:t>
      </w:r>
      <w:r>
        <w:rPr>
          <w:rFonts w:hint="eastAsia" w:ascii="Times New Roman" w:hAnsi="Times New Roman" w:eastAsia="仿宋_GB2312" w:cs="仿宋_GB2312"/>
          <w:spacing w:val="16"/>
          <w:sz w:val="32"/>
          <w:szCs w:val="32"/>
          <w:lang w:eastAsia="zh-CN"/>
        </w:rPr>
        <w:t>（以下简称投决会</w:t>
      </w:r>
      <w:r>
        <w:rPr>
          <w:rFonts w:hint="eastAsia" w:ascii="Times New Roman" w:hAnsi="Times New Roman" w:eastAsia="仿宋_GB2312" w:cs="仿宋_GB2312"/>
          <w:spacing w:val="7"/>
          <w:sz w:val="32"/>
          <w:szCs w:val="32"/>
          <w:lang w:eastAsia="zh-CN"/>
        </w:rPr>
        <w:t>），对生态城市基金投资活动的管理、</w:t>
      </w:r>
      <w:r>
        <w:rPr>
          <w:rFonts w:hint="eastAsia" w:ascii="Times New Roman" w:hAnsi="Times New Roman" w:eastAsia="仿宋_GB2312" w:cs="仿宋_GB2312"/>
          <w:spacing w:val="8"/>
          <w:sz w:val="32"/>
          <w:szCs w:val="32"/>
          <w:lang w:eastAsia="zh-CN"/>
        </w:rPr>
        <w:t>控制、运营、退出等作出审议及决策。投决</w:t>
      </w:r>
      <w:r>
        <w:rPr>
          <w:rFonts w:hint="eastAsia" w:ascii="Times New Roman" w:hAnsi="Times New Roman" w:eastAsia="仿宋_GB2312" w:cs="仿宋_GB2312"/>
          <w:spacing w:val="7"/>
          <w:sz w:val="32"/>
          <w:szCs w:val="32"/>
          <w:lang w:eastAsia="zh-CN"/>
        </w:rPr>
        <w:t>会由5名人员组成，其中久银基金委派3名，邀请外部专家2名（由预审</w:t>
      </w:r>
      <w:r>
        <w:rPr>
          <w:rFonts w:hint="eastAsia" w:ascii="Times New Roman" w:hAnsi="Times New Roman" w:eastAsia="仿宋_GB2312" w:cs="仿宋_GB2312"/>
          <w:spacing w:val="6"/>
          <w:sz w:val="32"/>
          <w:szCs w:val="32"/>
          <w:lang w:eastAsia="zh-CN"/>
        </w:rPr>
        <w:t>会确定专家名</w:t>
      </w:r>
      <w:r>
        <w:rPr>
          <w:rFonts w:hint="eastAsia" w:ascii="Times New Roman" w:hAnsi="Times New Roman" w:eastAsia="仿宋_GB2312" w:cs="仿宋_GB2312"/>
          <w:spacing w:val="8"/>
          <w:sz w:val="32"/>
          <w:szCs w:val="32"/>
          <w:lang w:eastAsia="zh-CN"/>
        </w:rPr>
        <w:t>单）。投决会实行票决制，经所有参会委员4/5</w:t>
      </w:r>
      <w:r>
        <w:rPr>
          <w:rFonts w:hint="eastAsia" w:ascii="Times New Roman" w:hAnsi="Times New Roman" w:eastAsia="仿宋_GB2312" w:cs="仿宋_GB2312"/>
          <w:spacing w:val="7"/>
          <w:sz w:val="32"/>
          <w:szCs w:val="32"/>
          <w:lang w:eastAsia="zh-CN"/>
        </w:rPr>
        <w:t>及以上同意的视为</w:t>
      </w:r>
      <w:r>
        <w:rPr>
          <w:rFonts w:hint="eastAsia" w:ascii="Times New Roman" w:hAnsi="Times New Roman" w:eastAsia="仿宋_GB2312" w:cs="仿宋_GB2312"/>
          <w:spacing w:val="18"/>
          <w:sz w:val="32"/>
          <w:szCs w:val="32"/>
          <w:lang w:eastAsia="zh-CN"/>
        </w:rPr>
        <w:t>通过。市发展改革委、贵阳筑财公司委</w:t>
      </w:r>
      <w:r>
        <w:rPr>
          <w:rFonts w:hint="eastAsia" w:ascii="Times New Roman" w:hAnsi="Times New Roman" w:eastAsia="仿宋_GB2312" w:cs="仿宋_GB2312"/>
          <w:spacing w:val="17"/>
          <w:sz w:val="32"/>
          <w:szCs w:val="32"/>
          <w:lang w:eastAsia="zh-CN"/>
        </w:rPr>
        <w:t>派代表作为观察</w:t>
      </w:r>
      <w:r>
        <w:rPr>
          <w:rFonts w:hint="eastAsia" w:ascii="Times New Roman" w:hAnsi="Times New Roman" w:eastAsia="仿宋_GB2312" w:cs="仿宋_GB2312"/>
          <w:spacing w:val="-3"/>
          <w:sz w:val="32"/>
          <w:szCs w:val="32"/>
          <w:lang w:eastAsia="zh-CN"/>
        </w:rPr>
        <w:t>员列席投决会。</w:t>
      </w:r>
    </w:p>
    <w:p w14:paraId="37EB0C1C">
      <w:pPr>
        <w:pStyle w:val="3"/>
        <w:spacing w:line="600" w:lineRule="exact"/>
        <w:ind w:firstLine="711" w:firstLineChars="200"/>
        <w:rPr>
          <w:rFonts w:hint="eastAsia" w:ascii="Times New Roman" w:hAnsi="Times New Roman" w:eastAsia="仿宋_GB2312" w:cs="仿宋_GB2312"/>
          <w:spacing w:val="-3"/>
          <w:sz w:val="32"/>
          <w:szCs w:val="32"/>
          <w:lang w:eastAsia="zh-CN"/>
        </w:rPr>
      </w:pPr>
      <w:r>
        <w:rPr>
          <w:rFonts w:hint="eastAsia" w:ascii="Times New Roman" w:hAnsi="Times New Roman" w:eastAsia="仿宋_GB2312" w:cs="仿宋_GB2312"/>
          <w:b/>
          <w:bCs/>
          <w:spacing w:val="17"/>
          <w:sz w:val="32"/>
          <w:szCs w:val="32"/>
          <w:lang w:eastAsia="zh-CN"/>
        </w:rPr>
        <w:t>第二十条</w:t>
      </w:r>
      <w:r>
        <w:rPr>
          <w:rFonts w:hint="eastAsia" w:ascii="Times New Roman" w:hAnsi="Times New Roman" w:eastAsia="黑体" w:cs="仿宋_GB2312"/>
          <w:sz w:val="32"/>
          <w:szCs w:val="32"/>
          <w:lang w:eastAsia="zh-CN"/>
        </w:rPr>
        <w:t xml:space="preserve">  </w:t>
      </w:r>
      <w:r>
        <w:rPr>
          <w:rFonts w:hint="eastAsia" w:ascii="Times New Roman" w:hAnsi="Times New Roman" w:eastAsia="仿宋_GB2312" w:cs="仿宋_GB2312"/>
          <w:spacing w:val="-3"/>
          <w:sz w:val="32"/>
          <w:szCs w:val="32"/>
          <w:lang w:eastAsia="zh-CN"/>
        </w:rPr>
        <w:t>生态城市基金有权根据自身情况委派代表担任子基金的投决会委员、观察员或咨询委员会委员等，在子基金拟投资项目提交其投决会前，生态城市基金需对项目进行合规性审查，对违法、违规、偏离政策导向和违反合伙协议等事项，生态城市基金具有一票否决权。如因特殊情况无法在基金协议中约定一票否决权的，生态城市基金应约定其他监督性条款。</w:t>
      </w:r>
    </w:p>
    <w:p w14:paraId="3015DC1D">
      <w:pPr>
        <w:pStyle w:val="3"/>
        <w:spacing w:line="600" w:lineRule="exact"/>
        <w:ind w:firstLine="628" w:firstLineChars="200"/>
        <w:rPr>
          <w:rFonts w:hint="eastAsia" w:ascii="Times New Roman" w:hAnsi="Times New Roman" w:eastAsia="仿宋_GB2312" w:cs="仿宋_GB2312"/>
          <w:spacing w:val="-3"/>
          <w:sz w:val="32"/>
          <w:szCs w:val="32"/>
          <w:lang w:eastAsia="zh-CN"/>
        </w:rPr>
      </w:pPr>
    </w:p>
    <w:p w14:paraId="4DBD07AB">
      <w:pPr>
        <w:spacing w:line="600" w:lineRule="exact"/>
        <w:jc w:val="center"/>
        <w:rPr>
          <w:rFonts w:ascii="Times New Roman" w:hAnsi="Times New Roman" w:eastAsia="黑体" w:cs="黑体"/>
          <w:sz w:val="36"/>
          <w:szCs w:val="36"/>
        </w:rPr>
      </w:pPr>
      <w:r>
        <w:rPr>
          <w:rFonts w:hint="eastAsia" w:ascii="Times New Roman" w:hAnsi="Times New Roman" w:eastAsia="黑体" w:cs="黑体"/>
          <w:sz w:val="36"/>
          <w:szCs w:val="36"/>
        </w:rPr>
        <w:t>第五章  退出机制</w:t>
      </w:r>
    </w:p>
    <w:p w14:paraId="2BC78C9A">
      <w:pPr>
        <w:spacing w:line="600" w:lineRule="exact"/>
        <w:ind w:firstLine="740" w:firstLineChars="200"/>
        <w:rPr>
          <w:rFonts w:ascii="Times New Roman" w:hAnsi="Times New Roman" w:eastAsia="黑体" w:cs="黑体"/>
          <w:color w:val="333333"/>
          <w:spacing w:val="5"/>
          <w:sz w:val="36"/>
          <w:szCs w:val="36"/>
        </w:rPr>
      </w:pPr>
    </w:p>
    <w:p w14:paraId="13100518">
      <w:pPr>
        <w:spacing w:line="600" w:lineRule="exact"/>
        <w:ind w:firstLine="711" w:firstLineChars="200"/>
        <w:rPr>
          <w:rFonts w:ascii="Times New Roman" w:hAnsi="Times New Roman" w:cs="仿宋_GB2312"/>
          <w:spacing w:val="1"/>
          <w:szCs w:val="32"/>
        </w:rPr>
      </w:pPr>
      <w:r>
        <w:rPr>
          <w:rFonts w:hint="eastAsia" w:ascii="Times New Roman" w:hAnsi="Times New Roman" w:cs="仿宋_GB2312"/>
          <w:b/>
          <w:bCs/>
          <w:spacing w:val="17"/>
          <w:szCs w:val="32"/>
        </w:rPr>
        <w:t>第二十一条</w:t>
      </w:r>
      <w:r>
        <w:rPr>
          <w:rFonts w:hint="eastAsia" w:ascii="Times New Roman" w:hAnsi="Times New Roman" w:eastAsia="黑体" w:cs="黑体"/>
          <w:color w:val="333333"/>
          <w:spacing w:val="5"/>
          <w:szCs w:val="32"/>
        </w:rPr>
        <w:t xml:space="preserve">  </w:t>
      </w:r>
      <w:r>
        <w:rPr>
          <w:rFonts w:hint="eastAsia" w:ascii="Times New Roman" w:hAnsi="Times New Roman" w:cs="仿宋_GB2312"/>
          <w:spacing w:val="5"/>
          <w:szCs w:val="32"/>
        </w:rPr>
        <w:t>生态城市基金原则上</w:t>
      </w:r>
      <w:r>
        <w:rPr>
          <w:rFonts w:ascii="Times New Roman" w:hAnsi="Times New Roman" w:cs="仿宋_GB2312"/>
          <w:spacing w:val="5"/>
          <w:szCs w:val="32"/>
        </w:rPr>
        <w:t>在存续期届满后终止，</w:t>
      </w:r>
      <w:r>
        <w:rPr>
          <w:rFonts w:hint="eastAsia" w:ascii="Times New Roman" w:hAnsi="Times New Roman" w:cs="仿宋_GB2312"/>
          <w:spacing w:val="18"/>
          <w:szCs w:val="32"/>
        </w:rPr>
        <w:t>在</w:t>
      </w:r>
      <w:r>
        <w:rPr>
          <w:rFonts w:hint="eastAsia" w:ascii="Times New Roman" w:hAnsi="Times New Roman" w:cs="仿宋_GB2312"/>
          <w:spacing w:val="5"/>
          <w:szCs w:val="32"/>
        </w:rPr>
        <w:t>生态城市</w:t>
      </w:r>
      <w:r>
        <w:rPr>
          <w:rFonts w:ascii="Times New Roman" w:hAnsi="Times New Roman" w:cs="仿宋_GB2312"/>
          <w:spacing w:val="5"/>
          <w:szCs w:val="32"/>
        </w:rPr>
        <w:t>基金出资人监督下组织清算和分配。</w:t>
      </w:r>
      <w:r>
        <w:rPr>
          <w:rFonts w:hint="eastAsia" w:ascii="Times New Roman" w:hAnsi="Times New Roman" w:cs="仿宋_GB2312"/>
          <w:spacing w:val="5"/>
          <w:szCs w:val="32"/>
        </w:rPr>
        <w:t>生态城市</w:t>
      </w:r>
      <w:r>
        <w:rPr>
          <w:rFonts w:ascii="Times New Roman" w:hAnsi="Times New Roman" w:cs="仿宋_GB2312"/>
          <w:spacing w:val="5"/>
          <w:szCs w:val="32"/>
        </w:rPr>
        <w:t>基金进入退出期后，</w:t>
      </w:r>
      <w:r>
        <w:rPr>
          <w:rFonts w:hint="eastAsia" w:ascii="Times New Roman" w:hAnsi="Times New Roman" w:cs="仿宋_GB2312"/>
          <w:spacing w:val="5"/>
          <w:szCs w:val="32"/>
        </w:rPr>
        <w:t>生态城市基金管理人</w:t>
      </w:r>
      <w:r>
        <w:rPr>
          <w:rFonts w:ascii="Times New Roman" w:hAnsi="Times New Roman" w:cs="仿宋_GB2312"/>
          <w:spacing w:val="5"/>
          <w:szCs w:val="32"/>
        </w:rPr>
        <w:t>应当做好基金清算准备工作，根据</w:t>
      </w:r>
      <w:r>
        <w:rPr>
          <w:rFonts w:hint="eastAsia" w:ascii="Times New Roman" w:hAnsi="Times New Roman" w:cs="仿宋_GB2312"/>
          <w:spacing w:val="5"/>
          <w:szCs w:val="32"/>
        </w:rPr>
        <w:t>基</w:t>
      </w:r>
      <w:r>
        <w:rPr>
          <w:rFonts w:ascii="Times New Roman" w:hAnsi="Times New Roman" w:cs="仿宋_GB2312"/>
          <w:spacing w:val="-3"/>
          <w:szCs w:val="32"/>
        </w:rPr>
        <w:t>金合伙协议的约定按期清算。基金确需延长存续期限的，</w:t>
      </w:r>
      <w:r>
        <w:rPr>
          <w:rFonts w:ascii="Times New Roman" w:hAnsi="Times New Roman" w:cs="仿宋_GB2312"/>
          <w:szCs w:val="32"/>
        </w:rPr>
        <w:t>经合伙人大会通过后，由市发展改革委提交市基金管</w:t>
      </w:r>
      <w:r>
        <w:rPr>
          <w:rFonts w:ascii="Times New Roman" w:hAnsi="Times New Roman" w:cs="仿宋_GB2312"/>
          <w:spacing w:val="1"/>
          <w:szCs w:val="32"/>
        </w:rPr>
        <w:t>委会批准。</w:t>
      </w:r>
    </w:p>
    <w:p w14:paraId="71A253C5">
      <w:pPr>
        <w:pStyle w:val="3"/>
        <w:spacing w:line="600" w:lineRule="exact"/>
        <w:ind w:firstLine="711" w:firstLineChars="200"/>
        <w:rPr>
          <w:rFonts w:ascii="Times New Roman" w:hAnsi="Times New Roman" w:eastAsia="仿宋_GB2312" w:cs="仿宋_GB2312"/>
          <w:spacing w:val="7"/>
          <w:sz w:val="32"/>
          <w:szCs w:val="32"/>
          <w:lang w:eastAsia="zh-CN"/>
        </w:rPr>
      </w:pPr>
      <w:r>
        <w:rPr>
          <w:rFonts w:hint="eastAsia" w:ascii="Times New Roman" w:hAnsi="Times New Roman" w:eastAsia="仿宋_GB2312" w:cs="仿宋_GB2312"/>
          <w:b/>
          <w:bCs/>
          <w:spacing w:val="17"/>
          <w:sz w:val="32"/>
          <w:szCs w:val="32"/>
          <w:lang w:eastAsia="zh-CN"/>
        </w:rPr>
        <w:t>第二十二条</w:t>
      </w:r>
      <w:r>
        <w:rPr>
          <w:rFonts w:hint="eastAsia" w:ascii="Times New Roman" w:hAnsi="Times New Roman" w:eastAsia="黑体" w:cs="黑体"/>
          <w:spacing w:val="7"/>
          <w:sz w:val="32"/>
          <w:szCs w:val="32"/>
          <w:lang w:eastAsia="zh-CN"/>
        </w:rPr>
        <w:t xml:space="preserve">  </w:t>
      </w:r>
      <w:r>
        <w:rPr>
          <w:rFonts w:hint="eastAsia" w:ascii="Times New Roman" w:hAnsi="Times New Roman" w:eastAsia="仿宋_GB2312" w:cs="仿宋_GB2312"/>
          <w:spacing w:val="7"/>
          <w:sz w:val="32"/>
          <w:szCs w:val="32"/>
          <w:lang w:eastAsia="zh-CN"/>
        </w:rPr>
        <w:t>战略性直投项目在基金存续期内通过到期清算、强制解散、股权（份额转让）、股东（其他出资人）回购、</w:t>
      </w:r>
      <w:r>
        <w:rPr>
          <w:rFonts w:hint="eastAsia" w:ascii="Times New Roman" w:hAnsi="Times New Roman" w:eastAsia="仿宋_GB2312" w:cs="仿宋_GB2312"/>
          <w:spacing w:val="18"/>
          <w:sz w:val="32"/>
          <w:szCs w:val="32"/>
          <w:lang w:eastAsia="zh-CN"/>
        </w:rPr>
        <w:t>协议减资</w:t>
      </w:r>
      <w:r>
        <w:rPr>
          <w:rFonts w:hint="eastAsia" w:ascii="Times New Roman" w:hAnsi="Times New Roman" w:eastAsia="仿宋_GB2312" w:cs="仿宋_GB2312"/>
          <w:spacing w:val="7"/>
          <w:sz w:val="32"/>
          <w:szCs w:val="32"/>
          <w:lang w:eastAsia="zh-CN"/>
        </w:rPr>
        <w:t>等方式实现退出。生态城市基金存续期满后，由</w:t>
      </w:r>
      <w:r>
        <w:rPr>
          <w:rFonts w:hint="eastAsia" w:ascii="Times New Roman" w:hAnsi="Times New Roman" w:eastAsia="仿宋_GB2312" w:cs="仿宋_GB2312"/>
          <w:spacing w:val="-2"/>
          <w:sz w:val="32"/>
          <w:szCs w:val="32"/>
          <w:lang w:eastAsia="zh-CN"/>
        </w:rPr>
        <w:t>久银基金</w:t>
      </w:r>
      <w:r>
        <w:rPr>
          <w:rFonts w:hint="eastAsia" w:ascii="Times New Roman" w:hAnsi="Times New Roman" w:eastAsia="仿宋_GB2312" w:cs="仿宋_GB2312"/>
          <w:spacing w:val="7"/>
          <w:sz w:val="32"/>
          <w:szCs w:val="32"/>
          <w:lang w:eastAsia="zh-CN"/>
        </w:rPr>
        <w:t>组织清算，清算后的本金和投资收益按程序全部上缴。</w:t>
      </w:r>
    </w:p>
    <w:p w14:paraId="34A387B1">
      <w:pPr>
        <w:pStyle w:val="3"/>
        <w:spacing w:line="600" w:lineRule="exact"/>
        <w:ind w:firstLine="711" w:firstLineChars="200"/>
        <w:rPr>
          <w:rFonts w:ascii="Times New Roman" w:hAnsi="Times New Roman" w:eastAsia="仿宋_GB2312" w:cs="仿宋_GB2312"/>
          <w:spacing w:val="3"/>
          <w:sz w:val="32"/>
          <w:szCs w:val="32"/>
          <w:lang w:eastAsia="zh-CN"/>
        </w:rPr>
      </w:pPr>
      <w:r>
        <w:rPr>
          <w:rFonts w:hint="eastAsia" w:ascii="Times New Roman" w:hAnsi="Times New Roman" w:eastAsia="仿宋_GB2312" w:cs="仿宋_GB2312"/>
          <w:b/>
          <w:bCs/>
          <w:spacing w:val="17"/>
          <w:sz w:val="32"/>
          <w:szCs w:val="32"/>
          <w:lang w:eastAsia="zh-CN"/>
        </w:rPr>
        <w:t>第二十三条</w:t>
      </w:r>
      <w:r>
        <w:rPr>
          <w:rFonts w:hint="eastAsia" w:ascii="Times New Roman" w:hAnsi="Times New Roman" w:eastAsia="黑体" w:cs="黑体"/>
          <w:spacing w:val="18"/>
          <w:sz w:val="32"/>
          <w:szCs w:val="32"/>
          <w:lang w:eastAsia="zh-CN"/>
        </w:rPr>
        <w:t xml:space="preserve">  </w:t>
      </w:r>
      <w:r>
        <w:rPr>
          <w:rFonts w:hint="eastAsia" w:ascii="Times New Roman" w:hAnsi="Times New Roman" w:eastAsia="仿宋_GB2312" w:cs="仿宋_GB2312"/>
          <w:spacing w:val="18"/>
          <w:sz w:val="32"/>
          <w:szCs w:val="32"/>
          <w:lang w:eastAsia="zh-CN"/>
        </w:rPr>
        <w:t>参股子基金可通过</w:t>
      </w:r>
      <w:r>
        <w:rPr>
          <w:rFonts w:hint="eastAsia" w:ascii="Times New Roman" w:hAnsi="Times New Roman" w:eastAsia="仿宋_GB2312" w:cs="仿宋_GB2312"/>
          <w:spacing w:val="17"/>
          <w:sz w:val="32"/>
          <w:szCs w:val="32"/>
          <w:lang w:eastAsia="zh-CN"/>
        </w:rPr>
        <w:t>份额转</w:t>
      </w:r>
      <w:r>
        <w:rPr>
          <w:rFonts w:hint="eastAsia" w:ascii="Times New Roman" w:hAnsi="Times New Roman" w:eastAsia="仿宋_GB2312" w:cs="仿宋_GB2312"/>
          <w:spacing w:val="3"/>
          <w:sz w:val="32"/>
          <w:szCs w:val="32"/>
          <w:lang w:eastAsia="zh-CN"/>
        </w:rPr>
        <w:t>让、协议减资、清算等方式退出。</w:t>
      </w:r>
    </w:p>
    <w:p w14:paraId="677368A4">
      <w:pPr>
        <w:pStyle w:val="3"/>
        <w:spacing w:line="600" w:lineRule="exact"/>
        <w:ind w:firstLine="711" w:firstLineChars="200"/>
        <w:rPr>
          <w:rFonts w:ascii="Times New Roman" w:hAnsi="Times New Roman" w:eastAsia="仿宋_GB2312" w:cs="仿宋_GB2312"/>
          <w:spacing w:val="18"/>
          <w:sz w:val="32"/>
          <w:szCs w:val="32"/>
          <w:lang w:eastAsia="zh-CN"/>
        </w:rPr>
      </w:pPr>
      <w:r>
        <w:rPr>
          <w:rFonts w:hint="eastAsia" w:ascii="Times New Roman" w:hAnsi="Times New Roman" w:eastAsia="仿宋_GB2312" w:cs="仿宋_GB2312"/>
          <w:b/>
          <w:bCs/>
          <w:spacing w:val="17"/>
          <w:sz w:val="32"/>
          <w:szCs w:val="32"/>
          <w:lang w:eastAsia="zh-CN"/>
        </w:rPr>
        <w:t>第二十四条</w:t>
      </w:r>
      <w:r>
        <w:rPr>
          <w:rFonts w:hint="eastAsia" w:ascii="Times New Roman" w:hAnsi="Times New Roman" w:eastAsia="黑体" w:cs="黑体"/>
          <w:spacing w:val="18"/>
          <w:sz w:val="32"/>
          <w:szCs w:val="32"/>
          <w:lang w:eastAsia="zh-CN"/>
        </w:rPr>
        <w:t xml:space="preserve">  </w:t>
      </w:r>
      <w:r>
        <w:rPr>
          <w:rFonts w:hint="eastAsia" w:ascii="Times New Roman" w:hAnsi="Times New Roman" w:eastAsia="仿宋_GB2312" w:cs="仿宋_GB2312"/>
          <w:spacing w:val="18"/>
          <w:sz w:val="32"/>
          <w:szCs w:val="32"/>
          <w:lang w:eastAsia="zh-CN"/>
        </w:rPr>
        <w:t>子基金出现下列情况之一时，生态城市基金可以无需其他出资人同意，选择提前退出，在退出时有权要求至少收回投资资本金及同期活期利率计算之和，如有收益部分则按照有关约定享有收益分配：</w:t>
      </w:r>
    </w:p>
    <w:p w14:paraId="3B5AF273">
      <w:pPr>
        <w:pStyle w:val="3"/>
        <w:spacing w:line="600" w:lineRule="exact"/>
        <w:ind w:firstLine="712" w:firstLineChars="200"/>
        <w:rPr>
          <w:rFonts w:ascii="Times New Roman" w:hAnsi="Times New Roman" w:eastAsia="仿宋_GB2312" w:cs="仿宋_GB2312"/>
          <w:spacing w:val="18"/>
          <w:sz w:val="32"/>
          <w:szCs w:val="32"/>
          <w:lang w:eastAsia="zh-CN"/>
        </w:rPr>
      </w:pPr>
      <w:r>
        <w:rPr>
          <w:rFonts w:hint="eastAsia" w:ascii="Times New Roman" w:hAnsi="Times New Roman" w:eastAsia="仿宋_GB2312" w:cs="仿宋_GB2312"/>
          <w:spacing w:val="18"/>
          <w:sz w:val="32"/>
          <w:szCs w:val="32"/>
          <w:lang w:eastAsia="zh-CN"/>
        </w:rPr>
        <w:t>（一）子基金设立方案完成审批或公示后超过1年，未按约定程序和时间要求完成设立或者增资（入伙）手续的；</w:t>
      </w:r>
    </w:p>
    <w:p w14:paraId="08B291D9">
      <w:pPr>
        <w:pStyle w:val="3"/>
        <w:spacing w:line="600" w:lineRule="exact"/>
        <w:ind w:firstLine="712" w:firstLineChars="200"/>
        <w:rPr>
          <w:rFonts w:ascii="Times New Roman" w:hAnsi="Times New Roman" w:eastAsia="仿宋_GB2312" w:cs="仿宋_GB2312"/>
          <w:spacing w:val="18"/>
          <w:sz w:val="32"/>
          <w:szCs w:val="32"/>
          <w:lang w:eastAsia="zh-CN"/>
        </w:rPr>
      </w:pPr>
      <w:r>
        <w:rPr>
          <w:rFonts w:hint="eastAsia" w:ascii="Times New Roman" w:hAnsi="Times New Roman" w:eastAsia="仿宋_GB2312" w:cs="仿宋_GB2312"/>
          <w:spacing w:val="18"/>
          <w:sz w:val="32"/>
          <w:szCs w:val="32"/>
          <w:lang w:eastAsia="zh-CN"/>
        </w:rPr>
        <w:t>（二）母基金出资拨付子基金账户1年以上，子基金未开展投资业务的；</w:t>
      </w:r>
    </w:p>
    <w:p w14:paraId="618F55F6">
      <w:pPr>
        <w:pStyle w:val="3"/>
        <w:spacing w:line="600" w:lineRule="exact"/>
        <w:ind w:firstLine="712" w:firstLineChars="200"/>
        <w:rPr>
          <w:rFonts w:ascii="Times New Roman" w:hAnsi="Times New Roman" w:eastAsia="仿宋_GB2312" w:cs="仿宋_GB2312"/>
          <w:spacing w:val="18"/>
          <w:sz w:val="32"/>
          <w:szCs w:val="32"/>
          <w:lang w:eastAsia="zh-CN"/>
        </w:rPr>
      </w:pPr>
      <w:r>
        <w:rPr>
          <w:rFonts w:hint="eastAsia" w:ascii="Times New Roman" w:hAnsi="Times New Roman" w:eastAsia="仿宋_GB2312" w:cs="仿宋_GB2312"/>
          <w:spacing w:val="18"/>
          <w:sz w:val="32"/>
          <w:szCs w:val="32"/>
          <w:lang w:eastAsia="zh-CN"/>
        </w:rPr>
        <w:t>（三）子基金投资领域、投资方向和投资标的不符合政策目标和违反现行法律法规的；</w:t>
      </w:r>
    </w:p>
    <w:p w14:paraId="1B08890F">
      <w:pPr>
        <w:pStyle w:val="3"/>
        <w:spacing w:line="600" w:lineRule="exact"/>
        <w:ind w:firstLine="712" w:firstLineChars="200"/>
        <w:rPr>
          <w:rFonts w:ascii="Times New Roman" w:hAnsi="Times New Roman" w:eastAsia="仿宋_GB2312" w:cs="仿宋_GB2312"/>
          <w:spacing w:val="18"/>
          <w:sz w:val="32"/>
          <w:szCs w:val="32"/>
          <w:lang w:eastAsia="zh-CN"/>
        </w:rPr>
      </w:pPr>
      <w:r>
        <w:rPr>
          <w:rFonts w:hint="eastAsia" w:ascii="Times New Roman" w:hAnsi="Times New Roman" w:eastAsia="仿宋_GB2312" w:cs="仿宋_GB2312"/>
          <w:spacing w:val="18"/>
          <w:sz w:val="32"/>
          <w:szCs w:val="32"/>
          <w:lang w:eastAsia="zh-CN"/>
        </w:rPr>
        <w:t>（四）子基金管理人发生实质性变化且未经相关基金权力机构审议通过的，包括但不限于控股股东、实际控制人、管理该基金的关键人士发生变化；</w:t>
      </w:r>
    </w:p>
    <w:p w14:paraId="47E4893B">
      <w:pPr>
        <w:pStyle w:val="3"/>
        <w:spacing w:line="600" w:lineRule="exact"/>
        <w:ind w:firstLine="712" w:firstLineChars="200"/>
        <w:rPr>
          <w:rFonts w:ascii="Times New Roman" w:hAnsi="Times New Roman" w:eastAsia="仿宋_GB2312" w:cs="仿宋_GB2312"/>
          <w:spacing w:val="18"/>
          <w:sz w:val="32"/>
          <w:szCs w:val="32"/>
          <w:lang w:eastAsia="zh-CN"/>
        </w:rPr>
      </w:pPr>
      <w:r>
        <w:rPr>
          <w:rFonts w:hint="eastAsia" w:ascii="Times New Roman" w:hAnsi="Times New Roman" w:eastAsia="仿宋_GB2312" w:cs="仿宋_GB2312"/>
          <w:spacing w:val="18"/>
          <w:sz w:val="32"/>
          <w:szCs w:val="32"/>
          <w:lang w:eastAsia="zh-CN"/>
        </w:rPr>
        <w:t>（五）子基金未按合伙协议或章程约定投资的；</w:t>
      </w:r>
    </w:p>
    <w:p w14:paraId="2C4BE3B3">
      <w:pPr>
        <w:pStyle w:val="3"/>
        <w:spacing w:line="600" w:lineRule="exact"/>
        <w:ind w:firstLine="712" w:firstLineChars="200"/>
        <w:rPr>
          <w:rFonts w:ascii="Times New Roman" w:hAnsi="Times New Roman" w:eastAsia="仿宋_GB2312" w:cs="仿宋_GB2312"/>
          <w:spacing w:val="18"/>
          <w:sz w:val="32"/>
          <w:szCs w:val="32"/>
          <w:lang w:eastAsia="zh-CN"/>
        </w:rPr>
      </w:pPr>
      <w:r>
        <w:rPr>
          <w:rFonts w:hint="eastAsia" w:ascii="Times New Roman" w:hAnsi="Times New Roman" w:eastAsia="仿宋_GB2312" w:cs="仿宋_GB2312"/>
          <w:spacing w:val="18"/>
          <w:sz w:val="32"/>
          <w:szCs w:val="32"/>
          <w:lang w:eastAsia="zh-CN"/>
        </w:rPr>
        <w:t>（六）其他不符合子基金合伙协议或章程约定情形的。</w:t>
      </w:r>
    </w:p>
    <w:p w14:paraId="23CE62F7">
      <w:pPr>
        <w:pStyle w:val="3"/>
        <w:spacing w:line="600" w:lineRule="exact"/>
        <w:ind w:firstLine="711" w:firstLineChars="200"/>
        <w:rPr>
          <w:rFonts w:ascii="Times New Roman" w:hAnsi="Times New Roman" w:eastAsia="仿宋_GB2312" w:cs="仿宋_GB2312"/>
          <w:spacing w:val="18"/>
          <w:sz w:val="32"/>
          <w:szCs w:val="32"/>
          <w:lang w:eastAsia="zh-CN"/>
        </w:rPr>
      </w:pPr>
      <w:r>
        <w:rPr>
          <w:rFonts w:hint="eastAsia" w:ascii="Times New Roman" w:hAnsi="Times New Roman" w:eastAsia="仿宋_GB2312" w:cs="仿宋_GB2312"/>
          <w:b/>
          <w:bCs/>
          <w:spacing w:val="17"/>
          <w:sz w:val="32"/>
          <w:szCs w:val="32"/>
          <w:lang w:eastAsia="zh-CN"/>
        </w:rPr>
        <w:t>第二十五条</w:t>
      </w:r>
      <w:r>
        <w:rPr>
          <w:rFonts w:hint="eastAsia" w:ascii="Times New Roman" w:hAnsi="Times New Roman" w:eastAsia="黑体" w:cs="黑体"/>
          <w:spacing w:val="18"/>
          <w:sz w:val="32"/>
          <w:szCs w:val="32"/>
          <w:lang w:eastAsia="zh-CN"/>
        </w:rPr>
        <w:t xml:space="preserve">  </w:t>
      </w:r>
      <w:r>
        <w:rPr>
          <w:rFonts w:hint="eastAsia" w:ascii="Times New Roman" w:hAnsi="Times New Roman" w:eastAsia="仿宋_GB2312" w:cs="仿宋_GB2312"/>
          <w:spacing w:val="18"/>
          <w:sz w:val="32"/>
          <w:szCs w:val="32"/>
          <w:lang w:eastAsia="zh-CN"/>
        </w:rPr>
        <w:t>子基金应当依法依规在合伙协议或章程约定退出程序，并明确聘请具备资质的资产评估机构对生态城市基金出资权益进行评估，作为确定生态城市基金退出价格的依据。</w:t>
      </w:r>
    </w:p>
    <w:p w14:paraId="46D7C2B2">
      <w:pPr>
        <w:pStyle w:val="3"/>
        <w:spacing w:line="600" w:lineRule="exact"/>
        <w:ind w:firstLine="711" w:firstLineChars="200"/>
        <w:rPr>
          <w:rFonts w:ascii="Times New Roman" w:hAnsi="Times New Roman" w:eastAsia="仿宋_GB2312" w:cs="仿宋_GB2312"/>
          <w:spacing w:val="18"/>
          <w:sz w:val="32"/>
          <w:szCs w:val="32"/>
          <w:lang w:eastAsia="zh-CN"/>
        </w:rPr>
      </w:pPr>
      <w:r>
        <w:rPr>
          <w:rFonts w:hint="eastAsia" w:ascii="Times New Roman" w:hAnsi="Times New Roman" w:eastAsia="仿宋_GB2312" w:cs="仿宋_GB2312"/>
          <w:b/>
          <w:bCs/>
          <w:spacing w:val="17"/>
          <w:sz w:val="32"/>
          <w:szCs w:val="32"/>
          <w:lang w:eastAsia="zh-CN"/>
        </w:rPr>
        <w:t>第二十六条</w:t>
      </w:r>
      <w:r>
        <w:rPr>
          <w:rFonts w:hint="eastAsia" w:ascii="Times New Roman" w:hAnsi="Times New Roman" w:eastAsia="黑体" w:cs="黑体"/>
          <w:spacing w:val="18"/>
          <w:sz w:val="32"/>
          <w:szCs w:val="32"/>
          <w:lang w:eastAsia="zh-CN"/>
        </w:rPr>
        <w:t xml:space="preserve">  </w:t>
      </w:r>
      <w:r>
        <w:rPr>
          <w:rFonts w:hint="eastAsia" w:ascii="Times New Roman" w:hAnsi="Times New Roman" w:eastAsia="仿宋_GB2312" w:cs="仿宋_GB2312"/>
          <w:spacing w:val="18"/>
          <w:sz w:val="32"/>
          <w:szCs w:val="32"/>
          <w:lang w:eastAsia="zh-CN"/>
        </w:rPr>
        <w:t>生态城市基金应当在子基金存续期满后退出，子基金存续期未满如达到返投等预期政策目标，经协商一致，政府出资部分可通过股权转让等方式适时退出。</w:t>
      </w:r>
    </w:p>
    <w:p w14:paraId="6B9459FB">
      <w:pPr>
        <w:pStyle w:val="3"/>
        <w:spacing w:line="600" w:lineRule="exact"/>
        <w:ind w:firstLine="711" w:firstLineChars="200"/>
        <w:rPr>
          <w:rFonts w:ascii="Times New Roman" w:hAnsi="Times New Roman" w:eastAsia="仿宋_GB2312" w:cs="仿宋_GB2312"/>
          <w:spacing w:val="18"/>
          <w:sz w:val="32"/>
          <w:szCs w:val="32"/>
          <w:lang w:eastAsia="zh-CN"/>
        </w:rPr>
      </w:pPr>
      <w:r>
        <w:rPr>
          <w:rFonts w:hint="eastAsia" w:ascii="Times New Roman" w:hAnsi="Times New Roman" w:eastAsia="仿宋_GB2312" w:cs="仿宋_GB2312"/>
          <w:b/>
          <w:bCs/>
          <w:spacing w:val="17"/>
          <w:sz w:val="32"/>
          <w:szCs w:val="32"/>
          <w:lang w:eastAsia="zh-CN"/>
        </w:rPr>
        <w:t>第二十七条</w:t>
      </w:r>
      <w:r>
        <w:rPr>
          <w:rFonts w:hint="eastAsia" w:ascii="Times New Roman" w:hAnsi="Times New Roman" w:eastAsia="黑体" w:cs="黑体"/>
          <w:spacing w:val="18"/>
          <w:sz w:val="32"/>
          <w:szCs w:val="32"/>
          <w:lang w:eastAsia="zh-CN"/>
        </w:rPr>
        <w:t xml:space="preserve">  </w:t>
      </w:r>
      <w:r>
        <w:rPr>
          <w:rFonts w:hint="eastAsia" w:ascii="Times New Roman" w:hAnsi="Times New Roman" w:eastAsia="仿宋_GB2312" w:cs="仿宋_GB2312"/>
          <w:spacing w:val="18"/>
          <w:sz w:val="32"/>
          <w:szCs w:val="32"/>
          <w:lang w:eastAsia="zh-CN"/>
        </w:rPr>
        <w:t>在不向其他出资人承诺本金不受损失和承诺最低收益的前提下，生态城市基金可通过适当让利等方式，建立对社会资本的多元化激励机制，生态城市基金对子基金设置超额收益让利或回购让利机制，子基金可申请任一方式。</w:t>
      </w:r>
    </w:p>
    <w:p w14:paraId="39B80619">
      <w:pPr>
        <w:pStyle w:val="3"/>
        <w:spacing w:line="600" w:lineRule="exact"/>
        <w:ind w:firstLine="712" w:firstLineChars="200"/>
        <w:rPr>
          <w:rFonts w:ascii="Times New Roman" w:hAnsi="Times New Roman" w:eastAsia="仿宋_GB2312" w:cs="仿宋_GB2312"/>
          <w:spacing w:val="18"/>
          <w:sz w:val="32"/>
          <w:szCs w:val="32"/>
          <w:lang w:eastAsia="zh-CN"/>
        </w:rPr>
      </w:pPr>
    </w:p>
    <w:p w14:paraId="1A419997">
      <w:pPr>
        <w:spacing w:line="600" w:lineRule="exact"/>
        <w:jc w:val="center"/>
        <w:rPr>
          <w:rFonts w:ascii="Times New Roman" w:hAnsi="Times New Roman" w:eastAsia="黑体" w:cs="黑体"/>
          <w:sz w:val="36"/>
          <w:szCs w:val="36"/>
        </w:rPr>
      </w:pPr>
      <w:r>
        <w:rPr>
          <w:rFonts w:hint="eastAsia" w:ascii="Times New Roman" w:hAnsi="Times New Roman" w:eastAsia="黑体" w:cs="黑体"/>
          <w:sz w:val="36"/>
          <w:szCs w:val="36"/>
        </w:rPr>
        <w:t>第六章  费用及收益分配</w:t>
      </w:r>
    </w:p>
    <w:p w14:paraId="0D7445F6">
      <w:pPr>
        <w:spacing w:line="600" w:lineRule="exact"/>
        <w:ind w:firstLine="660" w:firstLineChars="200"/>
        <w:rPr>
          <w:rFonts w:ascii="Times New Roman" w:hAnsi="Times New Roman" w:eastAsia="黑体" w:cs="黑体"/>
          <w:spacing w:val="5"/>
          <w:szCs w:val="32"/>
        </w:rPr>
      </w:pPr>
    </w:p>
    <w:p w14:paraId="545ED6EA">
      <w:pPr>
        <w:spacing w:line="600" w:lineRule="exact"/>
        <w:ind w:firstLine="711" w:firstLineChars="200"/>
        <w:rPr>
          <w:rFonts w:ascii="Times New Roman" w:hAnsi="Times New Roman" w:cs="仿宋_GB2312"/>
          <w:spacing w:val="5"/>
          <w:szCs w:val="32"/>
        </w:rPr>
      </w:pPr>
      <w:r>
        <w:rPr>
          <w:rFonts w:hint="eastAsia" w:ascii="Times New Roman" w:hAnsi="Times New Roman" w:cs="仿宋_GB2312"/>
          <w:b/>
          <w:bCs/>
          <w:spacing w:val="17"/>
          <w:szCs w:val="32"/>
        </w:rPr>
        <w:t>第二十八条</w:t>
      </w:r>
      <w:r>
        <w:rPr>
          <w:rFonts w:hint="eastAsia" w:ascii="Times New Roman" w:hAnsi="Times New Roman" w:eastAsia="黑体" w:cs="黑体"/>
          <w:spacing w:val="5"/>
          <w:szCs w:val="32"/>
        </w:rPr>
        <w:t xml:space="preserve">  </w:t>
      </w:r>
      <w:r>
        <w:rPr>
          <w:rFonts w:hint="eastAsia" w:ascii="Times New Roman" w:hAnsi="Times New Roman" w:cs="仿宋_GB2312"/>
          <w:spacing w:val="5"/>
          <w:szCs w:val="32"/>
        </w:rPr>
        <w:t>生态城市基金管理费的计提标准原则上不超过：对于战略性直投部分，投资期内每年按已投未退金额的1.5%收取，退出期内每年按已投未退金额的1.2%收取。对于参股子基金部分，投资期内每年按已投未退金额的0.3%收取，退出期内每年按已投未退金额的0.2%收取。管理费的兑现与年度绩效评价挂钩，当年兑现70%，剩余30%根据年度绩效评价结果次年兑现，但原则上不得晚于次年的8月31日。</w:t>
      </w:r>
    </w:p>
    <w:p w14:paraId="17B89659">
      <w:pPr>
        <w:spacing w:line="600" w:lineRule="exact"/>
        <w:ind w:firstLine="660" w:firstLineChars="200"/>
        <w:rPr>
          <w:rFonts w:ascii="Times New Roman" w:hAnsi="Times New Roman" w:cs="仿宋_GB2312"/>
          <w:spacing w:val="5"/>
          <w:szCs w:val="32"/>
        </w:rPr>
      </w:pPr>
      <w:r>
        <w:rPr>
          <w:rFonts w:hint="eastAsia" w:ascii="Times New Roman" w:hAnsi="Times New Roman" w:cs="仿宋_GB2312"/>
          <w:spacing w:val="5"/>
          <w:szCs w:val="32"/>
        </w:rPr>
        <w:t xml:space="preserve">子基金的管理费原则上投资期内每年按不超过实缴金额的2%收取，退出期内每年按不超过已投未退金额的1.5%收取，延长期不收取管理费。子基金管理费的计提标准超过上述标准的，由生态城市基金管理人报经市基金管委会审批同意。 </w:t>
      </w:r>
    </w:p>
    <w:p w14:paraId="7526CA51">
      <w:pPr>
        <w:spacing w:line="600" w:lineRule="exact"/>
        <w:ind w:firstLine="660" w:firstLineChars="200"/>
        <w:rPr>
          <w:rFonts w:ascii="Times New Roman" w:hAnsi="Times New Roman" w:cs="仿宋_GB2312"/>
          <w:spacing w:val="5"/>
          <w:szCs w:val="32"/>
        </w:rPr>
      </w:pPr>
      <w:r>
        <w:rPr>
          <w:rFonts w:hint="eastAsia" w:ascii="Times New Roman" w:hAnsi="Times New Roman" w:cs="仿宋_GB2312"/>
          <w:spacing w:val="5"/>
          <w:szCs w:val="32"/>
        </w:rPr>
        <w:t>生态城市基金和子基金为同一管理人的，管理人就财政出资部分向子基金收取的管理费，应扣除该部分在生态城市基金层面已向管理人支付的管理费。</w:t>
      </w:r>
    </w:p>
    <w:p w14:paraId="429EF3AE">
      <w:pPr>
        <w:spacing w:line="600" w:lineRule="exact"/>
        <w:ind w:firstLine="711" w:firstLineChars="200"/>
        <w:rPr>
          <w:rFonts w:ascii="Times New Roman" w:hAnsi="Times New Roman" w:cs="仿宋_GB2312"/>
          <w:spacing w:val="5"/>
          <w:szCs w:val="32"/>
        </w:rPr>
      </w:pPr>
      <w:r>
        <w:rPr>
          <w:rFonts w:hint="eastAsia" w:ascii="Times New Roman" w:hAnsi="Times New Roman" w:cs="仿宋_GB2312"/>
          <w:b/>
          <w:bCs/>
          <w:spacing w:val="17"/>
          <w:szCs w:val="32"/>
        </w:rPr>
        <w:t>第二十九条</w:t>
      </w:r>
      <w:r>
        <w:rPr>
          <w:rFonts w:hint="eastAsia" w:ascii="Times New Roman" w:hAnsi="Times New Roman" w:eastAsia="黑体" w:cs="黑体"/>
          <w:spacing w:val="5"/>
          <w:szCs w:val="32"/>
        </w:rPr>
        <w:t xml:space="preserve">  </w:t>
      </w:r>
      <w:r>
        <w:rPr>
          <w:rFonts w:hint="eastAsia" w:ascii="Times New Roman" w:hAnsi="Times New Roman" w:cs="仿宋_GB2312"/>
          <w:spacing w:val="5"/>
          <w:szCs w:val="32"/>
        </w:rPr>
        <w:t>收益分配。生态城市基金投资期内收回的本金和收益原则上应滚动投资，退出期不进行投资。生态城市基金门槛收益不低于中国人民银行公布的当期五年期以上LPR基准利率。收益分配时，先按照实缴出资比例向合伙人分配实缴出资金额和门槛收益，鼓励优先向有限合伙人分配，如有剩余，超额收益的不高于20%向普通合伙人分配，不低于80%向全体合伙人按实缴出资比例分配。</w:t>
      </w:r>
    </w:p>
    <w:p w14:paraId="0AE36A70">
      <w:pPr>
        <w:spacing w:line="600" w:lineRule="exact"/>
        <w:ind w:firstLine="660" w:firstLineChars="200"/>
        <w:rPr>
          <w:rFonts w:ascii="Times New Roman" w:hAnsi="Times New Roman" w:cs="仿宋_GB2312"/>
          <w:spacing w:val="5"/>
          <w:szCs w:val="32"/>
        </w:rPr>
      </w:pPr>
      <w:r>
        <w:rPr>
          <w:rFonts w:hint="eastAsia" w:ascii="Times New Roman" w:hAnsi="Times New Roman" w:cs="仿宋_GB2312"/>
          <w:spacing w:val="5"/>
          <w:szCs w:val="32"/>
        </w:rPr>
        <w:t>子基金收益分配基本原则为“基金整体先回本后分利，退出项目即退即分”，鼓励子基金管理人提出具有竞争力的门槛收益率和超额收益分配方式。</w:t>
      </w:r>
    </w:p>
    <w:p w14:paraId="149E6B24">
      <w:pPr>
        <w:spacing w:line="600" w:lineRule="exact"/>
        <w:ind w:firstLine="660" w:firstLineChars="200"/>
        <w:rPr>
          <w:rFonts w:ascii="Times New Roman" w:hAnsi="Times New Roman" w:cs="仿宋_GB2312"/>
          <w:spacing w:val="5"/>
          <w:szCs w:val="32"/>
        </w:rPr>
      </w:pPr>
    </w:p>
    <w:p w14:paraId="7D7E506B">
      <w:pPr>
        <w:spacing w:line="600" w:lineRule="exact"/>
        <w:jc w:val="center"/>
        <w:rPr>
          <w:rFonts w:ascii="Times New Roman" w:hAnsi="Times New Roman" w:eastAsia="黑体" w:cs="黑体"/>
          <w:sz w:val="36"/>
          <w:szCs w:val="36"/>
        </w:rPr>
      </w:pPr>
      <w:r>
        <w:rPr>
          <w:rFonts w:hint="eastAsia" w:ascii="Times New Roman" w:hAnsi="Times New Roman" w:eastAsia="黑体" w:cs="黑体"/>
          <w:sz w:val="36"/>
          <w:szCs w:val="36"/>
        </w:rPr>
        <w:t>第七章  风险控制与监督管理</w:t>
      </w:r>
    </w:p>
    <w:p w14:paraId="07DE1920">
      <w:pPr>
        <w:pStyle w:val="3"/>
        <w:spacing w:line="600" w:lineRule="exact"/>
        <w:ind w:firstLine="644" w:firstLineChars="200"/>
        <w:rPr>
          <w:rFonts w:ascii="Times New Roman" w:hAnsi="Times New Roman" w:eastAsia="黑体" w:cs="黑体"/>
          <w:spacing w:val="1"/>
          <w:sz w:val="32"/>
          <w:szCs w:val="32"/>
          <w:lang w:eastAsia="zh-CN"/>
        </w:rPr>
      </w:pPr>
    </w:p>
    <w:p w14:paraId="6B146C88">
      <w:pPr>
        <w:pStyle w:val="3"/>
        <w:spacing w:line="600" w:lineRule="exact"/>
        <w:ind w:firstLine="711" w:firstLineChars="200"/>
        <w:rPr>
          <w:rFonts w:ascii="Times New Roman" w:hAnsi="Times New Roman" w:eastAsia="黑体" w:cs="黑体"/>
          <w:spacing w:val="1"/>
          <w:sz w:val="32"/>
          <w:szCs w:val="32"/>
          <w:lang w:eastAsia="zh-CN"/>
        </w:rPr>
      </w:pPr>
      <w:r>
        <w:rPr>
          <w:rFonts w:hint="eastAsia" w:ascii="Times New Roman" w:hAnsi="Times New Roman" w:eastAsia="仿宋_GB2312" w:cs="仿宋_GB2312"/>
          <w:b/>
          <w:bCs/>
          <w:spacing w:val="17"/>
          <w:sz w:val="32"/>
          <w:szCs w:val="32"/>
          <w:lang w:eastAsia="zh-CN"/>
        </w:rPr>
        <w:t>第三十条</w:t>
      </w:r>
      <w:r>
        <w:rPr>
          <w:rFonts w:hint="eastAsia" w:ascii="Times New Roman" w:hAnsi="Times New Roman" w:eastAsia="黑体" w:cs="黑体"/>
          <w:spacing w:val="1"/>
          <w:sz w:val="32"/>
          <w:szCs w:val="32"/>
          <w:lang w:eastAsia="zh-CN"/>
        </w:rPr>
        <w:t xml:space="preserve">  </w:t>
      </w:r>
      <w:r>
        <w:rPr>
          <w:rFonts w:hint="eastAsia" w:ascii="Times New Roman" w:hAnsi="Times New Roman" w:eastAsia="仿宋_GB2312" w:cs="仿宋_GB2312"/>
          <w:spacing w:val="1"/>
          <w:sz w:val="32"/>
          <w:szCs w:val="32"/>
          <w:lang w:eastAsia="zh-CN"/>
        </w:rPr>
        <w:t>生态城市基金实行托管专户管理，专款专用，专账核算。对自有资产与基金资产实行分块管理、分账核算。</w:t>
      </w:r>
      <w:r>
        <w:rPr>
          <w:rFonts w:hint="eastAsia" w:ascii="Times New Roman" w:hAnsi="Times New Roman" w:eastAsia="仿宋_GB2312" w:cs="仿宋_GB2312"/>
          <w:spacing w:val="-2"/>
          <w:sz w:val="32"/>
          <w:szCs w:val="32"/>
          <w:lang w:eastAsia="zh-CN"/>
        </w:rPr>
        <w:t>久银基金</w:t>
      </w:r>
      <w:r>
        <w:rPr>
          <w:rFonts w:hint="eastAsia" w:ascii="Times New Roman" w:hAnsi="Times New Roman" w:eastAsia="仿宋_GB2312" w:cs="仿宋_GB2312"/>
          <w:spacing w:val="1"/>
          <w:sz w:val="32"/>
          <w:szCs w:val="32"/>
          <w:lang w:eastAsia="zh-CN"/>
        </w:rPr>
        <w:t>应当建立有效风险防控机制，在基金出现重大风险或可能带来重大投资损失时，应及时向市发展改革委和贵阳筑财公司报告并采取措施及时止损。</w:t>
      </w:r>
    </w:p>
    <w:p w14:paraId="66F1ECB9">
      <w:pPr>
        <w:pStyle w:val="3"/>
        <w:spacing w:line="600" w:lineRule="exact"/>
        <w:ind w:firstLine="711" w:firstLineChars="200"/>
        <w:rPr>
          <w:rFonts w:ascii="Times New Roman" w:hAnsi="Times New Roman" w:eastAsia="仿宋_GB2312" w:cs="仿宋_GB2312"/>
          <w:sz w:val="32"/>
          <w:szCs w:val="32"/>
          <w:lang w:eastAsia="zh-CN"/>
        </w:rPr>
      </w:pPr>
      <w:r>
        <w:rPr>
          <w:rFonts w:hint="eastAsia" w:ascii="Times New Roman" w:hAnsi="Times New Roman" w:eastAsia="仿宋_GB2312" w:cs="仿宋_GB2312"/>
          <w:b/>
          <w:bCs/>
          <w:spacing w:val="17"/>
          <w:sz w:val="32"/>
          <w:szCs w:val="32"/>
          <w:lang w:eastAsia="zh-CN"/>
        </w:rPr>
        <w:t>第三十一条</w:t>
      </w:r>
      <w:r>
        <w:rPr>
          <w:rFonts w:hint="eastAsia" w:ascii="Times New Roman" w:hAnsi="Times New Roman" w:eastAsia="黑体" w:cs="黑体"/>
          <w:spacing w:val="1"/>
          <w:sz w:val="32"/>
          <w:szCs w:val="32"/>
          <w:lang w:eastAsia="zh-CN"/>
        </w:rPr>
        <w:t xml:space="preserve"> </w:t>
      </w:r>
      <w:r>
        <w:rPr>
          <w:rFonts w:hint="eastAsia" w:ascii="Times New Roman" w:hAnsi="Times New Roman" w:eastAsia="仿宋_GB2312" w:cs="仿宋_GB2312"/>
          <w:spacing w:val="1"/>
          <w:sz w:val="32"/>
          <w:szCs w:val="32"/>
          <w:lang w:eastAsia="zh-CN"/>
        </w:rPr>
        <w:t xml:space="preserve"> </w:t>
      </w:r>
      <w:r>
        <w:rPr>
          <w:rFonts w:hint="eastAsia" w:ascii="Times New Roman" w:hAnsi="Times New Roman" w:eastAsia="仿宋_GB2312" w:cs="仿宋_GB2312"/>
          <w:sz w:val="32"/>
          <w:szCs w:val="32"/>
          <w:lang w:eastAsia="zh-CN"/>
        </w:rPr>
        <w:t>久银基金</w:t>
      </w:r>
      <w:r>
        <w:rPr>
          <w:rFonts w:hint="eastAsia" w:ascii="Times New Roman" w:hAnsi="Times New Roman" w:eastAsia="仿宋_GB2312" w:cs="仿宋_GB2312"/>
          <w:spacing w:val="1"/>
          <w:sz w:val="32"/>
          <w:szCs w:val="32"/>
          <w:lang w:eastAsia="zh-CN"/>
        </w:rPr>
        <w:t>在每季度结束后45个工作日内，</w:t>
      </w:r>
      <w:r>
        <w:rPr>
          <w:rFonts w:hint="eastAsia" w:ascii="Times New Roman" w:hAnsi="Times New Roman" w:eastAsia="仿宋_GB2312" w:cs="仿宋_GB2312"/>
          <w:spacing w:val="5"/>
          <w:sz w:val="32"/>
          <w:szCs w:val="32"/>
          <w:lang w:eastAsia="zh-CN"/>
        </w:rPr>
        <w:t>向市发展改革委和市财政局等提交生态城市基金季度运行报告和托管报</w:t>
      </w:r>
      <w:r>
        <w:rPr>
          <w:rFonts w:hint="eastAsia" w:ascii="Times New Roman" w:hAnsi="Times New Roman" w:eastAsia="仿宋_GB2312" w:cs="仿宋_GB2312"/>
          <w:spacing w:val="4"/>
          <w:sz w:val="32"/>
          <w:szCs w:val="32"/>
          <w:lang w:eastAsia="zh-CN"/>
        </w:rPr>
        <w:t>告。每个会计年度结束后4个月内，提交基金年度</w:t>
      </w:r>
      <w:r>
        <w:rPr>
          <w:rFonts w:hint="eastAsia" w:ascii="Times New Roman" w:hAnsi="Times New Roman" w:eastAsia="仿宋_GB2312" w:cs="仿宋_GB2312"/>
          <w:spacing w:val="3"/>
          <w:sz w:val="32"/>
          <w:szCs w:val="32"/>
          <w:lang w:eastAsia="zh-CN"/>
        </w:rPr>
        <w:t>运行报告、经</w:t>
      </w:r>
      <w:r>
        <w:rPr>
          <w:rFonts w:hint="eastAsia" w:ascii="Times New Roman" w:hAnsi="Times New Roman" w:eastAsia="仿宋_GB2312" w:cs="仿宋_GB2312"/>
          <w:sz w:val="32"/>
          <w:szCs w:val="32"/>
          <w:lang w:eastAsia="zh-CN"/>
        </w:rPr>
        <w:t>审计的基金年度会计报告、托管报告及下一年度投资计划。</w:t>
      </w:r>
    </w:p>
    <w:p w14:paraId="46B295B4">
      <w:pPr>
        <w:pStyle w:val="3"/>
        <w:spacing w:line="600" w:lineRule="exact"/>
        <w:ind w:firstLine="711" w:firstLineChars="200"/>
        <w:rPr>
          <w:rFonts w:ascii="Times New Roman" w:hAnsi="Times New Roman" w:eastAsia="仿宋_GB2312" w:cs="仿宋_GB2312"/>
          <w:spacing w:val="-3"/>
          <w:sz w:val="32"/>
          <w:szCs w:val="32"/>
          <w:lang w:eastAsia="zh-CN"/>
        </w:rPr>
      </w:pPr>
      <w:r>
        <w:rPr>
          <w:rFonts w:hint="eastAsia" w:ascii="Times New Roman" w:hAnsi="Times New Roman" w:eastAsia="仿宋_GB2312" w:cs="仿宋_GB2312"/>
          <w:b/>
          <w:bCs/>
          <w:spacing w:val="17"/>
          <w:sz w:val="32"/>
          <w:szCs w:val="32"/>
          <w:lang w:eastAsia="zh-CN"/>
        </w:rPr>
        <w:t>第三十二条</w:t>
      </w:r>
      <w:r>
        <w:rPr>
          <w:rFonts w:hint="eastAsia" w:ascii="Times New Roman" w:hAnsi="Times New Roman" w:eastAsia="黑体" w:cs="黑体"/>
          <w:spacing w:val="4"/>
          <w:sz w:val="32"/>
          <w:szCs w:val="32"/>
          <w:lang w:eastAsia="zh-CN"/>
        </w:rPr>
        <w:t xml:space="preserve">  </w:t>
      </w:r>
      <w:r>
        <w:rPr>
          <w:rFonts w:hint="eastAsia" w:ascii="Times New Roman" w:hAnsi="Times New Roman" w:eastAsia="仿宋_GB2312" w:cs="仿宋_GB2312"/>
          <w:spacing w:val="4"/>
          <w:sz w:val="32"/>
          <w:szCs w:val="32"/>
          <w:lang w:eastAsia="zh-CN"/>
        </w:rPr>
        <w:t>生态城市基金及久银基金接受财政、审计等部门</w:t>
      </w:r>
      <w:r>
        <w:rPr>
          <w:rFonts w:hint="eastAsia" w:ascii="Times New Roman" w:hAnsi="Times New Roman" w:eastAsia="仿宋_GB2312" w:cs="仿宋_GB2312"/>
          <w:spacing w:val="5"/>
          <w:sz w:val="32"/>
          <w:szCs w:val="32"/>
          <w:lang w:eastAsia="zh-CN"/>
        </w:rPr>
        <w:t>对基金运行情况的审计、监督。对于检查中发现的问题，应按照有关法律法规予以处理。对涉嫌犯罪的，移送司法机关追究刑事</w:t>
      </w:r>
      <w:r>
        <w:rPr>
          <w:rFonts w:hint="eastAsia" w:ascii="Times New Roman" w:hAnsi="Times New Roman" w:eastAsia="仿宋_GB2312" w:cs="仿宋_GB2312"/>
          <w:spacing w:val="-3"/>
          <w:sz w:val="32"/>
          <w:szCs w:val="32"/>
          <w:lang w:eastAsia="zh-CN"/>
        </w:rPr>
        <w:t>责任。</w:t>
      </w:r>
    </w:p>
    <w:p w14:paraId="3A2DEE7C">
      <w:pPr>
        <w:pStyle w:val="3"/>
        <w:spacing w:line="600" w:lineRule="exact"/>
        <w:ind w:firstLine="711" w:firstLineChars="200"/>
        <w:rPr>
          <w:rFonts w:ascii="Times New Roman" w:hAnsi="Times New Roman" w:eastAsia="仿宋_GB2312" w:cs="仿宋_GB2312"/>
          <w:sz w:val="32"/>
          <w:szCs w:val="32"/>
          <w:lang w:eastAsia="zh-CN"/>
        </w:rPr>
      </w:pPr>
      <w:r>
        <w:rPr>
          <w:rFonts w:hint="eastAsia" w:ascii="Times New Roman" w:hAnsi="Times New Roman" w:eastAsia="仿宋_GB2312" w:cs="仿宋_GB2312"/>
          <w:b/>
          <w:bCs/>
          <w:spacing w:val="17"/>
          <w:sz w:val="32"/>
          <w:szCs w:val="32"/>
          <w:lang w:eastAsia="zh-CN"/>
        </w:rPr>
        <w:t>第三十三条</w:t>
      </w:r>
      <w:r>
        <w:rPr>
          <w:rFonts w:hint="eastAsia" w:ascii="Times New Roman" w:hAnsi="Times New Roman" w:eastAsia="黑体" w:cs="黑体"/>
          <w:spacing w:val="5"/>
          <w:sz w:val="32"/>
          <w:szCs w:val="32"/>
          <w:lang w:eastAsia="zh-CN"/>
        </w:rPr>
        <w:t xml:space="preserve">  </w:t>
      </w:r>
      <w:r>
        <w:rPr>
          <w:rFonts w:hint="eastAsia" w:ascii="Times New Roman" w:hAnsi="Times New Roman" w:eastAsia="仿宋_GB2312" w:cs="仿宋_GB2312"/>
          <w:spacing w:val="5"/>
          <w:sz w:val="32"/>
          <w:szCs w:val="32"/>
          <w:lang w:eastAsia="zh-CN"/>
        </w:rPr>
        <w:t>子基金管理人和托管机构原则上</w:t>
      </w:r>
      <w:r>
        <w:rPr>
          <w:rFonts w:hint="eastAsia" w:ascii="Times New Roman" w:hAnsi="Times New Roman" w:eastAsia="仿宋_GB2312" w:cs="仿宋_GB2312"/>
          <w:spacing w:val="1"/>
          <w:sz w:val="32"/>
          <w:szCs w:val="32"/>
          <w:lang w:eastAsia="zh-CN"/>
        </w:rPr>
        <w:t>在每季度结束后30个工作日内，</w:t>
      </w:r>
      <w:r>
        <w:rPr>
          <w:rFonts w:hint="eastAsia" w:ascii="Times New Roman" w:hAnsi="Times New Roman" w:eastAsia="仿宋_GB2312" w:cs="仿宋_GB2312"/>
          <w:spacing w:val="5"/>
          <w:sz w:val="32"/>
          <w:szCs w:val="32"/>
          <w:lang w:eastAsia="zh-CN"/>
        </w:rPr>
        <w:t>向生态城市基金提交子基金季度运行报告和托管报</w:t>
      </w:r>
      <w:r>
        <w:rPr>
          <w:rFonts w:hint="eastAsia" w:ascii="Times New Roman" w:hAnsi="Times New Roman" w:eastAsia="仿宋_GB2312" w:cs="仿宋_GB2312"/>
          <w:spacing w:val="4"/>
          <w:sz w:val="32"/>
          <w:szCs w:val="32"/>
          <w:lang w:eastAsia="zh-CN"/>
        </w:rPr>
        <w:t>告。每个会计年度结束后</w:t>
      </w:r>
      <w:r>
        <w:rPr>
          <w:rFonts w:hint="eastAsia" w:ascii="Times New Roman" w:hAnsi="Times New Roman" w:eastAsia="仿宋_GB2312" w:cs="仿宋_GB2312"/>
          <w:spacing w:val="-59"/>
          <w:sz w:val="32"/>
          <w:szCs w:val="32"/>
          <w:lang w:eastAsia="zh-CN"/>
        </w:rPr>
        <w:t>3</w:t>
      </w:r>
      <w:r>
        <w:rPr>
          <w:rFonts w:hint="eastAsia" w:ascii="Times New Roman" w:hAnsi="Times New Roman" w:eastAsia="仿宋_GB2312" w:cs="仿宋_GB2312"/>
          <w:spacing w:val="4"/>
          <w:sz w:val="32"/>
          <w:szCs w:val="32"/>
          <w:lang w:eastAsia="zh-CN"/>
        </w:rPr>
        <w:t>个月内，提交基金年度</w:t>
      </w:r>
      <w:r>
        <w:rPr>
          <w:rFonts w:hint="eastAsia" w:ascii="Times New Roman" w:hAnsi="Times New Roman" w:eastAsia="仿宋_GB2312" w:cs="仿宋_GB2312"/>
          <w:spacing w:val="3"/>
          <w:sz w:val="32"/>
          <w:szCs w:val="32"/>
          <w:lang w:eastAsia="zh-CN"/>
        </w:rPr>
        <w:t>运行报告、经</w:t>
      </w:r>
      <w:r>
        <w:rPr>
          <w:rFonts w:hint="eastAsia" w:ascii="Times New Roman" w:hAnsi="Times New Roman" w:eastAsia="仿宋_GB2312" w:cs="仿宋_GB2312"/>
          <w:sz w:val="32"/>
          <w:szCs w:val="32"/>
          <w:lang w:eastAsia="zh-CN"/>
        </w:rPr>
        <w:t>审计的基金年度会计报告、托管报告及下一年度投资计划。</w:t>
      </w:r>
    </w:p>
    <w:p w14:paraId="60D0BD4D">
      <w:pPr>
        <w:spacing w:line="600" w:lineRule="exact"/>
        <w:ind w:firstLine="711" w:firstLineChars="200"/>
        <w:rPr>
          <w:rFonts w:ascii="Times New Roman" w:hAnsi="Times New Roman" w:cs="仿宋_GB2312"/>
          <w:szCs w:val="32"/>
        </w:rPr>
      </w:pPr>
      <w:r>
        <w:rPr>
          <w:rFonts w:hint="eastAsia" w:ascii="Times New Roman" w:hAnsi="Times New Roman" w:cs="仿宋_GB2312"/>
          <w:b/>
          <w:bCs/>
          <w:spacing w:val="17"/>
          <w:szCs w:val="32"/>
        </w:rPr>
        <w:t>第三十四条</w:t>
      </w:r>
      <w:r>
        <w:rPr>
          <w:rFonts w:hint="eastAsia" w:ascii="Times New Roman" w:hAnsi="Times New Roman" w:eastAsia="黑体" w:cs="仿宋_GB2312"/>
          <w:spacing w:val="5"/>
          <w:szCs w:val="32"/>
        </w:rPr>
        <w:t xml:space="preserve">  </w:t>
      </w:r>
      <w:r>
        <w:rPr>
          <w:rFonts w:hint="eastAsia" w:ascii="Times New Roman" w:hAnsi="Times New Roman" w:cs="仿宋_GB2312"/>
          <w:spacing w:val="5"/>
          <w:szCs w:val="32"/>
        </w:rPr>
        <w:t>生态城市基金及子基金</w:t>
      </w:r>
      <w:r>
        <w:rPr>
          <w:rFonts w:hint="eastAsia" w:ascii="Times New Roman" w:hAnsi="Times New Roman" w:cs="仿宋_GB2312"/>
          <w:spacing w:val="4"/>
          <w:szCs w:val="32"/>
        </w:rPr>
        <w:t>运作过程中，不得从事以下业</w:t>
      </w:r>
      <w:r>
        <w:rPr>
          <w:rFonts w:hint="eastAsia" w:ascii="Times New Roman" w:hAnsi="Times New Roman" w:cs="仿宋_GB2312"/>
          <w:spacing w:val="-5"/>
          <w:szCs w:val="32"/>
        </w:rPr>
        <w:t>务：</w:t>
      </w:r>
    </w:p>
    <w:p w14:paraId="108958AA">
      <w:pPr>
        <w:spacing w:line="600" w:lineRule="exact"/>
        <w:ind w:firstLine="644" w:firstLineChars="200"/>
        <w:rPr>
          <w:rFonts w:ascii="Times New Roman" w:hAnsi="Times New Roman" w:cs="仿宋_GB2312"/>
          <w:szCs w:val="32"/>
        </w:rPr>
      </w:pPr>
      <w:r>
        <w:rPr>
          <w:rFonts w:hint="eastAsia" w:ascii="Times New Roman" w:hAnsi="Times New Roman" w:cs="仿宋_GB2312"/>
          <w:spacing w:val="1"/>
          <w:szCs w:val="32"/>
        </w:rPr>
        <w:t>（一）从事担保、抵押、委托贷款等业务；</w:t>
      </w:r>
    </w:p>
    <w:p w14:paraId="357E1B63">
      <w:pPr>
        <w:spacing w:line="600" w:lineRule="exact"/>
        <w:ind w:firstLine="632" w:firstLineChars="200"/>
        <w:rPr>
          <w:rFonts w:ascii="Times New Roman" w:hAnsi="Times New Roman" w:cs="仿宋_GB2312"/>
          <w:szCs w:val="32"/>
        </w:rPr>
      </w:pPr>
      <w:r>
        <w:rPr>
          <w:rFonts w:hint="eastAsia" w:ascii="Times New Roman" w:hAnsi="Times New Roman" w:cs="仿宋_GB2312"/>
          <w:spacing w:val="-2"/>
          <w:szCs w:val="32"/>
        </w:rPr>
        <w:t>（二）投资二级市场股票（大宗交易、协议转</w:t>
      </w:r>
      <w:r>
        <w:rPr>
          <w:rFonts w:hint="eastAsia" w:ascii="Times New Roman" w:hAnsi="Times New Roman" w:cs="仿宋_GB2312"/>
          <w:spacing w:val="-3"/>
          <w:szCs w:val="32"/>
        </w:rPr>
        <w:t>让、战略配售、</w:t>
      </w:r>
      <w:r>
        <w:rPr>
          <w:rFonts w:hint="eastAsia" w:ascii="Times New Roman" w:hAnsi="Times New Roman" w:cs="仿宋_GB2312"/>
          <w:spacing w:val="-5"/>
          <w:szCs w:val="32"/>
        </w:rPr>
        <w:t>定向增发、并购重组除外）、期货、证券投资基</w:t>
      </w:r>
      <w:r>
        <w:rPr>
          <w:rFonts w:hint="eastAsia" w:ascii="Times New Roman" w:hAnsi="Times New Roman" w:cs="仿宋_GB2312"/>
          <w:spacing w:val="-6"/>
          <w:szCs w:val="32"/>
        </w:rPr>
        <w:t>金、房地产、评级</w:t>
      </w:r>
      <w:r>
        <w:rPr>
          <w:rFonts w:hint="eastAsia" w:ascii="Times New Roman" w:hAnsi="Times New Roman" w:cs="仿宋_GB2312"/>
          <w:spacing w:val="-5"/>
          <w:szCs w:val="32"/>
        </w:rPr>
        <w:t>AAA以下的企业债、信托产品、非保本型理财产品、保险计划及其</w:t>
      </w:r>
      <w:r>
        <w:rPr>
          <w:rFonts w:hint="eastAsia" w:ascii="Times New Roman" w:hAnsi="Times New Roman" w:cs="仿宋_GB2312"/>
          <w:szCs w:val="32"/>
        </w:rPr>
        <w:t>他金融衍生品；</w:t>
      </w:r>
    </w:p>
    <w:p w14:paraId="18707F3E">
      <w:pPr>
        <w:spacing w:line="600" w:lineRule="exact"/>
        <w:ind w:firstLine="664" w:firstLineChars="200"/>
        <w:rPr>
          <w:rFonts w:ascii="Times New Roman" w:hAnsi="Times New Roman" w:cs="仿宋_GB2312"/>
          <w:szCs w:val="32"/>
        </w:rPr>
      </w:pPr>
      <w:r>
        <w:rPr>
          <w:rFonts w:hint="eastAsia" w:ascii="Times New Roman" w:hAnsi="Times New Roman" w:cs="仿宋_GB2312"/>
          <w:spacing w:val="6"/>
          <w:szCs w:val="32"/>
        </w:rPr>
        <w:t>（三）向任何第三方提供赞助、捐赠（经批准的公益性捐赠</w:t>
      </w:r>
      <w:r>
        <w:rPr>
          <w:rFonts w:hint="eastAsia" w:ascii="Times New Roman" w:hAnsi="Times New Roman" w:cs="仿宋_GB2312"/>
          <w:spacing w:val="-12"/>
          <w:szCs w:val="32"/>
        </w:rPr>
        <w:t>除外）；</w:t>
      </w:r>
    </w:p>
    <w:p w14:paraId="7149DC70">
      <w:pPr>
        <w:spacing w:line="600" w:lineRule="exact"/>
        <w:ind w:firstLine="664" w:firstLineChars="200"/>
        <w:rPr>
          <w:rFonts w:ascii="Times New Roman" w:hAnsi="Times New Roman" w:cs="仿宋_GB2312"/>
          <w:szCs w:val="32"/>
        </w:rPr>
      </w:pPr>
      <w:r>
        <w:rPr>
          <w:rFonts w:hint="eastAsia" w:ascii="Times New Roman" w:hAnsi="Times New Roman" w:cs="仿宋_GB2312"/>
          <w:spacing w:val="6"/>
          <w:szCs w:val="32"/>
        </w:rPr>
        <w:t>（四）吸收或变相吸收存款，或向第三方提供贷款和资金拆</w:t>
      </w:r>
      <w:r>
        <w:rPr>
          <w:rFonts w:hint="eastAsia" w:ascii="Times New Roman" w:hAnsi="Times New Roman" w:cs="仿宋_GB2312"/>
          <w:spacing w:val="1"/>
          <w:szCs w:val="32"/>
        </w:rPr>
        <w:t>借（以股权投资为目的可转债除外，但不得从事明股实债）；</w:t>
      </w:r>
    </w:p>
    <w:p w14:paraId="406B4CD9">
      <w:pPr>
        <w:spacing w:line="600" w:lineRule="exact"/>
        <w:ind w:firstLine="644" w:firstLineChars="200"/>
        <w:rPr>
          <w:rFonts w:ascii="Times New Roman" w:hAnsi="Times New Roman" w:cs="仿宋_GB2312"/>
          <w:szCs w:val="32"/>
        </w:rPr>
      </w:pPr>
      <w:r>
        <w:rPr>
          <w:rFonts w:hint="eastAsia" w:ascii="Times New Roman" w:hAnsi="Times New Roman" w:cs="仿宋_GB2312"/>
          <w:spacing w:val="1"/>
          <w:szCs w:val="32"/>
        </w:rPr>
        <w:t>（五）承担无限连带责任的对外投资；</w:t>
      </w:r>
    </w:p>
    <w:p w14:paraId="52CFC115">
      <w:pPr>
        <w:spacing w:line="600" w:lineRule="exact"/>
        <w:ind w:firstLine="644" w:firstLineChars="200"/>
        <w:rPr>
          <w:rFonts w:ascii="Times New Roman" w:hAnsi="Times New Roman" w:cs="仿宋_GB2312"/>
          <w:szCs w:val="32"/>
        </w:rPr>
      </w:pPr>
      <w:r>
        <w:rPr>
          <w:rFonts w:hint="eastAsia" w:ascii="Times New Roman" w:hAnsi="Times New Roman" w:cs="仿宋_GB2312"/>
          <w:spacing w:val="1"/>
          <w:szCs w:val="32"/>
        </w:rPr>
        <w:t>（六）发行信托或集合理财产品募集资金；</w:t>
      </w:r>
    </w:p>
    <w:p w14:paraId="08CB326A">
      <w:pPr>
        <w:spacing w:line="600" w:lineRule="exact"/>
        <w:ind w:firstLine="644" w:firstLineChars="200"/>
        <w:rPr>
          <w:rFonts w:ascii="Times New Roman" w:hAnsi="Times New Roman" w:cs="仿宋_GB2312"/>
          <w:spacing w:val="1"/>
          <w:szCs w:val="32"/>
        </w:rPr>
      </w:pPr>
      <w:r>
        <w:rPr>
          <w:rFonts w:hint="eastAsia" w:ascii="Times New Roman" w:hAnsi="Times New Roman" w:cs="仿宋_GB2312"/>
          <w:spacing w:val="1"/>
          <w:szCs w:val="32"/>
        </w:rPr>
        <w:t>（七）其他国家法律法规禁止从事的业务。</w:t>
      </w:r>
    </w:p>
    <w:p w14:paraId="6F7634DE">
      <w:pPr>
        <w:spacing w:line="600" w:lineRule="exact"/>
        <w:ind w:firstLine="644" w:firstLineChars="200"/>
        <w:rPr>
          <w:rFonts w:ascii="Times New Roman" w:hAnsi="Times New Roman" w:cs="仿宋_GB2312"/>
          <w:spacing w:val="1"/>
          <w:szCs w:val="32"/>
        </w:rPr>
      </w:pPr>
    </w:p>
    <w:p w14:paraId="702D1645">
      <w:pPr>
        <w:spacing w:line="600" w:lineRule="exact"/>
        <w:jc w:val="center"/>
        <w:outlineLvl w:val="0"/>
        <w:rPr>
          <w:rFonts w:ascii="Times New Roman" w:hAnsi="Times New Roman" w:eastAsia="黑体" w:cs="黑体"/>
          <w:sz w:val="36"/>
          <w:szCs w:val="36"/>
        </w:rPr>
      </w:pPr>
      <w:r>
        <w:rPr>
          <w:rFonts w:hint="eastAsia" w:ascii="Times New Roman" w:hAnsi="Times New Roman" w:eastAsia="黑体" w:cs="黑体"/>
          <w:sz w:val="36"/>
          <w:szCs w:val="36"/>
        </w:rPr>
        <w:t>第八章 绩效评价与容错机制</w:t>
      </w:r>
    </w:p>
    <w:p w14:paraId="4DFF6BFD">
      <w:pPr>
        <w:pStyle w:val="3"/>
        <w:spacing w:line="600" w:lineRule="exact"/>
        <w:ind w:firstLine="636" w:firstLineChars="200"/>
        <w:rPr>
          <w:rFonts w:ascii="Times New Roman" w:hAnsi="Times New Roman" w:eastAsia="黑体" w:cs="黑体"/>
          <w:spacing w:val="-1"/>
          <w:sz w:val="32"/>
          <w:szCs w:val="32"/>
          <w:lang w:eastAsia="zh-CN"/>
        </w:rPr>
      </w:pPr>
    </w:p>
    <w:p w14:paraId="53C36843">
      <w:pPr>
        <w:pStyle w:val="3"/>
        <w:spacing w:line="600" w:lineRule="exact"/>
        <w:ind w:firstLine="711" w:firstLineChars="200"/>
        <w:rPr>
          <w:rFonts w:ascii="Times New Roman" w:hAnsi="Times New Roman" w:eastAsia="仿宋_GB2312" w:cs="仿宋_GB2312"/>
          <w:spacing w:val="-1"/>
          <w:sz w:val="32"/>
          <w:szCs w:val="32"/>
          <w:lang w:eastAsia="zh-CN"/>
        </w:rPr>
      </w:pPr>
      <w:r>
        <w:rPr>
          <w:rFonts w:hint="eastAsia" w:ascii="Times New Roman" w:hAnsi="Times New Roman" w:eastAsia="仿宋_GB2312" w:cs="仿宋_GB2312"/>
          <w:b/>
          <w:bCs/>
          <w:spacing w:val="17"/>
          <w:sz w:val="32"/>
          <w:szCs w:val="32"/>
          <w:lang w:eastAsia="zh-CN"/>
        </w:rPr>
        <w:t>第三十五条</w:t>
      </w:r>
      <w:r>
        <w:rPr>
          <w:rFonts w:hint="eastAsia" w:ascii="Times New Roman" w:hAnsi="Times New Roman" w:eastAsia="黑体" w:cs="黑体"/>
          <w:spacing w:val="-1"/>
          <w:sz w:val="32"/>
          <w:szCs w:val="32"/>
          <w:lang w:eastAsia="zh-CN"/>
        </w:rPr>
        <w:t xml:space="preserve">  </w:t>
      </w:r>
      <w:r>
        <w:rPr>
          <w:rFonts w:hint="eastAsia" w:ascii="Times New Roman" w:hAnsi="Times New Roman" w:eastAsia="仿宋_GB2312" w:cs="仿宋_GB2312"/>
          <w:spacing w:val="5"/>
          <w:sz w:val="32"/>
          <w:szCs w:val="32"/>
          <w:lang w:eastAsia="zh-CN"/>
        </w:rPr>
        <w:t>市发展改革委牵头制定生态城市基金的绩效评价指标体系。</w:t>
      </w:r>
      <w:r>
        <w:rPr>
          <w:rFonts w:hint="eastAsia" w:ascii="Times New Roman" w:hAnsi="Times New Roman" w:eastAsia="仿宋_GB2312" w:cs="仿宋_GB2312"/>
          <w:spacing w:val="4"/>
          <w:sz w:val="32"/>
          <w:szCs w:val="32"/>
          <w:lang w:eastAsia="zh-CN"/>
        </w:rPr>
        <w:t>久银基金</w:t>
      </w:r>
      <w:r>
        <w:rPr>
          <w:rFonts w:hint="eastAsia" w:ascii="Times New Roman" w:hAnsi="Times New Roman" w:eastAsia="仿宋_GB2312" w:cs="仿宋_GB2312"/>
          <w:spacing w:val="5"/>
          <w:sz w:val="32"/>
          <w:szCs w:val="32"/>
          <w:lang w:eastAsia="zh-CN"/>
        </w:rPr>
        <w:t>应当在每个会计年度结束后4个月内，结合绩效评价目标，实施对生态城市基金运营管理情况的自评工作，将自评报告和相关证明材料报送市发展改革委。市发展改革委在每个会计年度结束后5个月内将绩效自评结果报市财政局汇总。</w:t>
      </w:r>
    </w:p>
    <w:p w14:paraId="15002425">
      <w:pPr>
        <w:pStyle w:val="3"/>
        <w:spacing w:line="600" w:lineRule="exact"/>
        <w:ind w:firstLine="711" w:firstLineChars="200"/>
        <w:rPr>
          <w:rFonts w:ascii="Times New Roman" w:hAnsi="Times New Roman" w:eastAsia="黑体" w:cs="黑体"/>
          <w:spacing w:val="4"/>
          <w:sz w:val="32"/>
          <w:szCs w:val="32"/>
          <w:lang w:eastAsia="zh-CN"/>
        </w:rPr>
      </w:pPr>
      <w:r>
        <w:rPr>
          <w:rFonts w:hint="eastAsia" w:ascii="Times New Roman" w:hAnsi="Times New Roman" w:eastAsia="仿宋_GB2312" w:cs="仿宋_GB2312"/>
          <w:b/>
          <w:bCs/>
          <w:spacing w:val="17"/>
          <w:sz w:val="32"/>
          <w:szCs w:val="32"/>
          <w:lang w:eastAsia="zh-CN"/>
        </w:rPr>
        <w:t>第三十六条</w:t>
      </w:r>
      <w:r>
        <w:rPr>
          <w:rFonts w:hint="eastAsia" w:ascii="Times New Roman" w:hAnsi="Times New Roman" w:eastAsia="黑体" w:cs="黑体"/>
          <w:spacing w:val="-1"/>
          <w:sz w:val="32"/>
          <w:szCs w:val="32"/>
          <w:lang w:eastAsia="zh-CN"/>
        </w:rPr>
        <w:t xml:space="preserve">  </w:t>
      </w:r>
      <w:r>
        <w:rPr>
          <w:rFonts w:hint="eastAsia" w:ascii="Times New Roman" w:hAnsi="Times New Roman" w:eastAsia="仿宋_GB2312" w:cs="仿宋_GB2312"/>
          <w:spacing w:val="-1"/>
          <w:sz w:val="32"/>
          <w:szCs w:val="32"/>
          <w:lang w:eastAsia="zh-CN"/>
        </w:rPr>
        <w:t>生态城市基金按照市基金工作机制和基金管委会相关容错制度执行，原则上遵循市场规律</w:t>
      </w:r>
      <w:r>
        <w:rPr>
          <w:rFonts w:hint="eastAsia" w:ascii="Times New Roman" w:hAnsi="Times New Roman" w:eastAsia="仿宋_GB2312" w:cs="仿宋_GB2312"/>
          <w:spacing w:val="3"/>
          <w:sz w:val="32"/>
          <w:szCs w:val="32"/>
          <w:lang w:eastAsia="zh-CN"/>
        </w:rPr>
        <w:t>，建立符合行业规则和惯例的容错机制，</w:t>
      </w:r>
      <w:r>
        <w:rPr>
          <w:rFonts w:hint="eastAsia" w:ascii="Times New Roman" w:hAnsi="Times New Roman" w:eastAsia="仿宋_GB2312" w:cs="仿宋_GB2312"/>
          <w:spacing w:val="15"/>
          <w:sz w:val="32"/>
          <w:szCs w:val="32"/>
          <w:lang w:eastAsia="zh-CN"/>
        </w:rPr>
        <w:t>合理容忍正常的投资风险，不将正常投资风险作</w:t>
      </w:r>
      <w:r>
        <w:rPr>
          <w:rFonts w:hint="eastAsia" w:ascii="Times New Roman" w:hAnsi="Times New Roman" w:eastAsia="仿宋_GB2312" w:cs="仿宋_GB2312"/>
          <w:spacing w:val="7"/>
          <w:sz w:val="32"/>
          <w:szCs w:val="32"/>
          <w:lang w:eastAsia="zh-CN"/>
        </w:rPr>
        <w:t>为</w:t>
      </w:r>
      <w:r>
        <w:rPr>
          <w:rFonts w:hint="eastAsia" w:ascii="Times New Roman" w:hAnsi="Times New Roman" w:eastAsia="仿宋_GB2312" w:cs="仿宋_GB2312"/>
          <w:spacing w:val="15"/>
          <w:sz w:val="32"/>
          <w:szCs w:val="32"/>
          <w:lang w:eastAsia="zh-CN"/>
        </w:rPr>
        <w:t>追责依据</w:t>
      </w:r>
      <w:r>
        <w:rPr>
          <w:rFonts w:hint="eastAsia" w:ascii="Times New Roman" w:hAnsi="Times New Roman" w:eastAsia="仿宋_GB2312" w:cs="仿宋_GB2312"/>
          <w:sz w:val="32"/>
          <w:szCs w:val="32"/>
          <w:lang w:eastAsia="zh-CN"/>
        </w:rPr>
        <w:t>。</w:t>
      </w:r>
    </w:p>
    <w:p w14:paraId="38B9931C">
      <w:pPr>
        <w:pStyle w:val="3"/>
        <w:spacing w:line="600" w:lineRule="exact"/>
        <w:ind w:firstLine="711" w:firstLineChars="200"/>
        <w:rPr>
          <w:rFonts w:ascii="Times New Roman" w:hAnsi="Times New Roman" w:eastAsia="仿宋_GB2312" w:cs="仿宋_GB2312"/>
          <w:spacing w:val="5"/>
          <w:sz w:val="32"/>
          <w:szCs w:val="32"/>
          <w:lang w:eastAsia="zh-CN"/>
        </w:rPr>
      </w:pPr>
      <w:r>
        <w:rPr>
          <w:rFonts w:hint="eastAsia" w:ascii="Times New Roman" w:hAnsi="Times New Roman" w:eastAsia="仿宋_GB2312" w:cs="仿宋_GB2312"/>
          <w:b/>
          <w:bCs/>
          <w:spacing w:val="17"/>
          <w:sz w:val="32"/>
          <w:szCs w:val="32"/>
          <w:lang w:eastAsia="zh-CN"/>
        </w:rPr>
        <w:t>第三十七条</w:t>
      </w:r>
      <w:r>
        <w:rPr>
          <w:rFonts w:hint="eastAsia" w:ascii="Times New Roman" w:hAnsi="Times New Roman" w:eastAsia="黑体" w:cs="黑体"/>
          <w:spacing w:val="4"/>
          <w:sz w:val="32"/>
          <w:szCs w:val="32"/>
          <w:lang w:eastAsia="zh-CN"/>
        </w:rPr>
        <w:t xml:space="preserve">  </w:t>
      </w:r>
      <w:r>
        <w:rPr>
          <w:rFonts w:hint="eastAsia" w:ascii="Times New Roman" w:hAnsi="Times New Roman" w:eastAsia="仿宋_GB2312" w:cs="仿宋_GB2312"/>
          <w:spacing w:val="4"/>
          <w:sz w:val="32"/>
          <w:szCs w:val="32"/>
          <w:lang w:eastAsia="zh-CN"/>
        </w:rPr>
        <w:t>在基金运营管理中，在没有违反禁止性规定、</w:t>
      </w:r>
      <w:r>
        <w:rPr>
          <w:rFonts w:hint="eastAsia" w:ascii="Times New Roman" w:hAnsi="Times New Roman" w:eastAsia="仿宋_GB2312" w:cs="仿宋_GB2312"/>
          <w:spacing w:val="-1"/>
          <w:sz w:val="32"/>
          <w:szCs w:val="32"/>
          <w:lang w:eastAsia="zh-CN"/>
        </w:rPr>
        <w:t>投资方向和要求、决策程序，且未谋取个人私利并主动追偿损失</w:t>
      </w:r>
      <w:r>
        <w:rPr>
          <w:rFonts w:hint="eastAsia" w:ascii="Times New Roman" w:hAnsi="Times New Roman" w:eastAsia="仿宋_GB2312" w:cs="仿宋_GB2312"/>
          <w:spacing w:val="10"/>
          <w:sz w:val="32"/>
          <w:szCs w:val="32"/>
          <w:lang w:eastAsia="zh-CN"/>
        </w:rPr>
        <w:t>的情形下，未能实现预期目标或出现偏差失误，要按照“三个</w:t>
      </w:r>
      <w:r>
        <w:rPr>
          <w:rFonts w:hint="eastAsia" w:ascii="Times New Roman" w:hAnsi="Times New Roman" w:eastAsia="仿宋_GB2312" w:cs="仿宋_GB2312"/>
          <w:spacing w:val="15"/>
          <w:sz w:val="32"/>
          <w:szCs w:val="32"/>
          <w:lang w:eastAsia="zh-CN"/>
        </w:rPr>
        <w:t>区分开来”原则（把干部在推进改革中因缺乏经验、先行先试</w:t>
      </w:r>
      <w:r>
        <w:rPr>
          <w:rFonts w:hint="eastAsia" w:ascii="Times New Roman" w:hAnsi="Times New Roman" w:eastAsia="仿宋_GB2312" w:cs="仿宋_GB2312"/>
          <w:spacing w:val="-2"/>
          <w:sz w:val="32"/>
          <w:szCs w:val="32"/>
          <w:lang w:eastAsia="zh-CN"/>
        </w:rPr>
        <w:t>出现的失误和错误，同明知故犯的违纪违法行为区分开来；把上</w:t>
      </w:r>
      <w:r>
        <w:rPr>
          <w:rFonts w:hint="eastAsia" w:ascii="Times New Roman" w:hAnsi="Times New Roman" w:eastAsia="仿宋_GB2312" w:cs="仿宋_GB2312"/>
          <w:spacing w:val="-1"/>
          <w:sz w:val="32"/>
          <w:szCs w:val="32"/>
          <w:lang w:eastAsia="zh-CN"/>
        </w:rPr>
        <w:t>级尚无明确限制的探索性试验中的失误和错误，同上级明令禁止后依然我行我素的违纪违法行为区分开来；把为推动发展的无意</w:t>
      </w:r>
      <w:r>
        <w:rPr>
          <w:rFonts w:hint="eastAsia" w:ascii="Times New Roman" w:hAnsi="Times New Roman" w:eastAsia="仿宋_GB2312" w:cs="仿宋_GB2312"/>
          <w:spacing w:val="6"/>
          <w:sz w:val="32"/>
          <w:szCs w:val="32"/>
          <w:lang w:eastAsia="zh-CN"/>
        </w:rPr>
        <w:t>过失，同为谋取私利的违纪违法行为区分开</w:t>
      </w:r>
      <w:r>
        <w:rPr>
          <w:rFonts w:hint="eastAsia" w:ascii="Times New Roman" w:hAnsi="Times New Roman" w:eastAsia="仿宋_GB2312" w:cs="仿宋_GB2312"/>
          <w:spacing w:val="5"/>
          <w:sz w:val="32"/>
          <w:szCs w:val="32"/>
          <w:lang w:eastAsia="zh-CN"/>
        </w:rPr>
        <w:t>来</w:t>
      </w:r>
      <w:r>
        <w:rPr>
          <w:rFonts w:hint="eastAsia" w:ascii="Times New Roman" w:hAnsi="Times New Roman" w:eastAsia="仿宋_GB2312" w:cs="仿宋_GB2312"/>
          <w:spacing w:val="15"/>
          <w:sz w:val="32"/>
          <w:szCs w:val="32"/>
          <w:lang w:eastAsia="zh-CN"/>
        </w:rPr>
        <w:t>）</w:t>
      </w:r>
      <w:r>
        <w:rPr>
          <w:rFonts w:hint="eastAsia" w:ascii="Times New Roman" w:hAnsi="Times New Roman" w:eastAsia="仿宋_GB2312" w:cs="仿宋_GB2312"/>
          <w:spacing w:val="5"/>
          <w:sz w:val="32"/>
          <w:szCs w:val="32"/>
          <w:lang w:eastAsia="zh-CN"/>
        </w:rPr>
        <w:t>进行核实认定。</w:t>
      </w:r>
    </w:p>
    <w:p w14:paraId="7E5E1A1E">
      <w:pPr>
        <w:pStyle w:val="3"/>
        <w:spacing w:line="600" w:lineRule="exact"/>
        <w:ind w:firstLine="660" w:firstLineChars="200"/>
        <w:rPr>
          <w:rFonts w:ascii="Times New Roman" w:hAnsi="Times New Roman" w:eastAsia="仿宋_GB2312" w:cs="仿宋_GB2312"/>
          <w:spacing w:val="5"/>
          <w:sz w:val="32"/>
          <w:szCs w:val="32"/>
          <w:lang w:eastAsia="zh-CN"/>
        </w:rPr>
      </w:pPr>
    </w:p>
    <w:p w14:paraId="7F51E891">
      <w:pPr>
        <w:spacing w:line="600" w:lineRule="exact"/>
        <w:jc w:val="center"/>
        <w:outlineLvl w:val="0"/>
        <w:rPr>
          <w:rFonts w:ascii="Times New Roman" w:hAnsi="Times New Roman" w:eastAsia="黑体" w:cs="黑体"/>
          <w:sz w:val="36"/>
          <w:szCs w:val="36"/>
        </w:rPr>
      </w:pPr>
      <w:r>
        <w:rPr>
          <w:rFonts w:hint="eastAsia" w:ascii="Times New Roman" w:hAnsi="Times New Roman" w:eastAsia="黑体" w:cs="黑体"/>
          <w:sz w:val="36"/>
          <w:szCs w:val="36"/>
        </w:rPr>
        <w:t>第九章  档案资料保存</w:t>
      </w:r>
    </w:p>
    <w:p w14:paraId="32295FB9">
      <w:pPr>
        <w:spacing w:line="600" w:lineRule="exact"/>
        <w:outlineLvl w:val="0"/>
        <w:rPr>
          <w:rFonts w:ascii="Times New Roman" w:hAnsi="Times New Roman" w:eastAsia="黑体" w:cs="黑体"/>
          <w:spacing w:val="4"/>
          <w:szCs w:val="32"/>
        </w:rPr>
      </w:pPr>
    </w:p>
    <w:p w14:paraId="05D33DC8">
      <w:pPr>
        <w:spacing w:line="600" w:lineRule="exact"/>
        <w:ind w:firstLine="711" w:firstLineChars="200"/>
        <w:outlineLvl w:val="0"/>
        <w:rPr>
          <w:rFonts w:hint="eastAsia" w:ascii="Times New Roman" w:hAnsi="Times New Roman" w:cs="仿宋_GB2312"/>
          <w:spacing w:val="15"/>
          <w:szCs w:val="32"/>
        </w:rPr>
      </w:pPr>
      <w:r>
        <w:rPr>
          <w:rFonts w:hint="eastAsia" w:ascii="Times New Roman" w:hAnsi="Times New Roman" w:cs="仿宋_GB2312"/>
          <w:b/>
          <w:bCs/>
          <w:spacing w:val="17"/>
          <w:szCs w:val="32"/>
        </w:rPr>
        <w:t>第三十八条</w:t>
      </w:r>
      <w:r>
        <w:rPr>
          <w:rFonts w:hint="eastAsia" w:ascii="Times New Roman" w:hAnsi="Times New Roman" w:eastAsia="黑体" w:cs="黑体"/>
          <w:spacing w:val="4"/>
          <w:szCs w:val="32"/>
        </w:rPr>
        <w:t xml:space="preserve">  </w:t>
      </w:r>
      <w:r>
        <w:rPr>
          <w:rFonts w:hint="eastAsia" w:ascii="Times New Roman" w:hAnsi="Times New Roman" w:cs="仿宋_GB2312"/>
          <w:spacing w:val="4"/>
          <w:szCs w:val="32"/>
        </w:rPr>
        <w:t>久银基金</w:t>
      </w:r>
      <w:r>
        <w:rPr>
          <w:rFonts w:hint="eastAsia" w:ascii="Times New Roman" w:hAnsi="Times New Roman" w:cs="仿宋_GB2312"/>
          <w:spacing w:val="15"/>
          <w:szCs w:val="32"/>
        </w:rPr>
        <w:t>应当保存基金管理全过程的信息及相关资料，确保信息的完整、连续、准确和可追溯，保存期限自基金清算终止之日起不得少于</w:t>
      </w:r>
      <w:r>
        <w:rPr>
          <w:rFonts w:ascii="Times New Roman" w:hAnsi="Times New Roman" w:cs="仿宋_GB2312"/>
          <w:spacing w:val="15"/>
          <w:szCs w:val="32"/>
        </w:rPr>
        <w:t>10</w:t>
      </w:r>
      <w:r>
        <w:rPr>
          <w:rFonts w:hint="eastAsia" w:ascii="Times New Roman" w:hAnsi="Times New Roman" w:cs="仿宋_GB2312"/>
          <w:spacing w:val="15"/>
          <w:szCs w:val="32"/>
        </w:rPr>
        <w:t>年。</w:t>
      </w:r>
    </w:p>
    <w:p w14:paraId="1D085F65">
      <w:pPr>
        <w:spacing w:line="600" w:lineRule="exact"/>
        <w:ind w:firstLine="700" w:firstLineChars="200"/>
        <w:outlineLvl w:val="0"/>
        <w:rPr>
          <w:rFonts w:hint="eastAsia" w:ascii="Times New Roman" w:hAnsi="Times New Roman" w:cs="仿宋_GB2312"/>
          <w:spacing w:val="15"/>
          <w:szCs w:val="32"/>
        </w:rPr>
      </w:pPr>
    </w:p>
    <w:p w14:paraId="190390FB">
      <w:pPr>
        <w:spacing w:line="600" w:lineRule="exact"/>
        <w:jc w:val="center"/>
        <w:outlineLvl w:val="0"/>
        <w:rPr>
          <w:rFonts w:ascii="Times New Roman" w:hAnsi="Times New Roman" w:eastAsia="黑体" w:cs="黑体"/>
          <w:sz w:val="36"/>
          <w:szCs w:val="36"/>
        </w:rPr>
      </w:pPr>
      <w:r>
        <w:rPr>
          <w:rFonts w:hint="eastAsia" w:ascii="Times New Roman" w:hAnsi="Times New Roman" w:eastAsia="黑体" w:cs="黑体"/>
          <w:sz w:val="36"/>
          <w:szCs w:val="36"/>
        </w:rPr>
        <w:t>第十章  附   则</w:t>
      </w:r>
    </w:p>
    <w:p w14:paraId="6D7070AF">
      <w:pPr>
        <w:pStyle w:val="3"/>
        <w:spacing w:line="600" w:lineRule="exact"/>
        <w:ind w:firstLine="632" w:firstLineChars="200"/>
        <w:rPr>
          <w:rFonts w:ascii="Times New Roman" w:hAnsi="Times New Roman" w:eastAsia="黑体" w:cs="黑体"/>
          <w:spacing w:val="-2"/>
          <w:sz w:val="32"/>
          <w:szCs w:val="32"/>
          <w:lang w:eastAsia="zh-CN"/>
        </w:rPr>
      </w:pPr>
      <w:bookmarkStart w:id="3" w:name="_GoBack"/>
      <w:bookmarkEnd w:id="3"/>
    </w:p>
    <w:p w14:paraId="7A72CF87">
      <w:pPr>
        <w:pStyle w:val="3"/>
        <w:spacing w:line="600" w:lineRule="exact"/>
        <w:ind w:firstLine="711" w:firstLineChars="200"/>
        <w:rPr>
          <w:rFonts w:ascii="Times New Roman" w:hAnsi="Times New Roman" w:eastAsia="仿宋_GB2312" w:cs="仿宋_GB2312"/>
          <w:sz w:val="32"/>
          <w:szCs w:val="32"/>
          <w:lang w:eastAsia="zh-CN"/>
        </w:rPr>
      </w:pPr>
      <w:bookmarkStart w:id="2" w:name="OLE_LINK1"/>
      <w:r>
        <w:rPr>
          <w:rFonts w:hint="eastAsia" w:ascii="Times New Roman" w:hAnsi="Times New Roman" w:eastAsia="仿宋_GB2312" w:cs="仿宋_GB2312"/>
          <w:b/>
          <w:bCs/>
          <w:spacing w:val="17"/>
          <w:sz w:val="32"/>
          <w:szCs w:val="32"/>
          <w:lang w:eastAsia="zh-CN"/>
        </w:rPr>
        <w:t>第三十九条</w:t>
      </w:r>
      <w:bookmarkEnd w:id="2"/>
      <w:r>
        <w:rPr>
          <w:rFonts w:hint="eastAsia" w:ascii="Times New Roman" w:hAnsi="Times New Roman" w:eastAsia="仿宋_GB2312" w:cs="仿宋_GB2312"/>
          <w:b/>
          <w:bCs/>
          <w:spacing w:val="17"/>
          <w:sz w:val="32"/>
          <w:szCs w:val="32"/>
          <w:lang w:eastAsia="zh-CN"/>
        </w:rPr>
        <w:t xml:space="preserve"> </w:t>
      </w:r>
      <w:r>
        <w:rPr>
          <w:rFonts w:hint="eastAsia" w:ascii="Times New Roman" w:hAnsi="Times New Roman" w:eastAsia="仿宋_GB2312" w:cs="仿宋_GB2312"/>
          <w:spacing w:val="-2"/>
          <w:sz w:val="32"/>
          <w:szCs w:val="32"/>
          <w:lang w:eastAsia="zh-CN"/>
        </w:rPr>
        <w:t xml:space="preserve"> 本办法自发布之日起施行。由贵阳市发展和改革委员会负责解释及修订。</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D31D2B2-AC3B-4206-B42F-C0D951A4DD89}"/>
  </w:font>
  <w:font w:name="黑体">
    <w:panose1 w:val="02010600030101010101"/>
    <w:charset w:val="86"/>
    <w:family w:val="auto"/>
    <w:pitch w:val="default"/>
    <w:sig w:usb0="800002BF" w:usb1="38CF7CFA" w:usb2="00000016" w:usb3="00000000" w:csb0="00040001" w:csb1="00000000"/>
    <w:embedRegular r:id="rId2" w:fontKey="{E3AFE730-D9C8-457E-B685-1C20B6610CC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3" w:fontKey="{DFC56499-0CE4-4796-AB85-C8BEDC646A1A}"/>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embedRegular r:id="rId4" w:fontKey="{16D67DF0-2AFA-445E-8F73-085B342BD0A1}"/>
  </w:font>
  <w:font w:name="微软雅黑">
    <w:panose1 w:val="020B0503020204020204"/>
    <w:charset w:val="86"/>
    <w:family w:val="swiss"/>
    <w:pitch w:val="default"/>
    <w:sig w:usb0="80000287" w:usb1="2ACF3C50" w:usb2="00000016" w:usb3="00000000" w:csb0="0004001F" w:csb1="00000000"/>
    <w:embedRegular r:id="rId5" w:fontKey="{F3C753F0-F1C0-4819-8746-6C1F6EADAF2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AE263">
    <w:pPr>
      <w:pStyle w:val="3"/>
      <w:spacing w:before="1" w:line="176" w:lineRule="auto"/>
      <w:ind w:left="282"/>
      <w:rPr>
        <w:rFonts w:hint="eastAsia"/>
      </w:rPr>
    </w:pPr>
    <w: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174D5B">
                          <w:pPr>
                            <w:pStyle w:val="5"/>
                          </w:pPr>
                          <w:r>
                            <w:t>—</w: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E174D5B">
                    <w:pPr>
                      <w:pStyle w:val="5"/>
                    </w:pPr>
                    <w:r>
                      <w:t>—</w: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4E333">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968247"/>
    <w:multiLevelType w:val="singleLevel"/>
    <w:tmpl w:val="F4968247"/>
    <w:lvl w:ilvl="0" w:tentative="0">
      <w:start w:val="4"/>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JlZDcxYThkNjQzMjEwNjQ5M2NkMGMzYmM2YmNjNzAifQ=="/>
  </w:docVars>
  <w:rsids>
    <w:rsidRoot w:val="00552833"/>
    <w:rsid w:val="00013898"/>
    <w:rsid w:val="000409A5"/>
    <w:rsid w:val="000B56CE"/>
    <w:rsid w:val="000E4C64"/>
    <w:rsid w:val="00143CC1"/>
    <w:rsid w:val="0018282D"/>
    <w:rsid w:val="00196121"/>
    <w:rsid w:val="001A23E2"/>
    <w:rsid w:val="00205994"/>
    <w:rsid w:val="00273775"/>
    <w:rsid w:val="002762DD"/>
    <w:rsid w:val="00277210"/>
    <w:rsid w:val="002B0E69"/>
    <w:rsid w:val="002C1D8F"/>
    <w:rsid w:val="002E1F20"/>
    <w:rsid w:val="002F11EE"/>
    <w:rsid w:val="00330D32"/>
    <w:rsid w:val="003400BF"/>
    <w:rsid w:val="00342551"/>
    <w:rsid w:val="00353FFA"/>
    <w:rsid w:val="003B4339"/>
    <w:rsid w:val="00417780"/>
    <w:rsid w:val="004331D6"/>
    <w:rsid w:val="004347AD"/>
    <w:rsid w:val="004915AB"/>
    <w:rsid w:val="004A129A"/>
    <w:rsid w:val="004C4667"/>
    <w:rsid w:val="00500FCB"/>
    <w:rsid w:val="005102B0"/>
    <w:rsid w:val="00526D67"/>
    <w:rsid w:val="00552833"/>
    <w:rsid w:val="00580799"/>
    <w:rsid w:val="00582A96"/>
    <w:rsid w:val="005955BB"/>
    <w:rsid w:val="0059669E"/>
    <w:rsid w:val="005B2C53"/>
    <w:rsid w:val="005D7590"/>
    <w:rsid w:val="00604E3C"/>
    <w:rsid w:val="00616566"/>
    <w:rsid w:val="00644FE0"/>
    <w:rsid w:val="0066367E"/>
    <w:rsid w:val="0067257C"/>
    <w:rsid w:val="00677F43"/>
    <w:rsid w:val="007211A7"/>
    <w:rsid w:val="00786FDD"/>
    <w:rsid w:val="007B1F72"/>
    <w:rsid w:val="007E5B21"/>
    <w:rsid w:val="007F6A44"/>
    <w:rsid w:val="00832D7D"/>
    <w:rsid w:val="0086267E"/>
    <w:rsid w:val="00873B6F"/>
    <w:rsid w:val="00886603"/>
    <w:rsid w:val="008909EB"/>
    <w:rsid w:val="00894B4F"/>
    <w:rsid w:val="008A6888"/>
    <w:rsid w:val="008D0185"/>
    <w:rsid w:val="008F7D4A"/>
    <w:rsid w:val="00906FC4"/>
    <w:rsid w:val="009301E5"/>
    <w:rsid w:val="00962F72"/>
    <w:rsid w:val="0096711D"/>
    <w:rsid w:val="009760CA"/>
    <w:rsid w:val="00981721"/>
    <w:rsid w:val="0098476D"/>
    <w:rsid w:val="009A5BD5"/>
    <w:rsid w:val="00A1650B"/>
    <w:rsid w:val="00A902FC"/>
    <w:rsid w:val="00AD0CCD"/>
    <w:rsid w:val="00AE0322"/>
    <w:rsid w:val="00AE53AE"/>
    <w:rsid w:val="00AF2288"/>
    <w:rsid w:val="00B33019"/>
    <w:rsid w:val="00B710D2"/>
    <w:rsid w:val="00B774B9"/>
    <w:rsid w:val="00BB664F"/>
    <w:rsid w:val="00BE2E63"/>
    <w:rsid w:val="00BF0FB2"/>
    <w:rsid w:val="00C43FA1"/>
    <w:rsid w:val="00CA5C4F"/>
    <w:rsid w:val="00CE4217"/>
    <w:rsid w:val="00D32586"/>
    <w:rsid w:val="00D6020A"/>
    <w:rsid w:val="00D74971"/>
    <w:rsid w:val="00D81DBE"/>
    <w:rsid w:val="00DD44BD"/>
    <w:rsid w:val="00DE21A4"/>
    <w:rsid w:val="00E20F9E"/>
    <w:rsid w:val="00E251A4"/>
    <w:rsid w:val="00E35A2F"/>
    <w:rsid w:val="00F643B1"/>
    <w:rsid w:val="00F75EA5"/>
    <w:rsid w:val="00F8078C"/>
    <w:rsid w:val="00FA5DA3"/>
    <w:rsid w:val="00FC773F"/>
    <w:rsid w:val="00FD126B"/>
    <w:rsid w:val="014F7A8F"/>
    <w:rsid w:val="01D6184D"/>
    <w:rsid w:val="049A05C6"/>
    <w:rsid w:val="06D64149"/>
    <w:rsid w:val="0B4A3403"/>
    <w:rsid w:val="0EB73367"/>
    <w:rsid w:val="0EC53135"/>
    <w:rsid w:val="0F5762D8"/>
    <w:rsid w:val="10192C88"/>
    <w:rsid w:val="119C3F5B"/>
    <w:rsid w:val="12326F4C"/>
    <w:rsid w:val="157D4A1B"/>
    <w:rsid w:val="157F492C"/>
    <w:rsid w:val="1663112C"/>
    <w:rsid w:val="18BF3C55"/>
    <w:rsid w:val="196A39A7"/>
    <w:rsid w:val="1A5C15C6"/>
    <w:rsid w:val="1C4024C1"/>
    <w:rsid w:val="1E050B99"/>
    <w:rsid w:val="2128065D"/>
    <w:rsid w:val="234000C3"/>
    <w:rsid w:val="257F495F"/>
    <w:rsid w:val="27A947A8"/>
    <w:rsid w:val="2A1E0762"/>
    <w:rsid w:val="2AFB0EED"/>
    <w:rsid w:val="2D420BDA"/>
    <w:rsid w:val="2D421C9E"/>
    <w:rsid w:val="2F1C758B"/>
    <w:rsid w:val="32FD209F"/>
    <w:rsid w:val="3340694C"/>
    <w:rsid w:val="36C86882"/>
    <w:rsid w:val="39226ACD"/>
    <w:rsid w:val="397A30D0"/>
    <w:rsid w:val="3AB538AE"/>
    <w:rsid w:val="3AB76D7C"/>
    <w:rsid w:val="3AF73CCE"/>
    <w:rsid w:val="3BC75E54"/>
    <w:rsid w:val="3CA210B9"/>
    <w:rsid w:val="405B7F2F"/>
    <w:rsid w:val="40B077ED"/>
    <w:rsid w:val="40D81419"/>
    <w:rsid w:val="44084730"/>
    <w:rsid w:val="457F65D3"/>
    <w:rsid w:val="45B1333A"/>
    <w:rsid w:val="48042975"/>
    <w:rsid w:val="480F4534"/>
    <w:rsid w:val="49EB1729"/>
    <w:rsid w:val="4BB2423E"/>
    <w:rsid w:val="4D3B5990"/>
    <w:rsid w:val="4E3D574C"/>
    <w:rsid w:val="4FC12640"/>
    <w:rsid w:val="51EB47E1"/>
    <w:rsid w:val="520E4611"/>
    <w:rsid w:val="55CD152A"/>
    <w:rsid w:val="59F64594"/>
    <w:rsid w:val="5AF95A79"/>
    <w:rsid w:val="5C0B588D"/>
    <w:rsid w:val="5FA57677"/>
    <w:rsid w:val="611D62F6"/>
    <w:rsid w:val="63273F21"/>
    <w:rsid w:val="634D0107"/>
    <w:rsid w:val="6399098C"/>
    <w:rsid w:val="63A267C1"/>
    <w:rsid w:val="65222AB7"/>
    <w:rsid w:val="65A2693E"/>
    <w:rsid w:val="66CC1EC1"/>
    <w:rsid w:val="66D62472"/>
    <w:rsid w:val="672F1572"/>
    <w:rsid w:val="68243280"/>
    <w:rsid w:val="69B62319"/>
    <w:rsid w:val="6A6F243B"/>
    <w:rsid w:val="6AEC4B3D"/>
    <w:rsid w:val="6CED45DC"/>
    <w:rsid w:val="6DB359A0"/>
    <w:rsid w:val="718D3119"/>
    <w:rsid w:val="71FB3AC9"/>
    <w:rsid w:val="74A40498"/>
    <w:rsid w:val="78A51315"/>
    <w:rsid w:val="79AE3792"/>
    <w:rsid w:val="7B774AA1"/>
    <w:rsid w:val="7D647A4E"/>
    <w:rsid w:val="7D9C40A0"/>
    <w:rsid w:val="7E1979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asciiTheme="minorHAnsi" w:hAnsiTheme="minorHAnsi" w:cstheme="minorBidi"/>
      <w:kern w:val="2"/>
      <w:sz w:val="32"/>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9"/>
    <w:qFormat/>
    <w:uiPriority w:val="0"/>
    <w:pPr>
      <w:jc w:val="left"/>
    </w:pPr>
  </w:style>
  <w:style w:type="paragraph" w:styleId="3">
    <w:name w:val="Body Text"/>
    <w:basedOn w:val="1"/>
    <w:semiHidden/>
    <w:qFormat/>
    <w:uiPriority w:val="0"/>
    <w:rPr>
      <w:rFonts w:ascii="仿宋" w:hAnsi="仿宋" w:eastAsia="仿宋" w:cs="仿宋"/>
      <w:sz w:val="30"/>
      <w:szCs w:val="30"/>
      <w:lang w:eastAsia="en-US"/>
    </w:rPr>
  </w:style>
  <w:style w:type="paragraph" w:styleId="4">
    <w:name w:val="Balloon Text"/>
    <w:basedOn w:val="1"/>
    <w:link w:val="12"/>
    <w:qFormat/>
    <w:uiPriority w:val="0"/>
    <w:rPr>
      <w:sz w:val="18"/>
      <w:szCs w:val="18"/>
    </w:r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annotation subject"/>
    <w:basedOn w:val="2"/>
    <w:next w:val="2"/>
    <w:link w:val="20"/>
    <w:qFormat/>
    <w:uiPriority w:val="0"/>
    <w:rPr>
      <w:b/>
      <w:bCs/>
    </w:rPr>
  </w:style>
  <w:style w:type="character" w:styleId="10">
    <w:name w:val="annotation reference"/>
    <w:basedOn w:val="9"/>
    <w:qFormat/>
    <w:uiPriority w:val="0"/>
    <w:rPr>
      <w:sz w:val="21"/>
      <w:szCs w:val="21"/>
    </w:rPr>
  </w:style>
  <w:style w:type="character" w:customStyle="1" w:styleId="11">
    <w:name w:val="页脚 字符"/>
    <w:basedOn w:val="9"/>
    <w:link w:val="5"/>
    <w:qFormat/>
    <w:uiPriority w:val="0"/>
    <w:rPr>
      <w:rFonts w:asciiTheme="minorHAnsi" w:hAnsiTheme="minorHAnsi" w:eastAsiaTheme="minorEastAsia" w:cstheme="minorBidi"/>
      <w:kern w:val="2"/>
      <w:sz w:val="18"/>
      <w:szCs w:val="18"/>
    </w:rPr>
  </w:style>
  <w:style w:type="character" w:customStyle="1" w:styleId="12">
    <w:name w:val="批注框文本 字符"/>
    <w:basedOn w:val="9"/>
    <w:link w:val="4"/>
    <w:qFormat/>
    <w:uiPriority w:val="0"/>
    <w:rPr>
      <w:rFonts w:asciiTheme="minorHAnsi" w:hAnsiTheme="minorHAnsi" w:eastAsiaTheme="minorEastAsia" w:cstheme="minorBidi"/>
      <w:kern w:val="2"/>
      <w:sz w:val="18"/>
      <w:szCs w:val="18"/>
    </w:rPr>
  </w:style>
  <w:style w:type="paragraph" w:customStyle="1" w:styleId="13">
    <w:name w:val="修订1"/>
    <w:hidden/>
    <w:semiHidden/>
    <w:qFormat/>
    <w:uiPriority w:val="99"/>
    <w:rPr>
      <w:rFonts w:asciiTheme="minorHAnsi" w:hAnsiTheme="minorHAnsi" w:eastAsiaTheme="minorEastAsia" w:cstheme="minorBidi"/>
      <w:kern w:val="2"/>
      <w:sz w:val="21"/>
      <w:szCs w:val="24"/>
      <w:lang w:val="en-US" w:eastAsia="zh-CN" w:bidi="ar-SA"/>
    </w:rPr>
  </w:style>
  <w:style w:type="paragraph" w:customStyle="1" w:styleId="14">
    <w:name w:val="修订2"/>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15">
    <w:name w:val="修订3"/>
    <w:hidden/>
    <w:unhideWhenUsed/>
    <w:qFormat/>
    <w:uiPriority w:val="99"/>
    <w:rPr>
      <w:rFonts w:asciiTheme="minorHAnsi" w:hAnsiTheme="minorHAnsi" w:eastAsiaTheme="minorEastAsia" w:cstheme="minorBidi"/>
      <w:kern w:val="2"/>
      <w:sz w:val="21"/>
      <w:szCs w:val="24"/>
      <w:lang w:val="en-US" w:eastAsia="zh-CN" w:bidi="ar-SA"/>
    </w:rPr>
  </w:style>
  <w:style w:type="paragraph" w:styleId="16">
    <w:name w:val="List Paragraph"/>
    <w:basedOn w:val="1"/>
    <w:unhideWhenUsed/>
    <w:qFormat/>
    <w:uiPriority w:val="99"/>
    <w:pPr>
      <w:ind w:firstLine="420" w:firstLineChars="200"/>
    </w:pPr>
  </w:style>
  <w:style w:type="paragraph" w:customStyle="1" w:styleId="17">
    <w:name w:val="修订4"/>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18">
    <w:name w:val="修订5"/>
    <w:hidden/>
    <w:unhideWhenUsed/>
    <w:qFormat/>
    <w:uiPriority w:val="99"/>
    <w:rPr>
      <w:rFonts w:eastAsia="仿宋_GB2312" w:asciiTheme="minorHAnsi" w:hAnsiTheme="minorHAnsi" w:cstheme="minorBidi"/>
      <w:kern w:val="2"/>
      <w:sz w:val="32"/>
      <w:szCs w:val="24"/>
      <w:lang w:val="en-US" w:eastAsia="zh-CN" w:bidi="ar-SA"/>
    </w:rPr>
  </w:style>
  <w:style w:type="character" w:customStyle="1" w:styleId="19">
    <w:name w:val="批注文字 字符"/>
    <w:basedOn w:val="9"/>
    <w:link w:val="2"/>
    <w:qFormat/>
    <w:uiPriority w:val="0"/>
    <w:rPr>
      <w:rFonts w:eastAsia="仿宋_GB2312" w:asciiTheme="minorHAnsi" w:hAnsiTheme="minorHAnsi" w:cstheme="minorBidi"/>
      <w:kern w:val="2"/>
      <w:sz w:val="32"/>
      <w:szCs w:val="24"/>
    </w:rPr>
  </w:style>
  <w:style w:type="character" w:customStyle="1" w:styleId="20">
    <w:name w:val="批注主题 字符"/>
    <w:basedOn w:val="19"/>
    <w:link w:val="7"/>
    <w:qFormat/>
    <w:uiPriority w:val="0"/>
    <w:rPr>
      <w:rFonts w:eastAsia="仿宋_GB2312" w:asciiTheme="minorHAnsi" w:hAnsiTheme="minorHAnsi" w:cstheme="minorBidi"/>
      <w:b/>
      <w:bCs/>
      <w:kern w:val="2"/>
      <w:sz w:val="32"/>
      <w:szCs w:val="24"/>
    </w:rPr>
  </w:style>
  <w:style w:type="paragraph" w:customStyle="1" w:styleId="21">
    <w:name w:val="Revision"/>
    <w:hidden/>
    <w:unhideWhenUsed/>
    <w:qFormat/>
    <w:uiPriority w:val="99"/>
    <w:rPr>
      <w:rFonts w:eastAsia="仿宋_GB2312" w:asciiTheme="minorHAnsi" w:hAnsiTheme="minorHAnsi" w:cstheme="minorBidi"/>
      <w:kern w:val="2"/>
      <w:sz w:val="32"/>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6911</Words>
  <Characters>6994</Characters>
  <Lines>51</Lines>
  <Paragraphs>14</Paragraphs>
  <TotalTime>166</TotalTime>
  <ScaleCrop>false</ScaleCrop>
  <LinksUpToDate>false</LinksUpToDate>
  <CharactersWithSpaces>7097</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2024-11-28T01:18:00Z</dcterms:created>
  <dc:creator>DELL</dc:creator>
  <cp:lastModifiedBy>丁骏岩</cp:lastModifiedBy>
  <cp:lastPrinted>2024-12-06T09:51:00Z</cp:lastPrinted>
  <dcterms:modified xsi:type="dcterms:W3CDTF">2025-01-22T09:33:43Z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380120927CBC467C8E3D9460F654E53F_13</vt:lpwstr>
  </property>
  <property fmtid="{D5CDD505-2E9C-101B-9397-08002B2CF9AE}" pid="4" name="KSOTemplateDocerSaveRecord">
    <vt:lpwstr>eyJoZGlkIjoiODJlZDcxYThkNjQzMjEwNjQ5M2NkMGMzYmM2YmNjNzAiLCJ1c2VySWQiOiIxMTQ0NDU2NzA4In0=</vt:lpwstr>
  </property>
</Properties>
</file>