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3FE30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themeColor="text1"/>
          <w:sz w:val="44"/>
          <w:szCs w:val="44"/>
          <w:highlight w:val="none"/>
          <w:u w:val="none"/>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u w:val="none"/>
          <w14:textFill>
            <w14:solidFill>
              <w14:schemeClr w14:val="tx1"/>
            </w14:solidFill>
          </w14:textFill>
        </w:rPr>
        <w:t>2025年贵阳市促进跨境贸易便利化</w:t>
      </w:r>
    </w:p>
    <w:p w14:paraId="403199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themeColor="text1"/>
          <w:sz w:val="44"/>
          <w:szCs w:val="44"/>
          <w:highlight w:val="none"/>
          <w:u w:val="none"/>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highlight w:val="none"/>
          <w:u w:val="none"/>
          <w:lang w:val="en-US" w:eastAsia="zh-CN"/>
          <w14:textFill>
            <w14:solidFill>
              <w14:schemeClr w14:val="tx1"/>
            </w14:solidFill>
          </w14:textFill>
        </w:rPr>
        <w:t>工作措施</w:t>
      </w:r>
    </w:p>
    <w:p w14:paraId="0DA0AA4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b w:val="0"/>
          <w:bCs w:val="0"/>
          <w:color w:val="000000" w:themeColor="text1"/>
          <w:kern w:val="0"/>
          <w:sz w:val="32"/>
          <w:szCs w:val="32"/>
          <w:highlight w:val="none"/>
          <w:u w:val="none"/>
          <w:lang w:val="en-US" w:eastAsia="zh-CN" w:bidi="ar-SA"/>
          <w14:textFill>
            <w14:solidFill>
              <w14:schemeClr w14:val="tx1"/>
            </w14:solidFill>
          </w14:textFill>
        </w:rPr>
      </w:pPr>
      <w:r>
        <w:rPr>
          <w:rFonts w:hint="eastAsia" w:ascii="楷体_GB2312" w:hAnsi="楷体_GB2312" w:eastAsia="楷体_GB2312" w:cs="楷体_GB2312"/>
          <w:b w:val="0"/>
          <w:bCs w:val="0"/>
          <w:color w:val="000000" w:themeColor="text1"/>
          <w:kern w:val="0"/>
          <w:sz w:val="32"/>
          <w:szCs w:val="32"/>
          <w:highlight w:val="none"/>
          <w:u w:val="none"/>
          <w:lang w:val="en-US" w:eastAsia="zh-CN" w:bidi="ar-SA"/>
          <w14:textFill>
            <w14:solidFill>
              <w14:schemeClr w14:val="tx1"/>
            </w14:solidFill>
          </w14:textFill>
        </w:rPr>
        <w:t>（征求意见稿）</w:t>
      </w:r>
    </w:p>
    <w:p w14:paraId="4CC1474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themeColor="text1"/>
          <w:sz w:val="44"/>
          <w:szCs w:val="44"/>
          <w:highlight w:val="none"/>
          <w:u w:val="none"/>
          <w14:textFill>
            <w14:solidFill>
              <w14:schemeClr w14:val="tx1"/>
            </w14:solidFill>
          </w14:textFill>
        </w:rPr>
      </w:pPr>
    </w:p>
    <w:p w14:paraId="2D1CECF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color w:val="000000" w:themeColor="text1"/>
          <w:sz w:val="32"/>
          <w:szCs w:val="32"/>
          <w:highlight w:val="none"/>
          <w:u w:val="none"/>
          <w:lang w:eastAsia="zh-CN" w:bidi="ar-SA"/>
          <w14:textFill>
            <w14:solidFill>
              <w14:schemeClr w14:val="tx1"/>
            </w14:solidFill>
          </w14:textFill>
        </w:rPr>
      </w:pPr>
      <w:r>
        <w:rPr>
          <w:rFonts w:hint="eastAsia" w:ascii="仿宋_GB2312" w:hAnsi="仿宋_GB2312" w:eastAsia="仿宋_GB2312" w:cs="仿宋_GB2312"/>
          <w:color w:val="000000" w:themeColor="text1"/>
          <w:sz w:val="32"/>
          <w:szCs w:val="32"/>
          <w:highlight w:val="none"/>
          <w:u w:val="none"/>
          <w:lang w:eastAsia="zh-CN" w:bidi="ar-SA"/>
          <w14:textFill>
            <w14:solidFill>
              <w14:schemeClr w14:val="tx1"/>
            </w14:solidFill>
          </w14:textFill>
        </w:rPr>
        <w:t>为持续完善口岸服务功能、优化口岸营商环境，不断增强广大进出口企业的获得感和满意度，推动贵阳市外贸高质量发展，促进高水平开放，按照《海关总署关于印送跨境贸易便利化专项行动具体措施的函》（署岸函[2025]107号）和市委、市政府优化开放环境有关要求，深入实施贵阳市2025年跨境贸易便利化专项行动，制定并实施本工作</w:t>
      </w:r>
      <w:r>
        <w:rPr>
          <w:rFonts w:hint="eastAsia" w:ascii="仿宋_GB2312" w:hAnsi="仿宋_GB2312" w:eastAsia="仿宋_GB2312" w:cs="仿宋_GB2312"/>
          <w:color w:val="000000" w:themeColor="text1"/>
          <w:sz w:val="32"/>
          <w:szCs w:val="32"/>
          <w:highlight w:val="none"/>
          <w:u w:val="none"/>
          <w:lang w:val="en-US" w:eastAsia="zh-CN" w:bidi="ar-SA"/>
          <w14:textFill>
            <w14:solidFill>
              <w14:schemeClr w14:val="tx1"/>
            </w14:solidFill>
          </w14:textFill>
        </w:rPr>
        <w:t>措施</w:t>
      </w:r>
      <w:r>
        <w:rPr>
          <w:rFonts w:hint="eastAsia" w:ascii="仿宋_GB2312" w:hAnsi="仿宋_GB2312" w:eastAsia="仿宋_GB2312" w:cs="仿宋_GB2312"/>
          <w:color w:val="000000" w:themeColor="text1"/>
          <w:sz w:val="32"/>
          <w:szCs w:val="32"/>
          <w:highlight w:val="none"/>
          <w:u w:val="none"/>
          <w:lang w:eastAsia="zh-CN" w:bidi="ar-SA"/>
          <w14:textFill>
            <w14:solidFill>
              <w14:schemeClr w14:val="tx1"/>
            </w14:solidFill>
          </w14:textFill>
        </w:rPr>
        <w:t>。</w:t>
      </w:r>
    </w:p>
    <w:p w14:paraId="733E437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color w:val="000000" w:themeColor="text1"/>
          <w:sz w:val="32"/>
          <w:szCs w:val="32"/>
          <w:highlight w:val="none"/>
          <w:u w:val="none"/>
          <w:lang w:bidi="ar-SA"/>
          <w14:textFill>
            <w14:solidFill>
              <w14:schemeClr w14:val="tx1"/>
            </w14:solidFill>
          </w14:textFill>
        </w:rPr>
      </w:pPr>
      <w:r>
        <w:rPr>
          <w:rFonts w:hint="eastAsia" w:ascii="黑体" w:hAnsi="黑体" w:eastAsia="黑体" w:cs="黑体"/>
          <w:color w:val="000000" w:themeColor="text1"/>
          <w:sz w:val="32"/>
          <w:szCs w:val="32"/>
          <w:highlight w:val="none"/>
          <w:u w:val="none"/>
          <w:lang w:eastAsia="zh-CN" w:bidi="ar-SA"/>
          <w14:textFill>
            <w14:solidFill>
              <w14:schemeClr w14:val="tx1"/>
            </w14:solidFill>
          </w14:textFill>
        </w:rPr>
        <w:t>一、</w:t>
      </w:r>
      <w:r>
        <w:rPr>
          <w:rFonts w:hint="eastAsia" w:ascii="黑体" w:hAnsi="黑体" w:eastAsia="黑体" w:cs="黑体"/>
          <w:color w:val="000000" w:themeColor="text1"/>
          <w:sz w:val="32"/>
          <w:szCs w:val="32"/>
          <w:highlight w:val="none"/>
          <w:u w:val="none"/>
          <w:lang w:bidi="ar-SA"/>
          <w14:textFill>
            <w14:solidFill>
              <w14:schemeClr w14:val="tx1"/>
            </w14:solidFill>
          </w14:textFill>
        </w:rPr>
        <w:t>强化政策供给</w:t>
      </w:r>
    </w:p>
    <w:p w14:paraId="4697806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eastAsia="仿宋_GB2312" w:cs="仿宋_GB2312"/>
          <w:color w:val="000000" w:themeColor="text1"/>
          <w:sz w:val="32"/>
          <w:szCs w:val="32"/>
          <w:highlight w:val="none"/>
          <w:u w:val="none"/>
          <w:lang w:bidi="ar-SA"/>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u w:val="none"/>
          <w:lang w:eastAsia="zh-CN" w:bidi="ar-SA"/>
          <w14:textFill>
            <w14:solidFill>
              <w14:schemeClr w14:val="tx1"/>
            </w14:solidFill>
          </w14:textFill>
        </w:rPr>
        <w:t>（</w:t>
      </w:r>
      <w:r>
        <w:rPr>
          <w:rFonts w:hint="eastAsia" w:ascii="楷体_GB2312" w:hAnsi="楷体_GB2312" w:eastAsia="楷体_GB2312" w:cs="楷体_GB2312"/>
          <w:b w:val="0"/>
          <w:bCs w:val="0"/>
          <w:color w:val="000000" w:themeColor="text1"/>
          <w:sz w:val="32"/>
          <w:szCs w:val="32"/>
          <w:highlight w:val="none"/>
          <w:u w:val="none"/>
          <w:lang w:val="en-US" w:eastAsia="zh-CN" w:bidi="ar-SA"/>
          <w14:textFill>
            <w14:solidFill>
              <w14:schemeClr w14:val="tx1"/>
            </w14:solidFill>
          </w14:textFill>
        </w:rPr>
        <w:t>一</w:t>
      </w:r>
      <w:r>
        <w:rPr>
          <w:rFonts w:hint="eastAsia" w:ascii="楷体_GB2312" w:hAnsi="楷体_GB2312" w:eastAsia="楷体_GB2312" w:cs="楷体_GB2312"/>
          <w:b w:val="0"/>
          <w:bCs w:val="0"/>
          <w:color w:val="000000" w:themeColor="text1"/>
          <w:sz w:val="32"/>
          <w:szCs w:val="32"/>
          <w:highlight w:val="none"/>
          <w:u w:val="none"/>
          <w:lang w:eastAsia="zh-CN" w:bidi="ar-SA"/>
          <w14:textFill>
            <w14:solidFill>
              <w14:schemeClr w14:val="tx1"/>
            </w14:solidFill>
          </w14:textFill>
        </w:rPr>
        <w:t>）</w:t>
      </w:r>
      <w:r>
        <w:rPr>
          <w:rFonts w:hint="eastAsia" w:ascii="楷体_GB2312" w:hAnsi="楷体_GB2312" w:eastAsia="楷体_GB2312" w:cs="楷体_GB2312"/>
          <w:b w:val="0"/>
          <w:bCs w:val="0"/>
          <w:color w:val="000000" w:themeColor="text1"/>
          <w:sz w:val="32"/>
          <w:szCs w:val="32"/>
          <w:highlight w:val="none"/>
          <w:u w:val="none"/>
          <w:lang w:bidi="ar-SA"/>
          <w14:textFill>
            <w14:solidFill>
              <w14:schemeClr w14:val="tx1"/>
            </w14:solidFill>
          </w14:textFill>
        </w:rPr>
        <w:t>优化出口锂电池检验监管模式</w:t>
      </w:r>
      <w:r>
        <w:rPr>
          <w:rFonts w:hint="eastAsia" w:ascii="楷体_GB2312" w:hAnsi="楷体_GB2312" w:eastAsia="楷体_GB2312" w:cs="楷体_GB2312"/>
          <w:b w:val="0"/>
          <w:bCs w:val="0"/>
          <w:color w:val="000000" w:themeColor="text1"/>
          <w:sz w:val="32"/>
          <w:szCs w:val="32"/>
          <w:highlight w:val="none"/>
          <w:u w:val="none"/>
          <w:lang w:eastAsia="zh-CN" w:bidi="ar-SA"/>
          <w14:textFill>
            <w14:solidFill>
              <w14:schemeClr w14:val="tx1"/>
            </w14:solidFill>
          </w14:textFill>
        </w:rPr>
        <w:t>。</w:t>
      </w:r>
      <w:r>
        <w:rPr>
          <w:rFonts w:hint="eastAsia" w:ascii="仿宋_GB2312" w:eastAsia="仿宋_GB2312" w:cs="仿宋_GB2312"/>
          <w:color w:val="000000" w:themeColor="text1"/>
          <w:sz w:val="32"/>
          <w:szCs w:val="32"/>
          <w:highlight w:val="none"/>
          <w:u w:val="none"/>
          <w14:textFill>
            <w14:solidFill>
              <w14:schemeClr w14:val="tx1"/>
            </w14:solidFill>
          </w14:textFill>
        </w:rPr>
        <w:t>支持贵阳贵安锂电池产业出口，持续扩大锂电池出口规模。探索建立锂电池出口“风险分级+信用管理”监管体系，</w:t>
      </w:r>
      <w:bookmarkStart w:id="1" w:name="_GoBack"/>
      <w:bookmarkEnd w:id="1"/>
      <w:r>
        <w:rPr>
          <w:rFonts w:hint="eastAsia" w:ascii="仿宋_GB2312" w:eastAsia="仿宋_GB2312" w:cs="仿宋_GB2312"/>
          <w:color w:val="000000" w:themeColor="text1"/>
          <w:sz w:val="32"/>
          <w:szCs w:val="32"/>
          <w:highlight w:val="none"/>
          <w:u w:val="none"/>
          <w14:textFill>
            <w14:solidFill>
              <w14:schemeClr w14:val="tx1"/>
            </w14:solidFill>
          </w14:textFill>
        </w:rPr>
        <w:t>推进锂电池包装智慧商检模式落地。落实出口商品质量安全提升促进行动，支持有需求的企业适用汽车与锂电池“分箱发运”模式出口。提供预约查验服务，对出口锂电池优先查验，压缩锂电池检验时间。</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eastAsia="仿宋_GB2312" w:cs="仿宋_GB2312"/>
          <w:b/>
          <w:bCs/>
          <w:color w:val="000000" w:themeColor="text1"/>
          <w:sz w:val="32"/>
          <w:szCs w:val="32"/>
          <w:highlight w:val="none"/>
          <w:u w:val="none"/>
          <w:lang w:bidi="ar-SA"/>
          <w14:textFill>
            <w14:solidFill>
              <w14:schemeClr w14:val="tx1"/>
            </w14:solidFill>
          </w14:textFill>
        </w:rPr>
        <w:t>责任单位</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筑城海关、龙洞堡机场海关、贵安新区海关、贵阳铁路物流中心、市商务局、贵阳综保区保税业务与口岸服务中心、双龙航空港经济区投资促进局、贵州铁投集团</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p>
    <w:p w14:paraId="0E4B971A">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eastAsia="仿宋_GB2312" w:cs="仿宋_GB2312"/>
          <w:color w:val="000000" w:themeColor="text1"/>
          <w:sz w:val="32"/>
          <w:szCs w:val="32"/>
          <w:highlight w:val="none"/>
          <w:u w:val="none"/>
          <w:lang w:bidi="ar-SA"/>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u w:val="none"/>
          <w:lang w:val="en-US" w:eastAsia="zh-CN" w:bidi="ar-SA"/>
          <w14:textFill>
            <w14:solidFill>
              <w14:schemeClr w14:val="tx1"/>
            </w14:solidFill>
          </w14:textFill>
        </w:rPr>
        <w:t>（二）探索“药食同源”商品便利通关措施。</w:t>
      </w:r>
      <w:r>
        <w:rPr>
          <w:rFonts w:hint="eastAsia" w:ascii="仿宋_GB2312" w:eastAsia="仿宋_GB2312" w:cs="仿宋_GB2312"/>
          <w:color w:val="000000" w:themeColor="text1"/>
          <w:sz w:val="32"/>
          <w:szCs w:val="32"/>
          <w:highlight w:val="none"/>
          <w:u w:val="none"/>
          <w14:textFill>
            <w14:solidFill>
              <w14:schemeClr w14:val="tx1"/>
            </w14:solidFill>
          </w14:textFill>
        </w:rPr>
        <w:t>实施“药食同源”商品分类管理措施，对企业申报为食品用途的，按照进口食品实施监管，免于办理进口药品通关单，推动东盟等优质药食商品便捷进入贵州市场。海关、市场监管、药监等部门在各自职责范围内，依法对进口“药食同源”商品加强监管，建立部门间监管信息共享机制，督查企业守法合规经营，发现涉嫌违法犯罪的，依法移送公安机关追究法律责任。</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eastAsia="仿宋_GB2312" w:cs="仿宋_GB2312"/>
          <w:b/>
          <w:bCs/>
          <w:color w:val="000000" w:themeColor="text1"/>
          <w:sz w:val="32"/>
          <w:szCs w:val="32"/>
          <w:highlight w:val="none"/>
          <w:u w:val="none"/>
          <w:lang w:bidi="ar-SA"/>
          <w14:textFill>
            <w14:solidFill>
              <w14:schemeClr w14:val="tx1"/>
            </w14:solidFill>
          </w14:textFill>
        </w:rPr>
        <w:t>责任单位</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筑城海关、龙洞堡机场海关、贵安新区海关、市市场监管局&lt;市药监局&gt;、市卫生健康局、市商务局</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p>
    <w:p w14:paraId="7D21C9C9">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eastAsia="仿宋_GB2312" w:cs="仿宋_GB2312"/>
          <w:color w:val="000000" w:themeColor="text1"/>
          <w:sz w:val="32"/>
          <w:szCs w:val="32"/>
          <w:highlight w:val="none"/>
          <w:u w:val="none"/>
          <w:lang w:bidi="ar-SA"/>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u w:val="none"/>
          <w:lang w:val="en-US" w:eastAsia="zh-CN" w:bidi="ar-SA"/>
          <w14:textFill>
            <w14:solidFill>
              <w14:schemeClr w14:val="tx1"/>
            </w14:solidFill>
          </w14:textFill>
        </w:rPr>
        <w:t>（三）培育综合保税区保税检测业务。</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探索汽车等出口商品故障零部件返回综合保税区开展检测。允许</w:t>
      </w:r>
      <w:bookmarkStart w:id="0" w:name="OLE_LINK1"/>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第三方检测机构在综合保税区开展保税检测业务</w:t>
      </w:r>
      <w:bookmarkEnd w:id="0"/>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，建立允许返回综合保税区开展检测分析的试点企业和试点商品“白名单”，加强保税账册管理，对汽车等已出口商品返回综合保税区内开展检测分析的故障零部件，不得以出口转内销等形式进入国内市场。</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eastAsia="仿宋_GB2312" w:cs="仿宋_GB2312"/>
          <w:b/>
          <w:bCs/>
          <w:color w:val="000000" w:themeColor="text1"/>
          <w:sz w:val="32"/>
          <w:szCs w:val="32"/>
          <w:highlight w:val="none"/>
          <w:u w:val="none"/>
          <w:lang w:bidi="ar-SA"/>
          <w14:textFill>
            <w14:solidFill>
              <w14:schemeClr w14:val="tx1"/>
            </w14:solidFill>
          </w14:textFill>
        </w:rPr>
        <w:t>责任单位</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筑城海关、贵安新区海关、贵阳综保区保税业务与口岸服务中心</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p>
    <w:p w14:paraId="0103491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eastAsia="仿宋_GB2312" w:cs="仿宋_GB2312"/>
          <w:color w:val="000000" w:themeColor="text1"/>
          <w:sz w:val="32"/>
          <w:szCs w:val="32"/>
          <w:highlight w:val="none"/>
          <w:u w:val="none"/>
          <w:lang w:bidi="ar-SA"/>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u w:val="none"/>
          <w:lang w:val="en-US" w:eastAsia="zh-CN" w:bidi="ar-SA"/>
          <w14:textFill>
            <w14:solidFill>
              <w14:schemeClr w14:val="tx1"/>
            </w14:solidFill>
          </w14:textFill>
        </w:rPr>
        <w:t>（四）完善出口退税模式。</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支持税务、海关部门探索建立信息共享机制，支持贵阳综保区、双龙保税物流中心（B型）优化入区企业出口退税流程，加快审核办理速度。</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eastAsia="仿宋_GB2312" w:cs="仿宋_GB2312"/>
          <w:b/>
          <w:bCs/>
          <w:color w:val="000000" w:themeColor="text1"/>
          <w:sz w:val="32"/>
          <w:szCs w:val="32"/>
          <w:highlight w:val="none"/>
          <w:u w:val="none"/>
          <w:lang w:bidi="ar-SA"/>
          <w14:textFill>
            <w14:solidFill>
              <w14:schemeClr w14:val="tx1"/>
            </w14:solidFill>
          </w14:textFill>
        </w:rPr>
        <w:t>责任单位</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市税务局、筑城海关、市商务局、贵阳综保区保税业务与口岸服务中心、双龙航空港经济区投资促进局</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p>
    <w:p w14:paraId="52E5EFE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color w:val="000000" w:themeColor="text1"/>
          <w:sz w:val="32"/>
          <w:szCs w:val="32"/>
          <w:highlight w:val="none"/>
          <w:u w:val="none"/>
          <w:lang w:val="en-US" w:eastAsia="zh-CN" w:bidi="ar-SA"/>
          <w14:textFill>
            <w14:solidFill>
              <w14:schemeClr w14:val="tx1"/>
            </w14:solidFill>
          </w14:textFill>
        </w:rPr>
      </w:pPr>
      <w:r>
        <w:rPr>
          <w:rFonts w:hint="eastAsia" w:ascii="黑体" w:hAnsi="黑体" w:eastAsia="黑体" w:cs="黑体"/>
          <w:color w:val="000000" w:themeColor="text1"/>
          <w:sz w:val="32"/>
          <w:szCs w:val="32"/>
          <w:highlight w:val="none"/>
          <w:u w:val="none"/>
          <w:lang w:val="en-US" w:eastAsia="zh-CN" w:bidi="ar-SA"/>
          <w14:textFill>
            <w14:solidFill>
              <w14:schemeClr w14:val="tx1"/>
            </w14:solidFill>
          </w14:textFill>
        </w:rPr>
        <w:t>二、促进物流畅通</w:t>
      </w:r>
    </w:p>
    <w:p w14:paraId="13EA4D0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eastAsia="仿宋_GB2312" w:cs="仿宋_GB2312"/>
          <w:color w:val="000000" w:themeColor="text1"/>
          <w:sz w:val="32"/>
          <w:szCs w:val="32"/>
          <w:highlight w:val="none"/>
          <w:u w:val="none"/>
          <w:lang w:bidi="ar-SA"/>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u w:val="none"/>
          <w:lang w:val="en-US" w:eastAsia="zh-CN" w:bidi="ar-SA"/>
          <w14:textFill>
            <w14:solidFill>
              <w14:schemeClr w14:val="tx1"/>
            </w14:solidFill>
          </w14:textFill>
        </w:rPr>
        <w:t>（五）深化与周边地区跨境协同合作。</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探索与云南、广西等省区探索实现通关数据共享，简化边境口岸查验流程。支持铁公多式联运业务模式试点。推动对中老铁路出口货物实施“铁路快通”模式监管，提升通关时效。深化与沿海、沿边及周边省份港口合作，探索推进铁海联运“一单制”“一箱制”及多式联运发展。</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eastAsia="仿宋_GB2312" w:cs="仿宋_GB2312"/>
          <w:b/>
          <w:bCs/>
          <w:color w:val="000000" w:themeColor="text1"/>
          <w:sz w:val="32"/>
          <w:szCs w:val="32"/>
          <w:highlight w:val="none"/>
          <w:u w:val="none"/>
          <w:lang w:bidi="ar-SA"/>
          <w14:textFill>
            <w14:solidFill>
              <w14:schemeClr w14:val="tx1"/>
            </w14:solidFill>
          </w14:textFill>
        </w:rPr>
        <w:t>责任单位</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筑城海关、贵安新区海关、市商务局、贵阳综保区保税业务与口岸服务中心、双龙航空港经济区投资促进局、贵州铁投集团、贵州民航产业集团、贵阳市物流有限公司</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p>
    <w:p w14:paraId="04B3E2DD">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eastAsia="仿宋_GB2312" w:cs="仿宋_GB2312"/>
          <w:color w:val="000000" w:themeColor="text1"/>
          <w:sz w:val="32"/>
          <w:szCs w:val="32"/>
          <w:highlight w:val="none"/>
          <w:u w:val="none"/>
          <w:lang w:bidi="ar-SA"/>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u w:val="none"/>
          <w:lang w:val="en-US" w:eastAsia="zh-CN" w:bidi="ar-SA"/>
          <w14:textFill>
            <w14:solidFill>
              <w14:schemeClr w14:val="tx1"/>
            </w14:solidFill>
          </w14:textFill>
        </w:rPr>
        <w:t>（六）深入推进共建“一带一路”。</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推动西部陆海新通道有机衔接“一带一路”,推动各向跨境班列稳定开行。</w:t>
      </w:r>
      <w:r>
        <w:rPr>
          <w:rFonts w:hint="eastAsia" w:ascii="仿宋_GB2312" w:eastAsia="仿宋_GB2312" w:cs="仿宋_GB2312"/>
          <w:b w:val="0"/>
          <w:bCs w:val="0"/>
          <w:color w:val="000000" w:themeColor="text1"/>
          <w:sz w:val="32"/>
          <w:szCs w:val="32"/>
          <w:highlight w:val="none"/>
          <w:u w:val="none"/>
          <w:lang w:val="en-US" w:eastAsia="zh-CN"/>
          <w14:textFill>
            <w14:solidFill>
              <w14:schemeClr w14:val="tx1"/>
            </w14:solidFill>
          </w14:textFill>
        </w:rPr>
        <w:t>创新探索集拼集运新模式，充分发挥“综保区+贵阳国际陆港”独特优势，积极推动贵阳国际陆港产业集聚，深化“区港联动”一体化发展，</w:t>
      </w:r>
      <w:r>
        <w:rPr>
          <w:rFonts w:hint="eastAsia" w:ascii="仿宋_GB2312" w:eastAsia="仿宋_GB2312" w:cs="仿宋_GB2312"/>
          <w:color w:val="000000" w:themeColor="text1"/>
          <w:sz w:val="32"/>
          <w:szCs w:val="32"/>
          <w:highlight w:val="none"/>
          <w:u w:val="none"/>
          <w14:textFill>
            <w14:solidFill>
              <w14:schemeClr w14:val="tx1"/>
            </w14:solidFill>
          </w14:textFill>
        </w:rPr>
        <w:t>加大铁海联运快速通关模式实施力度，推进与有关海关信息交换、监管结果互认等合作。</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探索推进西部陆海新通道铁海多式联运进口智能转关，提高转关效能。</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eastAsia="仿宋_GB2312" w:cs="仿宋_GB2312"/>
          <w:b/>
          <w:bCs/>
          <w:color w:val="000000" w:themeColor="text1"/>
          <w:sz w:val="32"/>
          <w:szCs w:val="32"/>
          <w:highlight w:val="none"/>
          <w:u w:val="none"/>
          <w:lang w:bidi="ar-SA"/>
          <w14:textFill>
            <w14:solidFill>
              <w14:schemeClr w14:val="tx1"/>
            </w14:solidFill>
          </w14:textFill>
        </w:rPr>
        <w:t>责任单位</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筑城海关、市商务局、贵州铁投集团、贵阳综保区保税业务与口岸服务中心</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p>
    <w:p w14:paraId="2D2D52D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000000" w:themeColor="text1"/>
          <w:sz w:val="32"/>
          <w:szCs w:val="32"/>
          <w:highlight w:val="none"/>
          <w:u w:val="none"/>
          <w:lang w:eastAsia="zh-CN"/>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u w:val="none"/>
          <w:lang w:val="en-US" w:eastAsia="zh-CN" w:bidi="ar-SA"/>
          <w14:textFill>
            <w14:solidFill>
              <w14:schemeClr w14:val="tx1"/>
            </w14:solidFill>
          </w14:textFill>
        </w:rPr>
        <w:t>（七）支持跨境班列集结中心建设发展。</w:t>
      </w:r>
      <w:r>
        <w:rPr>
          <w:rFonts w:hint="eastAsia" w:ascii="仿宋_GB2312" w:eastAsia="仿宋_GB2312" w:cs="仿宋_GB2312"/>
          <w:color w:val="000000" w:themeColor="text1"/>
          <w:sz w:val="32"/>
          <w:szCs w:val="32"/>
          <w:highlight w:val="none"/>
          <w:u w:val="none"/>
          <w:lang w:val="en-US" w:eastAsia="zh-CN" w:bidi="ar-SA"/>
          <w14:textFill>
            <w14:solidFill>
              <w14:schemeClr w14:val="tx1"/>
            </w14:solidFill>
          </w14:textFill>
        </w:rPr>
        <w:t>依托贵阳国际陆港培育特色物流服务，</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发展二手车出口等新业态，配套定制化班列运输方案</w:t>
      </w:r>
      <w:r>
        <w:rPr>
          <w:rFonts w:hint="eastAsia" w:ascii="仿宋_GB2312" w:eastAsia="仿宋_GB2312" w:cs="仿宋_GB2312"/>
          <w:color w:val="000000" w:themeColor="text1"/>
          <w:sz w:val="32"/>
          <w:szCs w:val="32"/>
          <w:highlight w:val="none"/>
          <w:u w:val="none"/>
          <w:lang w:eastAsia="zh-CN" w:bidi="ar-SA"/>
          <w14:textFill>
            <w14:solidFill>
              <w14:schemeClr w14:val="tx1"/>
            </w14:solidFill>
          </w14:textFill>
        </w:rPr>
        <w:t>，</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拓展班列货源，推动海关与铁路、场站等信息共享和电子数据传输交换，打造成为中欧班列西南区域重要网络节点。</w:t>
      </w:r>
      <w:r>
        <w:rPr>
          <w:rFonts w:hint="eastAsia" w:ascii="仿宋" w:hAnsi="仿宋" w:eastAsia="仿宋" w:cs="仿宋"/>
          <w:color w:val="000000" w:themeColor="text1"/>
          <w:sz w:val="32"/>
          <w:szCs w:val="32"/>
          <w:highlight w:val="none"/>
          <w:u w:val="none"/>
          <w:lang w:eastAsia="zh-CN"/>
          <w14:textFill>
            <w14:solidFill>
              <w14:schemeClr w14:val="tx1"/>
            </w14:solidFill>
          </w14:textFill>
        </w:rPr>
        <w:t>（</w:t>
      </w:r>
      <w:r>
        <w:rPr>
          <w:rFonts w:hint="eastAsia" w:ascii="仿宋_GB2312" w:hAnsi="Times New Roman" w:eastAsia="仿宋_GB2312" w:cs="仿宋_GB2312"/>
          <w:b/>
          <w:bCs/>
          <w:color w:val="000000" w:themeColor="text1"/>
          <w:sz w:val="32"/>
          <w:szCs w:val="32"/>
          <w:highlight w:val="none"/>
          <w:u w:val="none"/>
          <w:lang w:val="en-US" w:eastAsia="zh-CN"/>
          <w14:textFill>
            <w14:solidFill>
              <w14:schemeClr w14:val="tx1"/>
            </w14:solidFill>
          </w14:textFill>
        </w:rPr>
        <w:t>责任单位：</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贵州铁投集团、筑城海关、市商务局、贵阳综保区保税业务与口岸服务中心</w:t>
      </w:r>
      <w:r>
        <w:rPr>
          <w:rFonts w:hint="eastAsia" w:ascii="仿宋" w:hAnsi="仿宋" w:eastAsia="仿宋" w:cs="仿宋"/>
          <w:color w:val="000000" w:themeColor="text1"/>
          <w:sz w:val="32"/>
          <w:szCs w:val="32"/>
          <w:highlight w:val="none"/>
          <w:u w:val="none"/>
          <w:lang w:eastAsia="zh-CN"/>
          <w14:textFill>
            <w14:solidFill>
              <w14:schemeClr w14:val="tx1"/>
            </w14:solidFill>
          </w14:textFill>
        </w:rPr>
        <w:t>）</w:t>
      </w:r>
    </w:p>
    <w:p w14:paraId="3A01F9D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eastAsia="仿宋_GB2312" w:cs="仿宋_GB2312"/>
          <w:color w:val="000000" w:themeColor="text1"/>
          <w:sz w:val="32"/>
          <w:szCs w:val="32"/>
          <w:highlight w:val="none"/>
          <w:u w:val="none"/>
          <w:lang w:bidi="ar-SA"/>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u w:val="none"/>
          <w:lang w:val="en-US" w:eastAsia="zh-CN" w:bidi="ar-SA"/>
          <w14:textFill>
            <w14:solidFill>
              <w14:schemeClr w14:val="tx1"/>
            </w14:solidFill>
          </w14:textFill>
        </w:rPr>
        <w:t>（八）打造畅通安全的国际公路直达运输通道。</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支持企业申报TIR（国际公路运输）资质、GMS（大湄公河次区域跨境公路运输）资质,</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提升货物跨境运输效率。</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eastAsia="仿宋_GB2312" w:cs="仿宋_GB2312"/>
          <w:b/>
          <w:bCs/>
          <w:color w:val="000000" w:themeColor="text1"/>
          <w:sz w:val="32"/>
          <w:szCs w:val="32"/>
          <w:highlight w:val="none"/>
          <w:u w:val="none"/>
          <w:lang w:bidi="ar-SA"/>
          <w14:textFill>
            <w14:solidFill>
              <w14:schemeClr w14:val="tx1"/>
            </w14:solidFill>
          </w14:textFill>
        </w:rPr>
        <w:t>责任单位</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市交委、筑城海关、市商务局、贵阳综保区保税业务与口岸服务中心、贵阳市物流有限公司</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p>
    <w:p w14:paraId="53F6005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eastAsia="仿宋_GB2312" w:cs="仿宋_GB2312"/>
          <w:color w:val="000000" w:themeColor="text1"/>
          <w:sz w:val="32"/>
          <w:szCs w:val="32"/>
          <w:highlight w:val="none"/>
          <w:u w:val="none"/>
          <w:lang w:bidi="ar-SA"/>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u w:val="none"/>
          <w:lang w:val="en-US" w:eastAsia="zh-CN" w:bidi="ar-SA"/>
          <w14:textFill>
            <w14:solidFill>
              <w14:schemeClr w14:val="tx1"/>
            </w14:solidFill>
          </w14:textFill>
        </w:rPr>
        <w:t>（九）畅通国际航空货运通道。</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拓展贵阳龙洞堡机场国际客货运航线网络，支持通过全货机+腹舱带货方式运输货物，探索实施航空口岸“直提直装”“先查验后装运”等模式，提升国际航空货运覆盖范围和服务能力。支持发展航空保税研发、保税维修、特色冷链等产业。</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eastAsia="仿宋_GB2312" w:cs="仿宋_GB2312"/>
          <w:b/>
          <w:bCs/>
          <w:color w:val="000000" w:themeColor="text1"/>
          <w:sz w:val="32"/>
          <w:szCs w:val="32"/>
          <w:highlight w:val="none"/>
          <w:u w:val="none"/>
          <w:lang w:bidi="ar-SA"/>
          <w14:textFill>
            <w14:solidFill>
              <w14:schemeClr w14:val="tx1"/>
            </w14:solidFill>
          </w14:textFill>
        </w:rPr>
        <w:t>责任单位</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贵州民航产业集团、龙洞堡机场海关、市商务局、双龙航空港经济区投资促进局</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p>
    <w:p w14:paraId="38A7BEF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eastAsia="仿宋_GB2312" w:cs="仿宋_GB2312"/>
          <w:color w:val="000000" w:themeColor="text1"/>
          <w:sz w:val="32"/>
          <w:szCs w:val="32"/>
          <w:highlight w:val="none"/>
          <w:u w:val="none"/>
          <w:lang w:bidi="ar-SA"/>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u w:val="none"/>
          <w:lang w:val="en-US" w:eastAsia="zh-CN" w:bidi="ar-SA"/>
          <w14:textFill>
            <w14:solidFill>
              <w14:schemeClr w14:val="tx1"/>
            </w14:solidFill>
          </w14:textFill>
        </w:rPr>
        <w:t>（十）探索空运货站作业新模式。</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支持机场货站建设前置</w:t>
      </w:r>
      <w:r>
        <w:rPr>
          <w:rFonts w:hint="eastAsia" w:ascii="仿宋_GB2312" w:eastAsia="仿宋_GB2312" w:cs="仿宋_GB2312"/>
          <w:b w:val="0"/>
          <w:bCs w:val="0"/>
          <w:color w:val="000000" w:themeColor="text1"/>
          <w:sz w:val="32"/>
          <w:szCs w:val="32"/>
          <w:highlight w:val="none"/>
          <w:u w:val="none"/>
          <w:lang w:val="en-US" w:eastAsia="zh-CN"/>
          <w14:textFill>
            <w14:solidFill>
              <w14:schemeClr w14:val="tx1"/>
            </w14:solidFill>
          </w14:textFill>
        </w:rPr>
        <w:t>货站</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w:t>
      </w:r>
      <w:r>
        <w:rPr>
          <w:rFonts w:hint="eastAsia" w:ascii="仿宋_GB2312" w:eastAsia="仿宋_GB2312" w:cs="仿宋_GB2312"/>
          <w:b w:val="0"/>
          <w:bCs w:val="0"/>
          <w:color w:val="000000" w:themeColor="text1"/>
          <w:sz w:val="32"/>
          <w:szCs w:val="32"/>
          <w:highlight w:val="none"/>
          <w:u w:val="none"/>
          <w:lang w:val="en-US" w:eastAsia="zh-CN"/>
          <w14:textFill>
            <w14:solidFill>
              <w14:schemeClr w14:val="tx1"/>
            </w14:solidFill>
          </w14:textFill>
        </w:rPr>
        <w:t>提前开展航空收货、打板、安检、海关监管等工作。</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支持特色农产品等货物实行提前申报，到港后通过绿色通道快速验放。支持带电货物航空运输。支持在跑道空侧规划建设冷链等专业仓储区，满足生鲜、医药等高时效货物处理需求。</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eastAsia="仿宋_GB2312" w:cs="仿宋_GB2312"/>
          <w:b/>
          <w:bCs/>
          <w:color w:val="000000" w:themeColor="text1"/>
          <w:sz w:val="32"/>
          <w:szCs w:val="32"/>
          <w:highlight w:val="none"/>
          <w:u w:val="none"/>
          <w:lang w:bidi="ar-SA"/>
          <w14:textFill>
            <w14:solidFill>
              <w14:schemeClr w14:val="tx1"/>
            </w14:solidFill>
          </w14:textFill>
        </w:rPr>
        <w:t>责任单位</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龙洞堡机场海关、贵州民航产业集团、双龙航空港经济区投资促进局、市商务局</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p>
    <w:p w14:paraId="265034A8">
      <w:pPr>
        <w:numPr>
          <w:ilvl w:val="0"/>
          <w:numId w:val="0"/>
        </w:numPr>
        <w:snapToGrid w:val="0"/>
        <w:spacing w:line="560" w:lineRule="exact"/>
        <w:ind w:firstLine="640" w:firstLineChars="200"/>
        <w:rPr>
          <w:rFonts w:hint="eastAsia" w:ascii="仿宋_GB2312" w:eastAsia="仿宋_GB2312" w:cs="仿宋_GB2312"/>
          <w:color w:val="000000" w:themeColor="text1"/>
          <w:sz w:val="32"/>
          <w:szCs w:val="32"/>
          <w:highlight w:val="none"/>
          <w:u w:val="none"/>
          <w:lang w:bidi="ar-SA"/>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u w:val="none"/>
          <w:lang w:val="en-US" w:eastAsia="zh-CN" w:bidi="ar-SA"/>
          <w14:textFill>
            <w14:solidFill>
              <w14:schemeClr w14:val="tx1"/>
            </w14:solidFill>
          </w14:textFill>
        </w:rPr>
        <w:t>（十一）推进航空口岸“空侧直通”监管。</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对通过国内空运转至龙洞堡机场航空口岸出境的货物</w:t>
      </w:r>
      <w:r>
        <w:rPr>
          <w:rFonts w:hint="eastAsia" w:ascii="仿宋_GB2312" w:eastAsia="仿宋_GB2312" w:cs="仿宋_GB2312" w:hAnsiTheme="minorHAnsi"/>
          <w:b w:val="0"/>
          <w:bCs w:val="0"/>
          <w:color w:val="000000" w:themeColor="text1"/>
          <w:kern w:val="2"/>
          <w:sz w:val="32"/>
          <w:szCs w:val="32"/>
          <w:highlight w:val="none"/>
          <w:u w:val="none"/>
          <w:lang w:val="en-US" w:eastAsia="zh-CN" w:bidi="ar-SA"/>
          <w14:textFill>
            <w14:solidFill>
              <w14:schemeClr w14:val="tx1"/>
            </w14:solidFill>
          </w14:textFill>
        </w:rPr>
        <w:t>或由航空口岸入境转国内</w:t>
      </w:r>
      <w:r>
        <w:rPr>
          <w:rFonts w:hint="eastAsia" w:ascii="仿宋_GB2312" w:eastAsia="仿宋_GB2312" w:cs="仿宋_GB2312"/>
          <w:b w:val="0"/>
          <w:bCs w:val="0"/>
          <w:color w:val="000000" w:themeColor="text1"/>
          <w:kern w:val="2"/>
          <w:sz w:val="32"/>
          <w:szCs w:val="32"/>
          <w:highlight w:val="none"/>
          <w:u w:val="none"/>
          <w:lang w:val="en-US" w:eastAsia="zh-CN" w:bidi="ar-SA"/>
          <w14:textFill>
            <w14:solidFill>
              <w14:schemeClr w14:val="tx1"/>
            </w14:solidFill>
          </w14:textFill>
        </w:rPr>
        <w:t>的</w:t>
      </w:r>
      <w:r>
        <w:rPr>
          <w:rFonts w:hint="eastAsia" w:ascii="仿宋_GB2312" w:eastAsia="仿宋_GB2312" w:cs="仿宋_GB2312" w:hAnsiTheme="minorHAnsi"/>
          <w:b w:val="0"/>
          <w:bCs w:val="0"/>
          <w:color w:val="000000" w:themeColor="text1"/>
          <w:kern w:val="2"/>
          <w:sz w:val="32"/>
          <w:szCs w:val="32"/>
          <w:highlight w:val="none"/>
          <w:u w:val="none"/>
          <w:lang w:val="en-US" w:eastAsia="zh-CN" w:bidi="ar-SA"/>
          <w14:textFill>
            <w14:solidFill>
              <w14:schemeClr w14:val="tx1"/>
            </w14:solidFill>
          </w14:textFill>
        </w:rPr>
        <w:t>空运货物，</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实施“空侧直通”监管模式，</w:t>
      </w:r>
      <w:r>
        <w:rPr>
          <w:rFonts w:hint="eastAsia" w:ascii="仿宋_GB2312" w:eastAsia="仿宋_GB2312" w:cs="仿宋_GB2312" w:hAnsiTheme="minorHAnsi"/>
          <w:b w:val="0"/>
          <w:bCs w:val="0"/>
          <w:color w:val="000000" w:themeColor="text1"/>
          <w:kern w:val="2"/>
          <w:sz w:val="32"/>
          <w:szCs w:val="32"/>
          <w:highlight w:val="none"/>
          <w:u w:val="none"/>
          <w:lang w:val="en-US" w:eastAsia="zh-CN" w:bidi="ar-SA"/>
          <w14:textFill>
            <w14:solidFill>
              <w14:schemeClr w14:val="tx1"/>
            </w14:solidFill>
          </w14:textFill>
        </w:rPr>
        <w:t>在空侧实现国内区域和国际区域互转，</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提升物流时效和通关速度。</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eastAsia="仿宋_GB2312" w:cs="仿宋_GB2312"/>
          <w:b/>
          <w:bCs/>
          <w:color w:val="000000" w:themeColor="text1"/>
          <w:sz w:val="32"/>
          <w:szCs w:val="32"/>
          <w:highlight w:val="none"/>
          <w:u w:val="none"/>
          <w:lang w:bidi="ar-SA"/>
          <w14:textFill>
            <w14:solidFill>
              <w14:schemeClr w14:val="tx1"/>
            </w14:solidFill>
          </w14:textFill>
        </w:rPr>
        <w:t>责任单位</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贵州民航产业集团、龙洞堡机场海关</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p>
    <w:p w14:paraId="16865F2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color w:val="000000" w:themeColor="text1"/>
          <w:sz w:val="32"/>
          <w:szCs w:val="32"/>
          <w:highlight w:val="none"/>
          <w:u w:val="none"/>
          <w:lang w:val="en-US" w:eastAsia="zh-CN" w:bidi="ar-SA"/>
          <w14:textFill>
            <w14:solidFill>
              <w14:schemeClr w14:val="tx1"/>
            </w14:solidFill>
          </w14:textFill>
        </w:rPr>
      </w:pPr>
      <w:r>
        <w:rPr>
          <w:rFonts w:hint="eastAsia" w:ascii="黑体" w:hAnsi="黑体" w:eastAsia="黑体" w:cs="黑体"/>
          <w:color w:val="000000" w:themeColor="text1"/>
          <w:sz w:val="32"/>
          <w:szCs w:val="32"/>
          <w:highlight w:val="none"/>
          <w:u w:val="none"/>
          <w:lang w:val="en-US" w:eastAsia="zh-CN" w:bidi="ar-SA"/>
          <w14:textFill>
            <w14:solidFill>
              <w14:schemeClr w14:val="tx1"/>
            </w14:solidFill>
          </w14:textFill>
        </w:rPr>
        <w:t>三、优化监管模式</w:t>
      </w:r>
    </w:p>
    <w:p w14:paraId="77D9795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eastAsia="仿宋_GB2312" w:cs="仿宋_GB2312"/>
          <w:color w:val="000000" w:themeColor="text1"/>
          <w:sz w:val="32"/>
          <w:szCs w:val="32"/>
          <w:highlight w:val="none"/>
          <w:u w:val="none"/>
          <w:lang w:bidi="ar-SA"/>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u w:val="none"/>
          <w:lang w:val="en-US" w:eastAsia="zh-CN" w:bidi="ar-SA"/>
          <w14:textFill>
            <w14:solidFill>
              <w14:schemeClr w14:val="tx1"/>
            </w14:solidFill>
          </w14:textFill>
        </w:rPr>
        <w:t>（十二）扩大出口拼箱货物“先查验后装运”模式适用范围。</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支持在贵阳综保区打造国际贸易中转集拼地，对跨境电商、一般贸易等不同贸易方式的货物，支持以散货形式进入监管作业场所，先行实施海关查验，再拼箱装运出口。推动与沿海、沿边海关互认拼箱货物查验结果。</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eastAsia="仿宋_GB2312" w:cs="仿宋_GB2312"/>
          <w:b/>
          <w:bCs/>
          <w:color w:val="000000" w:themeColor="text1"/>
          <w:sz w:val="32"/>
          <w:szCs w:val="32"/>
          <w:highlight w:val="none"/>
          <w:u w:val="none"/>
          <w:lang w:bidi="ar-SA"/>
          <w14:textFill>
            <w14:solidFill>
              <w14:schemeClr w14:val="tx1"/>
            </w14:solidFill>
          </w14:textFill>
        </w:rPr>
        <w:t>责任单位</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筑城海关、龙洞堡机场海关、贵安新区海关、贵阳综保区保税业务与口岸服务中心、市商务局</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p>
    <w:p w14:paraId="34541407">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_GB2312" w:eastAsia="仿宋_GB2312" w:cs="仿宋_GB2312"/>
          <w:color w:val="000000" w:themeColor="text1"/>
          <w:sz w:val="32"/>
          <w:szCs w:val="32"/>
          <w:highlight w:val="none"/>
          <w:u w:val="none"/>
          <w:lang w:bidi="ar-SA"/>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u w:val="none"/>
          <w:lang w:val="en-US" w:eastAsia="zh-CN" w:bidi="ar-SA"/>
          <w14:textFill>
            <w14:solidFill>
              <w14:schemeClr w14:val="tx1"/>
            </w14:solidFill>
          </w14:textFill>
        </w:rPr>
        <w:t>（十三）进一步支持跨境电商发展。</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根据实际发展需求申请跨境电商零售出口跨关区退货试点，探索优化“三单传输”模式，深化关企协同共治。引导跨境电商企业建设或租赁海外仓、在贵阳综保区设立退货中心仓。</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eastAsia="仿宋_GB2312" w:cs="仿宋_GB2312"/>
          <w:b/>
          <w:bCs/>
          <w:color w:val="000000" w:themeColor="text1"/>
          <w:sz w:val="32"/>
          <w:szCs w:val="32"/>
          <w:highlight w:val="none"/>
          <w:u w:val="none"/>
          <w:lang w:bidi="ar-SA"/>
          <w14:textFill>
            <w14:solidFill>
              <w14:schemeClr w14:val="tx1"/>
            </w14:solidFill>
          </w14:textFill>
        </w:rPr>
        <w:t>责任单位</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筑城海关、龙洞堡机场海关、贵安新区海关、市商务局、贵阳综保区保税业务与口岸服务中心</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p>
    <w:p w14:paraId="322E5C2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u w:val="none"/>
          <w:lang w:val="en-US" w:eastAsia="zh-CN" w:bidi="ar-SA"/>
          <w14:textFill>
            <w14:solidFill>
              <w14:schemeClr w14:val="tx1"/>
            </w14:solidFill>
          </w14:textFill>
        </w:rPr>
        <w:t>（十四）促进跨境电商便利化。</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对符合条件的跨境电子商务综合试验区企业实施简化申报便利化措施，支持跨境电商等外贸新业态发展。（</w:t>
      </w:r>
      <w:r>
        <w:rPr>
          <w:rFonts w:hint="eastAsia" w:ascii="仿宋_GB2312" w:eastAsia="仿宋_GB2312" w:cs="仿宋_GB2312"/>
          <w:b/>
          <w:bCs/>
          <w:color w:val="000000" w:themeColor="text1"/>
          <w:sz w:val="32"/>
          <w:szCs w:val="32"/>
          <w:highlight w:val="none"/>
          <w:u w:val="none"/>
          <w:lang w:bidi="ar-SA"/>
          <w14:textFill>
            <w14:solidFill>
              <w14:schemeClr w14:val="tx1"/>
            </w14:solidFill>
          </w14:textFill>
        </w:rPr>
        <w:t>责任单位</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筑城海关、龙洞堡机场海关、贵安新区海关、市商务局、贵阳综保区保税业务与口岸服务中心、双龙航空港经济区投资促进局）</w:t>
      </w:r>
    </w:p>
    <w:p w14:paraId="26FA507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color w:val="000000" w:themeColor="text1"/>
          <w:sz w:val="32"/>
          <w:szCs w:val="32"/>
          <w:highlight w:val="none"/>
          <w:u w:val="none"/>
          <w:lang w:val="en-US" w:eastAsia="zh-CN" w:bidi="ar-SA"/>
          <w14:textFill>
            <w14:solidFill>
              <w14:schemeClr w14:val="tx1"/>
            </w14:solidFill>
          </w14:textFill>
        </w:rPr>
      </w:pPr>
      <w:r>
        <w:rPr>
          <w:rFonts w:hint="eastAsia" w:ascii="黑体" w:hAnsi="黑体" w:eastAsia="黑体" w:cs="黑体"/>
          <w:color w:val="000000" w:themeColor="text1"/>
          <w:sz w:val="32"/>
          <w:szCs w:val="32"/>
          <w:highlight w:val="none"/>
          <w:u w:val="none"/>
          <w:lang w:val="en-US" w:eastAsia="zh-CN" w:bidi="ar-SA"/>
          <w14:textFill>
            <w14:solidFill>
              <w14:schemeClr w14:val="tx1"/>
            </w14:solidFill>
          </w14:textFill>
        </w:rPr>
        <w:t>四、推进互联互通</w:t>
      </w:r>
    </w:p>
    <w:p w14:paraId="0B48800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宋体" w:cs="仿宋_GB2312"/>
          <w:color w:val="000000" w:themeColor="text1"/>
          <w:sz w:val="32"/>
          <w:szCs w:val="32"/>
          <w:highlight w:val="none"/>
          <w:u w:val="none"/>
          <w:lang w:eastAsia="zh-CN" w:bidi="ar-SA"/>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u w:val="none"/>
          <w:lang w:val="en-US" w:eastAsia="zh-CN" w:bidi="ar-SA"/>
          <w14:textFill>
            <w14:solidFill>
              <w14:schemeClr w14:val="tx1"/>
            </w14:solidFill>
          </w14:textFill>
        </w:rPr>
        <w:t>（十五）推动建设“智慧海关”。</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参与海关总署“智慧海关”建设，抓好旅客及行李物品通关-航空口岸业务场景及航空口岸智慧旅检场景链建设，</w:t>
      </w:r>
      <w:r>
        <w:rPr>
          <w:rFonts w:hint="eastAsia" w:ascii="仿宋_GB2312" w:eastAsia="仿宋_GB2312" w:cs="仿宋_GB2312"/>
          <w:color w:val="000000" w:themeColor="text1"/>
          <w:sz w:val="32"/>
          <w:szCs w:val="32"/>
          <w:highlight w:val="none"/>
          <w:u w:val="none"/>
          <w:lang w:eastAsia="zh-CN"/>
          <w14:textFill>
            <w14:solidFill>
              <w14:schemeClr w14:val="tx1"/>
            </w14:solidFill>
          </w14:textFill>
        </w:rPr>
        <w:t>积极推动</w:t>
      </w:r>
      <w:r>
        <w:rPr>
          <w:rFonts w:hint="eastAsia" w:ascii="仿宋_GB2312" w:eastAsia="仿宋_GB2312" w:cs="仿宋_GB2312"/>
          <w:color w:val="000000" w:themeColor="text1"/>
          <w:sz w:val="32"/>
          <w:szCs w:val="32"/>
          <w:highlight w:val="none"/>
          <w:u w:val="none"/>
          <w14:textFill>
            <w14:solidFill>
              <w14:schemeClr w14:val="tx1"/>
            </w14:solidFill>
          </w14:textFill>
        </w:rPr>
        <w:t>“区港联动”项目</w:t>
      </w:r>
      <w:r>
        <w:rPr>
          <w:rFonts w:hint="eastAsia" w:ascii="仿宋_GB2312" w:eastAsia="仿宋_GB2312" w:cs="仿宋_GB2312"/>
          <w:color w:val="000000" w:themeColor="text1"/>
          <w:sz w:val="32"/>
          <w:szCs w:val="32"/>
          <w:highlight w:val="none"/>
          <w:u w:val="none"/>
          <w:lang w:eastAsia="zh-CN"/>
          <w14:textFill>
            <w14:solidFill>
              <w14:schemeClr w14:val="tx1"/>
            </w14:solidFill>
          </w14:textFill>
        </w:rPr>
        <w:t>建设，</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支持建设“一局四中心”信息系统，提升国际航空货运信息化水平。</w:t>
      </w:r>
      <w:r>
        <w:rPr>
          <w:rFonts w:hint="eastAsia" w:ascii="仿宋_GB2312" w:eastAsia="仿宋_GB2312" w:cs="仿宋_GB2312"/>
          <w:color w:val="000000" w:themeColor="text1"/>
          <w:sz w:val="32"/>
          <w:szCs w:val="32"/>
          <w:highlight w:val="none"/>
          <w:u w:val="none"/>
          <w:lang w:val="en-US" w:eastAsia="zh-CN"/>
          <w14:textFill>
            <w14:solidFill>
              <w14:schemeClr w14:val="tx1"/>
            </w14:solidFill>
          </w14:textFill>
        </w:rPr>
        <w:t>支持贵阳综保区与贵阳国际陆港通过建设“智慧海关”深化</w:t>
      </w:r>
      <w:r>
        <w:rPr>
          <w:rFonts w:hint="eastAsia" w:ascii="仿宋_GB2312" w:eastAsia="仿宋_GB2312" w:cs="仿宋_GB2312"/>
          <w:color w:val="000000" w:themeColor="text1"/>
          <w:sz w:val="32"/>
          <w:szCs w:val="32"/>
          <w:highlight w:val="none"/>
          <w:u w:val="none"/>
          <w14:textFill>
            <w14:solidFill>
              <w14:schemeClr w14:val="tx1"/>
            </w14:solidFill>
          </w14:textFill>
        </w:rPr>
        <w:t>“区港联动”</w:t>
      </w:r>
      <w:r>
        <w:rPr>
          <w:rFonts w:hint="eastAsia" w:ascii="仿宋_GB2312" w:eastAsia="仿宋_GB2312" w:cs="仿宋_GB2312"/>
          <w:color w:val="000000" w:themeColor="text1"/>
          <w:sz w:val="32"/>
          <w:szCs w:val="32"/>
          <w:highlight w:val="none"/>
          <w:u w:val="none"/>
          <w:lang w:val="en-US" w:eastAsia="zh-CN"/>
          <w14:textFill>
            <w14:solidFill>
              <w14:schemeClr w14:val="tx1"/>
            </w14:solidFill>
          </w14:textFill>
        </w:rPr>
        <w:t>发展。</w:t>
      </w:r>
      <w:r>
        <w:rPr>
          <w:rFonts w:hint="eastAsia" w:ascii="仿宋_GB2312" w:eastAsia="仿宋_GB2312" w:cs="仿宋_GB2312"/>
          <w:color w:val="000000" w:themeColor="text1"/>
          <w:sz w:val="32"/>
          <w:szCs w:val="32"/>
          <w:highlight w:val="none"/>
          <w:u w:val="none"/>
          <w:lang w:eastAsia="zh-CN" w:bidi="ar-SA"/>
          <w14:textFill>
            <w14:solidFill>
              <w14:schemeClr w14:val="tx1"/>
            </w14:solidFill>
          </w14:textFill>
        </w:rPr>
        <w:t>（</w:t>
      </w:r>
      <w:r>
        <w:rPr>
          <w:rFonts w:hint="eastAsia" w:ascii="仿宋_GB2312" w:eastAsia="仿宋_GB2312" w:cs="仿宋_GB2312"/>
          <w:b/>
          <w:bCs/>
          <w:color w:val="000000" w:themeColor="text1"/>
          <w:sz w:val="32"/>
          <w:szCs w:val="32"/>
          <w:highlight w:val="none"/>
          <w:u w:val="none"/>
          <w:lang w:bidi="ar-SA"/>
          <w14:textFill>
            <w14:solidFill>
              <w14:schemeClr w14:val="tx1"/>
            </w14:solidFill>
          </w14:textFill>
        </w:rPr>
        <w:t>责任单位</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筑城海关、龙洞堡机场海关、贵安新区海关、中国邮政贵州省分公司、贵州民航产业集团、双龙航空港经济区投资促进局、贵阳综保区保税业务与口岸服务中心</w:t>
      </w:r>
      <w:r>
        <w:rPr>
          <w:rFonts w:hint="eastAsia" w:ascii="仿宋_GB2312" w:eastAsia="仿宋_GB2312" w:cs="仿宋_GB2312"/>
          <w:color w:val="000000" w:themeColor="text1"/>
          <w:sz w:val="32"/>
          <w:szCs w:val="32"/>
          <w:highlight w:val="none"/>
          <w:u w:val="none"/>
          <w:lang w:eastAsia="zh-CN" w:bidi="ar-SA"/>
          <w14:textFill>
            <w14:solidFill>
              <w14:schemeClr w14:val="tx1"/>
            </w14:solidFill>
          </w14:textFill>
        </w:rPr>
        <w:t>）</w:t>
      </w:r>
    </w:p>
    <w:p w14:paraId="7479E71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eastAsia="仿宋_GB2312" w:cs="仿宋_GB2312"/>
          <w:color w:val="000000" w:themeColor="text1"/>
          <w:sz w:val="32"/>
          <w:szCs w:val="32"/>
          <w:highlight w:val="none"/>
          <w:u w:val="none"/>
          <w:lang w:bidi="ar-SA"/>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u w:val="none"/>
          <w:lang w:val="en-US" w:eastAsia="zh-CN" w:bidi="ar-SA"/>
          <w14:textFill>
            <w14:solidFill>
              <w14:schemeClr w14:val="tx1"/>
            </w14:solidFill>
          </w14:textFill>
        </w:rPr>
        <w:t>（十六）完善跨境贸易金融服务。</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引导银行保险机构对接国际贸易“单一窗口”平台，完善平台金融服务功能，提升进出口企业金融服务质效；鼓励企业、银行加强贸易外汇收支便利化试点联动，构建“越诚信越便利”的跨境结算生态。</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eastAsia="仿宋_GB2312" w:cs="仿宋_GB2312"/>
          <w:b/>
          <w:bCs/>
          <w:color w:val="000000" w:themeColor="text1"/>
          <w:sz w:val="32"/>
          <w:szCs w:val="32"/>
          <w:highlight w:val="none"/>
          <w:u w:val="none"/>
          <w:lang w:bidi="ar-SA"/>
          <w14:textFill>
            <w14:solidFill>
              <w14:schemeClr w14:val="tx1"/>
            </w14:solidFill>
          </w14:textFill>
        </w:rPr>
        <w:t>责任单位</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市委金融办、在筑有关金融机构</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p>
    <w:p w14:paraId="579A3C8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eastAsia="仿宋_GB2312" w:cs="仿宋_GB2312"/>
          <w:color w:val="000000" w:themeColor="text1"/>
          <w:sz w:val="32"/>
          <w:szCs w:val="32"/>
          <w:highlight w:val="none"/>
          <w:u w:val="none"/>
          <w:lang w:bidi="ar-SA"/>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u w:val="none"/>
          <w:lang w:val="en-US" w:eastAsia="zh-CN" w:bidi="ar-SA"/>
          <w14:textFill>
            <w14:solidFill>
              <w14:schemeClr w14:val="tx1"/>
            </w14:solidFill>
          </w14:textFill>
        </w:rPr>
        <w:t>（十七）优化农作物种质资源出境管理。</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落实贵阳海关与贵州省农业农村厅关于做好农作物种质资源出境监管工作机制，强化部门协同配合，完善信息沟通和资源移交处置机制，加强报关和口岸环节查验。</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eastAsia="仿宋_GB2312" w:cs="仿宋_GB2312"/>
          <w:b/>
          <w:bCs/>
          <w:color w:val="000000" w:themeColor="text1"/>
          <w:sz w:val="32"/>
          <w:szCs w:val="32"/>
          <w:highlight w:val="none"/>
          <w:u w:val="none"/>
          <w:lang w:bidi="ar-SA"/>
          <w14:textFill>
            <w14:solidFill>
              <w14:schemeClr w14:val="tx1"/>
            </w14:solidFill>
          </w14:textFill>
        </w:rPr>
        <w:t>责任单位</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市农业农村局、市林业局、筑城海关、龙洞堡机场海关、贵安新区海关</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p>
    <w:p w14:paraId="6E93290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color w:val="000000" w:themeColor="text1"/>
          <w:sz w:val="32"/>
          <w:szCs w:val="32"/>
          <w:highlight w:val="none"/>
          <w:u w:val="none"/>
          <w:lang w:eastAsia="zh-CN" w:bidi="ar-SA"/>
          <w14:textFill>
            <w14:solidFill>
              <w14:schemeClr w14:val="tx1"/>
            </w14:solidFill>
          </w14:textFill>
        </w:rPr>
      </w:pPr>
      <w:r>
        <w:rPr>
          <w:rFonts w:hint="eastAsia" w:ascii="黑体" w:hAnsi="黑体" w:eastAsia="黑体" w:cs="黑体"/>
          <w:color w:val="000000" w:themeColor="text1"/>
          <w:sz w:val="32"/>
          <w:szCs w:val="32"/>
          <w:highlight w:val="none"/>
          <w:u w:val="none"/>
          <w:lang w:val="en-US" w:eastAsia="zh-CN" w:bidi="ar-SA"/>
          <w14:textFill>
            <w14:solidFill>
              <w14:schemeClr w14:val="tx1"/>
            </w14:solidFill>
          </w14:textFill>
        </w:rPr>
        <w:t>五、</w:t>
      </w:r>
      <w:r>
        <w:rPr>
          <w:rFonts w:hint="eastAsia" w:ascii="黑体" w:hAnsi="黑体" w:eastAsia="黑体" w:cs="黑体"/>
          <w:color w:val="000000" w:themeColor="text1"/>
          <w:sz w:val="32"/>
          <w:szCs w:val="32"/>
          <w:highlight w:val="none"/>
          <w:u w:val="none"/>
          <w:lang w:eastAsia="zh-CN" w:bidi="ar-SA"/>
          <w14:textFill>
            <w14:solidFill>
              <w14:schemeClr w14:val="tx1"/>
            </w14:solidFill>
          </w14:textFill>
        </w:rPr>
        <w:t>促进降本增效</w:t>
      </w:r>
    </w:p>
    <w:p w14:paraId="595269B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eastAsia="仿宋_GB2312" w:cs="仿宋_GB2312"/>
          <w:color w:val="000000" w:themeColor="text1"/>
          <w:sz w:val="32"/>
          <w:szCs w:val="32"/>
          <w:highlight w:val="none"/>
          <w:u w:val="none"/>
          <w:lang w:bidi="ar-SA"/>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u w:val="none"/>
          <w:lang w:val="en-US" w:eastAsia="zh-CN" w:bidi="ar-SA"/>
          <w14:textFill>
            <w14:solidFill>
              <w14:schemeClr w14:val="tx1"/>
            </w14:solidFill>
          </w14:textFill>
        </w:rPr>
        <w:t>（十八）加强AEO企业联合激励。</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加大AEO企业信用培育力度，积极推广“中国海关信用管理服务平台”，</w:t>
      </w:r>
      <w:r>
        <w:rPr>
          <w:rFonts w:hint="eastAsia" w:ascii="仿宋_GB2312" w:eastAsia="仿宋_GB2312"/>
          <w:b w:val="0"/>
          <w:bCs w:val="0"/>
          <w:i w:val="0"/>
          <w:iCs w:val="0"/>
          <w:caps w:val="0"/>
          <w:smallCaps w:val="0"/>
          <w:vanish w:val="0"/>
          <w:color w:val="000000" w:themeColor="text1"/>
          <w:spacing w:val="0"/>
          <w:sz w:val="32"/>
          <w:szCs w:val="32"/>
          <w:highlight w:val="none"/>
          <w:u w:val="none"/>
          <w:vertAlign w:val="baseline"/>
          <w14:textFill>
            <w14:solidFill>
              <w14:schemeClr w14:val="tx1"/>
            </w14:solidFill>
          </w14:textFill>
        </w:rPr>
        <w:t>推出“信用+金融”服务包</w:t>
      </w:r>
      <w:r>
        <w:rPr>
          <w:rFonts w:hint="eastAsia" w:ascii="仿宋_GB2312" w:eastAsia="仿宋_GB2312"/>
          <w:b w:val="0"/>
          <w:bCs w:val="0"/>
          <w:i w:val="0"/>
          <w:iCs w:val="0"/>
          <w:caps w:val="0"/>
          <w:smallCaps w:val="0"/>
          <w:vanish w:val="0"/>
          <w:color w:val="000000" w:themeColor="text1"/>
          <w:spacing w:val="0"/>
          <w:sz w:val="32"/>
          <w:szCs w:val="32"/>
          <w:highlight w:val="none"/>
          <w:u w:val="none"/>
          <w:vertAlign w:val="baseline"/>
          <w:lang w:eastAsia="zh-CN"/>
          <w14:textFill>
            <w14:solidFill>
              <w14:schemeClr w14:val="tx1"/>
            </w14:solidFill>
          </w14:textFill>
        </w:rPr>
        <w:t>，</w:t>
      </w:r>
      <w:r>
        <w:rPr>
          <w:rFonts w:hint="eastAsia" w:ascii="仿宋_GB2312" w:eastAsia="仿宋_GB2312"/>
          <w:b w:val="0"/>
          <w:bCs w:val="0"/>
          <w:i w:val="0"/>
          <w:iCs w:val="0"/>
          <w:caps w:val="0"/>
          <w:smallCaps w:val="0"/>
          <w:vanish w:val="0"/>
          <w:color w:val="000000" w:themeColor="text1"/>
          <w:spacing w:val="0"/>
          <w:sz w:val="32"/>
          <w:szCs w:val="32"/>
          <w:highlight w:val="none"/>
          <w:u w:val="none"/>
          <w14:textFill>
            <w14:solidFill>
              <w14:schemeClr w14:val="tx1"/>
            </w14:solidFill>
          </w14:textFill>
        </w:rPr>
        <w:t>加大</w:t>
      </w:r>
      <w:r>
        <w:rPr>
          <w:rFonts w:hint="eastAsia" w:ascii="仿宋_GB2312" w:eastAsia="仿宋_GB2312"/>
          <w:b w:val="0"/>
          <w:bCs w:val="0"/>
          <w:i w:val="0"/>
          <w:iCs w:val="0"/>
          <w:caps w:val="0"/>
          <w:smallCaps w:val="0"/>
          <w:vanish w:val="0"/>
          <w:color w:val="000000" w:themeColor="text1"/>
          <w:spacing w:val="0"/>
          <w:sz w:val="32"/>
          <w:szCs w:val="32"/>
          <w:highlight w:val="none"/>
          <w:u w:val="none"/>
          <w:vertAlign w:val="baseline"/>
          <w14:textFill>
            <w14:solidFill>
              <w14:schemeClr w14:val="tx1"/>
            </w14:solidFill>
          </w14:textFill>
        </w:rPr>
        <w:t>对AEO企业在融资授信、融资担保、出口信保等方面的支持力度。</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eastAsia="仿宋_GB2312" w:cs="仿宋_GB2312"/>
          <w:b/>
          <w:bCs/>
          <w:color w:val="000000" w:themeColor="text1"/>
          <w:sz w:val="32"/>
          <w:szCs w:val="32"/>
          <w:highlight w:val="none"/>
          <w:u w:val="none"/>
          <w:lang w:bidi="ar-SA"/>
          <w14:textFill>
            <w14:solidFill>
              <w14:schemeClr w14:val="tx1"/>
            </w14:solidFill>
          </w14:textFill>
        </w:rPr>
        <w:t>责任单位</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筑城海关、龙洞堡机场海关、贵安新区海关、市税务局、市委金融办、市商务局</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p>
    <w:p w14:paraId="4E0D8E8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_GB2312" w:eastAsia="仿宋_GB2312" w:cs="仿宋_GB2312"/>
          <w:color w:val="000000" w:themeColor="text1"/>
          <w:sz w:val="32"/>
          <w:szCs w:val="32"/>
          <w:highlight w:val="none"/>
          <w:u w:val="none"/>
          <w:lang w:val="en-US" w:eastAsia="zh-CN" w:bidi="ar-SA"/>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u w:val="none"/>
          <w:lang w:val="en-US" w:eastAsia="zh-CN" w:bidi="ar-SA"/>
          <w14:textFill>
            <w14:solidFill>
              <w14:schemeClr w14:val="tx1"/>
            </w14:solidFill>
          </w14:textFill>
        </w:rPr>
        <w:t>（十九）降低跨境物流综合成本。</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大力发展跨境班列、公路卡班、货运航空等“公铁空”多式联运物流体系。创新海关监管模式，允许中小微企业共享集装箱舱位，降低单柜运输成本。深化港口合作，与沿海地区合作建立组合港，减少码头吊柜等费用。整合各环节物流资源，优化提升物流主体全链条物流服务和多式联运能力。</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eastAsia="仿宋_GB2312" w:cs="仿宋_GB2312"/>
          <w:b/>
          <w:bCs/>
          <w:color w:val="000000" w:themeColor="text1"/>
          <w:sz w:val="32"/>
          <w:szCs w:val="32"/>
          <w:highlight w:val="none"/>
          <w:u w:val="none"/>
          <w:lang w:bidi="ar-SA"/>
          <w14:textFill>
            <w14:solidFill>
              <w14:schemeClr w14:val="tx1"/>
            </w14:solidFill>
          </w14:textFill>
        </w:rPr>
        <w:t>责任单位</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r>
        <w:rPr>
          <w:rFonts w:hint="eastAsia" w:ascii="仿宋_GB2312" w:hAnsi="宋体" w:eastAsia="仿宋_GB2312" w:cs="宋体"/>
          <w:b w:val="0"/>
          <w:bCs w:val="0"/>
          <w:color w:val="000000" w:themeColor="text1"/>
          <w:kern w:val="0"/>
          <w:sz w:val="32"/>
          <w:szCs w:val="32"/>
          <w:highlight w:val="none"/>
          <w:u w:val="none"/>
          <w:lang w:val="en-US" w:eastAsia="zh-CN" w:bidi="ar-SA"/>
          <w14:textFill>
            <w14:solidFill>
              <w14:schemeClr w14:val="tx1"/>
            </w14:solidFill>
          </w14:textFill>
        </w:rPr>
        <w:t>市商务局、筑城海关、龙洞堡机场海关、贵安新区海关、贵阳综保区保税业务与口岸服务中心、双龙航空港经济区投资促进局、贵州铁投集团、贵州民航产业集团、贵阳市物流有限公司</w:t>
      </w:r>
      <w:r>
        <w:rPr>
          <w:rFonts w:hint="eastAsia" w:ascii="仿宋_GB2312" w:eastAsia="仿宋_GB2312" w:cs="仿宋_GB2312"/>
          <w:color w:val="000000" w:themeColor="text1"/>
          <w:sz w:val="32"/>
          <w:szCs w:val="32"/>
          <w:highlight w:val="none"/>
          <w:u w:val="none"/>
          <w:lang w:bidi="ar-SA"/>
          <w14:textFill>
            <w14:solidFill>
              <w14:schemeClr w14:val="tx1"/>
            </w14:solidFill>
          </w14:textFill>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E1F64"/>
    <w:rsid w:val="00553149"/>
    <w:rsid w:val="00924A55"/>
    <w:rsid w:val="0133235B"/>
    <w:rsid w:val="0166581F"/>
    <w:rsid w:val="01766E00"/>
    <w:rsid w:val="01BF036D"/>
    <w:rsid w:val="01DD6719"/>
    <w:rsid w:val="02252041"/>
    <w:rsid w:val="02290C40"/>
    <w:rsid w:val="026B0DD4"/>
    <w:rsid w:val="028D7421"/>
    <w:rsid w:val="029F046B"/>
    <w:rsid w:val="02EA659E"/>
    <w:rsid w:val="03605596"/>
    <w:rsid w:val="0375533E"/>
    <w:rsid w:val="03813338"/>
    <w:rsid w:val="03830824"/>
    <w:rsid w:val="03A013D6"/>
    <w:rsid w:val="03A07184"/>
    <w:rsid w:val="03B82BB5"/>
    <w:rsid w:val="03DE0DDA"/>
    <w:rsid w:val="041D40ED"/>
    <w:rsid w:val="042264A0"/>
    <w:rsid w:val="0462668B"/>
    <w:rsid w:val="048146F4"/>
    <w:rsid w:val="04B073F7"/>
    <w:rsid w:val="04E672BC"/>
    <w:rsid w:val="04EA7D7C"/>
    <w:rsid w:val="051D1D83"/>
    <w:rsid w:val="053E4A03"/>
    <w:rsid w:val="053F69CD"/>
    <w:rsid w:val="054F5065"/>
    <w:rsid w:val="05851C26"/>
    <w:rsid w:val="059B606B"/>
    <w:rsid w:val="05A4612F"/>
    <w:rsid w:val="05E25CD6"/>
    <w:rsid w:val="060215FB"/>
    <w:rsid w:val="06F07F7E"/>
    <w:rsid w:val="06FD1732"/>
    <w:rsid w:val="07193C53"/>
    <w:rsid w:val="07B45B08"/>
    <w:rsid w:val="0817778D"/>
    <w:rsid w:val="087263A9"/>
    <w:rsid w:val="08D63736"/>
    <w:rsid w:val="08E25FED"/>
    <w:rsid w:val="093305F6"/>
    <w:rsid w:val="093A5B3B"/>
    <w:rsid w:val="094C3735"/>
    <w:rsid w:val="0985029C"/>
    <w:rsid w:val="09891E20"/>
    <w:rsid w:val="09AD2157"/>
    <w:rsid w:val="09EA75C7"/>
    <w:rsid w:val="0A2134E5"/>
    <w:rsid w:val="0A622F41"/>
    <w:rsid w:val="0AB45622"/>
    <w:rsid w:val="0ADA341F"/>
    <w:rsid w:val="0B227CA7"/>
    <w:rsid w:val="0B7E67EB"/>
    <w:rsid w:val="0BB772BD"/>
    <w:rsid w:val="0C4F74F5"/>
    <w:rsid w:val="0C5E2E79"/>
    <w:rsid w:val="0C637445"/>
    <w:rsid w:val="0C7C6526"/>
    <w:rsid w:val="0CC11D70"/>
    <w:rsid w:val="0CE548F2"/>
    <w:rsid w:val="0CEF50F5"/>
    <w:rsid w:val="0D7F3E0A"/>
    <w:rsid w:val="0DC75B9B"/>
    <w:rsid w:val="0DCD72AC"/>
    <w:rsid w:val="0EC16A5D"/>
    <w:rsid w:val="0EC2388A"/>
    <w:rsid w:val="0EC413E0"/>
    <w:rsid w:val="0EE7137F"/>
    <w:rsid w:val="0EF91AB5"/>
    <w:rsid w:val="0EFD62F6"/>
    <w:rsid w:val="0F03280A"/>
    <w:rsid w:val="0F070A57"/>
    <w:rsid w:val="0F4B033F"/>
    <w:rsid w:val="0F612735"/>
    <w:rsid w:val="0F783207"/>
    <w:rsid w:val="0F8149CC"/>
    <w:rsid w:val="0F8B3F11"/>
    <w:rsid w:val="0FAB157E"/>
    <w:rsid w:val="0FEC5FEA"/>
    <w:rsid w:val="1029530E"/>
    <w:rsid w:val="102A1B8D"/>
    <w:rsid w:val="102A2335"/>
    <w:rsid w:val="1036003D"/>
    <w:rsid w:val="10505F32"/>
    <w:rsid w:val="10A25906"/>
    <w:rsid w:val="10E61065"/>
    <w:rsid w:val="11181B9B"/>
    <w:rsid w:val="114F6906"/>
    <w:rsid w:val="1167158D"/>
    <w:rsid w:val="116A4946"/>
    <w:rsid w:val="11834941"/>
    <w:rsid w:val="11D230A2"/>
    <w:rsid w:val="12D2426D"/>
    <w:rsid w:val="13424C6D"/>
    <w:rsid w:val="137D6785"/>
    <w:rsid w:val="13AC347F"/>
    <w:rsid w:val="13BC14E6"/>
    <w:rsid w:val="13DF74ED"/>
    <w:rsid w:val="140D0E3A"/>
    <w:rsid w:val="14263231"/>
    <w:rsid w:val="142E20E6"/>
    <w:rsid w:val="143C7699"/>
    <w:rsid w:val="14C447F8"/>
    <w:rsid w:val="14DC46D7"/>
    <w:rsid w:val="14F14A50"/>
    <w:rsid w:val="150C206C"/>
    <w:rsid w:val="151D4019"/>
    <w:rsid w:val="15437898"/>
    <w:rsid w:val="15651C50"/>
    <w:rsid w:val="15871950"/>
    <w:rsid w:val="15C51129"/>
    <w:rsid w:val="15E13171"/>
    <w:rsid w:val="160A3148"/>
    <w:rsid w:val="16457E68"/>
    <w:rsid w:val="165A2B3A"/>
    <w:rsid w:val="16622F00"/>
    <w:rsid w:val="16D343E3"/>
    <w:rsid w:val="16E644A7"/>
    <w:rsid w:val="177B45B1"/>
    <w:rsid w:val="17F378D4"/>
    <w:rsid w:val="18025D64"/>
    <w:rsid w:val="185F2813"/>
    <w:rsid w:val="18751796"/>
    <w:rsid w:val="1885455B"/>
    <w:rsid w:val="18BF2EB7"/>
    <w:rsid w:val="191A70DD"/>
    <w:rsid w:val="191D647A"/>
    <w:rsid w:val="19281B3A"/>
    <w:rsid w:val="192F5052"/>
    <w:rsid w:val="19466124"/>
    <w:rsid w:val="19552F74"/>
    <w:rsid w:val="1967694C"/>
    <w:rsid w:val="19C82718"/>
    <w:rsid w:val="1A0031DB"/>
    <w:rsid w:val="1AC75042"/>
    <w:rsid w:val="1B0D6EF9"/>
    <w:rsid w:val="1B3517F9"/>
    <w:rsid w:val="1B7522E2"/>
    <w:rsid w:val="1B9075BD"/>
    <w:rsid w:val="1B974631"/>
    <w:rsid w:val="1BBB1BB6"/>
    <w:rsid w:val="1BD80734"/>
    <w:rsid w:val="1BE023C4"/>
    <w:rsid w:val="1C2922B5"/>
    <w:rsid w:val="1C6C5EA1"/>
    <w:rsid w:val="1CCB3223"/>
    <w:rsid w:val="1CED3E72"/>
    <w:rsid w:val="1D0A020F"/>
    <w:rsid w:val="1D5F75D6"/>
    <w:rsid w:val="1D935D80"/>
    <w:rsid w:val="1D9C4267"/>
    <w:rsid w:val="1DB775F0"/>
    <w:rsid w:val="1DCA13E3"/>
    <w:rsid w:val="1E0073B9"/>
    <w:rsid w:val="1E995C7E"/>
    <w:rsid w:val="1EE26742"/>
    <w:rsid w:val="1F246130"/>
    <w:rsid w:val="1F266E15"/>
    <w:rsid w:val="1FF2304E"/>
    <w:rsid w:val="200F101E"/>
    <w:rsid w:val="208D5CD3"/>
    <w:rsid w:val="208F6602"/>
    <w:rsid w:val="20CB31C0"/>
    <w:rsid w:val="20E701EC"/>
    <w:rsid w:val="20F7021A"/>
    <w:rsid w:val="20FA0A03"/>
    <w:rsid w:val="213827F6"/>
    <w:rsid w:val="213C20C3"/>
    <w:rsid w:val="21A433AB"/>
    <w:rsid w:val="22136EFB"/>
    <w:rsid w:val="224263C2"/>
    <w:rsid w:val="22D73B45"/>
    <w:rsid w:val="230E0CDD"/>
    <w:rsid w:val="231E77CA"/>
    <w:rsid w:val="23366968"/>
    <w:rsid w:val="234C1175"/>
    <w:rsid w:val="23546866"/>
    <w:rsid w:val="235B5846"/>
    <w:rsid w:val="23AB3753"/>
    <w:rsid w:val="23C95987"/>
    <w:rsid w:val="23ED1676"/>
    <w:rsid w:val="240E586E"/>
    <w:rsid w:val="24120307"/>
    <w:rsid w:val="241A61E3"/>
    <w:rsid w:val="241C474E"/>
    <w:rsid w:val="24324A5D"/>
    <w:rsid w:val="244E5F70"/>
    <w:rsid w:val="246A0F18"/>
    <w:rsid w:val="24D97E4C"/>
    <w:rsid w:val="24E43A08"/>
    <w:rsid w:val="24F409A4"/>
    <w:rsid w:val="25421A78"/>
    <w:rsid w:val="25561425"/>
    <w:rsid w:val="257A518B"/>
    <w:rsid w:val="25950217"/>
    <w:rsid w:val="25F969F8"/>
    <w:rsid w:val="262B74F6"/>
    <w:rsid w:val="263A0DBE"/>
    <w:rsid w:val="26961C86"/>
    <w:rsid w:val="269C55D5"/>
    <w:rsid w:val="26AA0711"/>
    <w:rsid w:val="26B718CE"/>
    <w:rsid w:val="26F63D3D"/>
    <w:rsid w:val="27892540"/>
    <w:rsid w:val="27914A0E"/>
    <w:rsid w:val="27C95673"/>
    <w:rsid w:val="27E02ECB"/>
    <w:rsid w:val="280C0D7B"/>
    <w:rsid w:val="28150F10"/>
    <w:rsid w:val="286C43D6"/>
    <w:rsid w:val="28E76B4B"/>
    <w:rsid w:val="28F4267E"/>
    <w:rsid w:val="291917D8"/>
    <w:rsid w:val="29780C4E"/>
    <w:rsid w:val="29974B28"/>
    <w:rsid w:val="29A27B4A"/>
    <w:rsid w:val="29D62BAC"/>
    <w:rsid w:val="2ADC2444"/>
    <w:rsid w:val="2B3578F7"/>
    <w:rsid w:val="2B493F52"/>
    <w:rsid w:val="2B5C7606"/>
    <w:rsid w:val="2BAC4B86"/>
    <w:rsid w:val="2BBE1B4A"/>
    <w:rsid w:val="2C4464F3"/>
    <w:rsid w:val="2C4E6945"/>
    <w:rsid w:val="2C761BF8"/>
    <w:rsid w:val="2CA641D3"/>
    <w:rsid w:val="2CD44421"/>
    <w:rsid w:val="2D12547E"/>
    <w:rsid w:val="2D513279"/>
    <w:rsid w:val="2DA07759"/>
    <w:rsid w:val="2DD42733"/>
    <w:rsid w:val="2E1653F5"/>
    <w:rsid w:val="2E2E73BE"/>
    <w:rsid w:val="2E590A92"/>
    <w:rsid w:val="2F25085E"/>
    <w:rsid w:val="2F5E78CC"/>
    <w:rsid w:val="2F6A6F3F"/>
    <w:rsid w:val="2FE1742B"/>
    <w:rsid w:val="30036DE9"/>
    <w:rsid w:val="30563082"/>
    <w:rsid w:val="305C7ED4"/>
    <w:rsid w:val="308A220E"/>
    <w:rsid w:val="30DD06F4"/>
    <w:rsid w:val="30F711C1"/>
    <w:rsid w:val="312D57F7"/>
    <w:rsid w:val="312E0A2E"/>
    <w:rsid w:val="3147272E"/>
    <w:rsid w:val="318D26EA"/>
    <w:rsid w:val="31C039DB"/>
    <w:rsid w:val="31EB4A1B"/>
    <w:rsid w:val="321C12CD"/>
    <w:rsid w:val="32655415"/>
    <w:rsid w:val="32797FD0"/>
    <w:rsid w:val="329202CE"/>
    <w:rsid w:val="329319A1"/>
    <w:rsid w:val="32944157"/>
    <w:rsid w:val="32BE6D04"/>
    <w:rsid w:val="32EA747B"/>
    <w:rsid w:val="32F27419"/>
    <w:rsid w:val="32FB3683"/>
    <w:rsid w:val="33463E83"/>
    <w:rsid w:val="337D2AAD"/>
    <w:rsid w:val="33FC5905"/>
    <w:rsid w:val="342D1E31"/>
    <w:rsid w:val="34BE04CE"/>
    <w:rsid w:val="35717EED"/>
    <w:rsid w:val="357A2506"/>
    <w:rsid w:val="35B410B0"/>
    <w:rsid w:val="35F72B7B"/>
    <w:rsid w:val="36355E99"/>
    <w:rsid w:val="36490586"/>
    <w:rsid w:val="36681030"/>
    <w:rsid w:val="36AE738B"/>
    <w:rsid w:val="36E96615"/>
    <w:rsid w:val="372928C6"/>
    <w:rsid w:val="37823411"/>
    <w:rsid w:val="37D526F5"/>
    <w:rsid w:val="37E1687D"/>
    <w:rsid w:val="38153566"/>
    <w:rsid w:val="384E37AA"/>
    <w:rsid w:val="38767A34"/>
    <w:rsid w:val="38CF129D"/>
    <w:rsid w:val="38DA5740"/>
    <w:rsid w:val="390C1381"/>
    <w:rsid w:val="392D68C1"/>
    <w:rsid w:val="3939065C"/>
    <w:rsid w:val="394C2E8B"/>
    <w:rsid w:val="39B56BAE"/>
    <w:rsid w:val="39D618DA"/>
    <w:rsid w:val="39E63866"/>
    <w:rsid w:val="39F07CBA"/>
    <w:rsid w:val="39FC665F"/>
    <w:rsid w:val="3A5B15D7"/>
    <w:rsid w:val="3A7B5DC2"/>
    <w:rsid w:val="3A7C154E"/>
    <w:rsid w:val="3A84195F"/>
    <w:rsid w:val="3A9A7912"/>
    <w:rsid w:val="3AA81B38"/>
    <w:rsid w:val="3ACB227C"/>
    <w:rsid w:val="3ADC3D9A"/>
    <w:rsid w:val="3AE6259D"/>
    <w:rsid w:val="3B257B9C"/>
    <w:rsid w:val="3B502B03"/>
    <w:rsid w:val="3BA50630"/>
    <w:rsid w:val="3BE8106F"/>
    <w:rsid w:val="3BF910CC"/>
    <w:rsid w:val="3C000539"/>
    <w:rsid w:val="3C4E2A76"/>
    <w:rsid w:val="3C5170B9"/>
    <w:rsid w:val="3C5C5193"/>
    <w:rsid w:val="3C884758"/>
    <w:rsid w:val="3CA36045"/>
    <w:rsid w:val="3CA56B3A"/>
    <w:rsid w:val="3CED04E1"/>
    <w:rsid w:val="3CFF17D5"/>
    <w:rsid w:val="3D2F4AD5"/>
    <w:rsid w:val="3D5C799F"/>
    <w:rsid w:val="3D5E4F3B"/>
    <w:rsid w:val="3DEB0EC4"/>
    <w:rsid w:val="3DF34203"/>
    <w:rsid w:val="3E04192E"/>
    <w:rsid w:val="3E0729FB"/>
    <w:rsid w:val="3E315FFF"/>
    <w:rsid w:val="3E3A1376"/>
    <w:rsid w:val="3E4E4846"/>
    <w:rsid w:val="3E6B0ADC"/>
    <w:rsid w:val="3F4776F9"/>
    <w:rsid w:val="3F5605BF"/>
    <w:rsid w:val="3FAB712E"/>
    <w:rsid w:val="3FAD6D28"/>
    <w:rsid w:val="402D6FDC"/>
    <w:rsid w:val="403E7631"/>
    <w:rsid w:val="40524C98"/>
    <w:rsid w:val="40BA5764"/>
    <w:rsid w:val="40ED3539"/>
    <w:rsid w:val="41124CB0"/>
    <w:rsid w:val="41167829"/>
    <w:rsid w:val="41556215"/>
    <w:rsid w:val="42066334"/>
    <w:rsid w:val="420E79E7"/>
    <w:rsid w:val="42635D4F"/>
    <w:rsid w:val="426B4B17"/>
    <w:rsid w:val="428216CB"/>
    <w:rsid w:val="429A4C67"/>
    <w:rsid w:val="42AB57C8"/>
    <w:rsid w:val="42C52668"/>
    <w:rsid w:val="437678A2"/>
    <w:rsid w:val="43784FA8"/>
    <w:rsid w:val="437B23A2"/>
    <w:rsid w:val="43A15411"/>
    <w:rsid w:val="43C3427F"/>
    <w:rsid w:val="44146428"/>
    <w:rsid w:val="441F24E9"/>
    <w:rsid w:val="443E0A11"/>
    <w:rsid w:val="44624B5C"/>
    <w:rsid w:val="44E75F0E"/>
    <w:rsid w:val="45070037"/>
    <w:rsid w:val="450F1E86"/>
    <w:rsid w:val="459D4838"/>
    <w:rsid w:val="45A55DFD"/>
    <w:rsid w:val="45FB5C24"/>
    <w:rsid w:val="46244F73"/>
    <w:rsid w:val="462C207A"/>
    <w:rsid w:val="46D70238"/>
    <w:rsid w:val="46F77A09"/>
    <w:rsid w:val="4717073D"/>
    <w:rsid w:val="4723347D"/>
    <w:rsid w:val="47E477EE"/>
    <w:rsid w:val="483B5BA7"/>
    <w:rsid w:val="487856F7"/>
    <w:rsid w:val="48844F3A"/>
    <w:rsid w:val="48F60BE7"/>
    <w:rsid w:val="494636C7"/>
    <w:rsid w:val="4A1633C6"/>
    <w:rsid w:val="4A2D4613"/>
    <w:rsid w:val="4A3459A1"/>
    <w:rsid w:val="4A3D271D"/>
    <w:rsid w:val="4AC37605"/>
    <w:rsid w:val="4AD570AA"/>
    <w:rsid w:val="4ADA327B"/>
    <w:rsid w:val="4B3B0239"/>
    <w:rsid w:val="4B5E1321"/>
    <w:rsid w:val="4B942C4A"/>
    <w:rsid w:val="4C6E3C34"/>
    <w:rsid w:val="4C786019"/>
    <w:rsid w:val="4D317F76"/>
    <w:rsid w:val="4D4B54DB"/>
    <w:rsid w:val="4D4E0B28"/>
    <w:rsid w:val="4DC94652"/>
    <w:rsid w:val="4E366BEC"/>
    <w:rsid w:val="4E8D5680"/>
    <w:rsid w:val="4E9B175D"/>
    <w:rsid w:val="4ED54D5B"/>
    <w:rsid w:val="4EE51018"/>
    <w:rsid w:val="4F024926"/>
    <w:rsid w:val="4F3F2E1E"/>
    <w:rsid w:val="4F495907"/>
    <w:rsid w:val="4F7A71DF"/>
    <w:rsid w:val="4FCD55D9"/>
    <w:rsid w:val="50030EE9"/>
    <w:rsid w:val="50563EC4"/>
    <w:rsid w:val="50C05145"/>
    <w:rsid w:val="515A6D09"/>
    <w:rsid w:val="51622DF4"/>
    <w:rsid w:val="51C61465"/>
    <w:rsid w:val="51DB40AF"/>
    <w:rsid w:val="52043EAB"/>
    <w:rsid w:val="52454A2A"/>
    <w:rsid w:val="52792EA4"/>
    <w:rsid w:val="52A71ED6"/>
    <w:rsid w:val="52A724B8"/>
    <w:rsid w:val="53011FC2"/>
    <w:rsid w:val="538452A3"/>
    <w:rsid w:val="546402B2"/>
    <w:rsid w:val="54681F75"/>
    <w:rsid w:val="54BA2A4B"/>
    <w:rsid w:val="55264138"/>
    <w:rsid w:val="55823A64"/>
    <w:rsid w:val="558A6938"/>
    <w:rsid w:val="55B41744"/>
    <w:rsid w:val="566A5F0C"/>
    <w:rsid w:val="566E5D97"/>
    <w:rsid w:val="56C20A67"/>
    <w:rsid w:val="574B60D8"/>
    <w:rsid w:val="576B4C3E"/>
    <w:rsid w:val="578E4942"/>
    <w:rsid w:val="57A46FB0"/>
    <w:rsid w:val="57A70762"/>
    <w:rsid w:val="57B91294"/>
    <w:rsid w:val="57D5183D"/>
    <w:rsid w:val="58721CD4"/>
    <w:rsid w:val="59446E84"/>
    <w:rsid w:val="5A232B0E"/>
    <w:rsid w:val="5A6A160E"/>
    <w:rsid w:val="5A6A72C6"/>
    <w:rsid w:val="5A967172"/>
    <w:rsid w:val="5AA412F6"/>
    <w:rsid w:val="5B033365"/>
    <w:rsid w:val="5B294982"/>
    <w:rsid w:val="5B316AF9"/>
    <w:rsid w:val="5B5C2752"/>
    <w:rsid w:val="5B6634E0"/>
    <w:rsid w:val="5BF81EE7"/>
    <w:rsid w:val="5BFD56CC"/>
    <w:rsid w:val="5C2313D1"/>
    <w:rsid w:val="5C2A0235"/>
    <w:rsid w:val="5C2A0E37"/>
    <w:rsid w:val="5C58047A"/>
    <w:rsid w:val="5C791CF3"/>
    <w:rsid w:val="5CA14E50"/>
    <w:rsid w:val="5CB07109"/>
    <w:rsid w:val="5CBC5AAE"/>
    <w:rsid w:val="5CC01613"/>
    <w:rsid w:val="5D0C2B08"/>
    <w:rsid w:val="5D2F5AE7"/>
    <w:rsid w:val="5D576086"/>
    <w:rsid w:val="5D5C035B"/>
    <w:rsid w:val="5E062D59"/>
    <w:rsid w:val="5E416523"/>
    <w:rsid w:val="5E540D8C"/>
    <w:rsid w:val="5F2E20B5"/>
    <w:rsid w:val="5F6B37BB"/>
    <w:rsid w:val="5F830B05"/>
    <w:rsid w:val="5FC92003"/>
    <w:rsid w:val="5FE54A8E"/>
    <w:rsid w:val="601A4848"/>
    <w:rsid w:val="601C19F1"/>
    <w:rsid w:val="602A4DCF"/>
    <w:rsid w:val="605E4FF8"/>
    <w:rsid w:val="60673F83"/>
    <w:rsid w:val="60846EB8"/>
    <w:rsid w:val="60E22840"/>
    <w:rsid w:val="60FD7E5C"/>
    <w:rsid w:val="611C2FBF"/>
    <w:rsid w:val="612E684E"/>
    <w:rsid w:val="61315D88"/>
    <w:rsid w:val="618A13AE"/>
    <w:rsid w:val="61964C96"/>
    <w:rsid w:val="6196565B"/>
    <w:rsid w:val="61A30E72"/>
    <w:rsid w:val="61B615F3"/>
    <w:rsid w:val="61CE15DD"/>
    <w:rsid w:val="620029DB"/>
    <w:rsid w:val="62250115"/>
    <w:rsid w:val="6236783E"/>
    <w:rsid w:val="624C70A1"/>
    <w:rsid w:val="6269566B"/>
    <w:rsid w:val="626C410C"/>
    <w:rsid w:val="628E62F5"/>
    <w:rsid w:val="62E07F4C"/>
    <w:rsid w:val="63243300"/>
    <w:rsid w:val="63C35974"/>
    <w:rsid w:val="63F674BA"/>
    <w:rsid w:val="642F06F6"/>
    <w:rsid w:val="645C289E"/>
    <w:rsid w:val="64F04CC6"/>
    <w:rsid w:val="6582099A"/>
    <w:rsid w:val="65827169"/>
    <w:rsid w:val="65B0017A"/>
    <w:rsid w:val="65BD2CD3"/>
    <w:rsid w:val="660C2327"/>
    <w:rsid w:val="661E06C1"/>
    <w:rsid w:val="6662451E"/>
    <w:rsid w:val="66C57C55"/>
    <w:rsid w:val="66CD08B8"/>
    <w:rsid w:val="6756622B"/>
    <w:rsid w:val="67B5485E"/>
    <w:rsid w:val="68095A63"/>
    <w:rsid w:val="68AA1A16"/>
    <w:rsid w:val="68C6609D"/>
    <w:rsid w:val="68E70E6E"/>
    <w:rsid w:val="690717EB"/>
    <w:rsid w:val="690E7977"/>
    <w:rsid w:val="696C3D9B"/>
    <w:rsid w:val="69BD10B7"/>
    <w:rsid w:val="69BE34F8"/>
    <w:rsid w:val="69C737C4"/>
    <w:rsid w:val="69D91CE0"/>
    <w:rsid w:val="6A073D94"/>
    <w:rsid w:val="6A4021CE"/>
    <w:rsid w:val="6A506486"/>
    <w:rsid w:val="6A8C3DE4"/>
    <w:rsid w:val="6ACA583A"/>
    <w:rsid w:val="6B6C4B43"/>
    <w:rsid w:val="6B7E612D"/>
    <w:rsid w:val="6CB050A3"/>
    <w:rsid w:val="6CDF2F14"/>
    <w:rsid w:val="6D3E6D9D"/>
    <w:rsid w:val="6D476720"/>
    <w:rsid w:val="6DAF0319"/>
    <w:rsid w:val="6E237D40"/>
    <w:rsid w:val="6E5D0773"/>
    <w:rsid w:val="6EA10F86"/>
    <w:rsid w:val="6EAE6897"/>
    <w:rsid w:val="6EE451BB"/>
    <w:rsid w:val="6F3B086F"/>
    <w:rsid w:val="6F5F398C"/>
    <w:rsid w:val="6F9D176F"/>
    <w:rsid w:val="6FBC52C2"/>
    <w:rsid w:val="6FCF01BC"/>
    <w:rsid w:val="704D50AC"/>
    <w:rsid w:val="707365F3"/>
    <w:rsid w:val="707627B1"/>
    <w:rsid w:val="709D12FB"/>
    <w:rsid w:val="710C022E"/>
    <w:rsid w:val="71341C5F"/>
    <w:rsid w:val="71542301"/>
    <w:rsid w:val="722319C6"/>
    <w:rsid w:val="72416FBF"/>
    <w:rsid w:val="72444E51"/>
    <w:rsid w:val="7251624C"/>
    <w:rsid w:val="732E2559"/>
    <w:rsid w:val="73C61A3E"/>
    <w:rsid w:val="73D019E7"/>
    <w:rsid w:val="74324395"/>
    <w:rsid w:val="743C0E2B"/>
    <w:rsid w:val="75297512"/>
    <w:rsid w:val="756918EB"/>
    <w:rsid w:val="756B7C19"/>
    <w:rsid w:val="758D7B90"/>
    <w:rsid w:val="759F78C3"/>
    <w:rsid w:val="75BD5464"/>
    <w:rsid w:val="75BF22F0"/>
    <w:rsid w:val="763B5A30"/>
    <w:rsid w:val="76420D65"/>
    <w:rsid w:val="76797B24"/>
    <w:rsid w:val="76852F5D"/>
    <w:rsid w:val="76927B69"/>
    <w:rsid w:val="76F87EA4"/>
    <w:rsid w:val="7763329E"/>
    <w:rsid w:val="778813BB"/>
    <w:rsid w:val="77885660"/>
    <w:rsid w:val="77CC2A1C"/>
    <w:rsid w:val="77EC5352"/>
    <w:rsid w:val="77FC1C8B"/>
    <w:rsid w:val="78283BA0"/>
    <w:rsid w:val="782A3181"/>
    <w:rsid w:val="782B488F"/>
    <w:rsid w:val="787B63C5"/>
    <w:rsid w:val="788C70AD"/>
    <w:rsid w:val="791D400B"/>
    <w:rsid w:val="79267A55"/>
    <w:rsid w:val="79354815"/>
    <w:rsid w:val="79444A09"/>
    <w:rsid w:val="79827A78"/>
    <w:rsid w:val="799D639D"/>
    <w:rsid w:val="79A52EE3"/>
    <w:rsid w:val="79A82483"/>
    <w:rsid w:val="79B064A8"/>
    <w:rsid w:val="7A086A7F"/>
    <w:rsid w:val="7B05773D"/>
    <w:rsid w:val="7B874AF1"/>
    <w:rsid w:val="7BC00DAA"/>
    <w:rsid w:val="7BC20148"/>
    <w:rsid w:val="7BF93CF9"/>
    <w:rsid w:val="7C147991"/>
    <w:rsid w:val="7C280203"/>
    <w:rsid w:val="7C433F47"/>
    <w:rsid w:val="7D306A52"/>
    <w:rsid w:val="7D453CB2"/>
    <w:rsid w:val="7D687C45"/>
    <w:rsid w:val="7D706D2E"/>
    <w:rsid w:val="7D810838"/>
    <w:rsid w:val="7D9B3066"/>
    <w:rsid w:val="7E473A5C"/>
    <w:rsid w:val="7ED405DD"/>
    <w:rsid w:val="7EFB3DBC"/>
    <w:rsid w:val="7F1A19A5"/>
    <w:rsid w:val="7F6643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widowControl/>
      <w:spacing w:before="100" w:beforeAutospacing="1" w:after="100" w:afterAutospacing="1"/>
      <w:jc w:val="left"/>
    </w:pPr>
    <w:rPr>
      <w:rFonts w:ascii="宋体" w:hAnsi="宋体" w:cs="宋体"/>
      <w:kern w:val="0"/>
      <w:sz w:val="24"/>
    </w:rPr>
  </w:style>
  <w:style w:type="paragraph" w:customStyle="1" w:styleId="6">
    <w:name w:val="样式 2 小四"/>
    <w:qFormat/>
    <w:uiPriority w:val="0"/>
    <w:pPr>
      <w:widowControl w:val="0"/>
      <w:spacing w:line="240" w:lineRule="auto"/>
      <w:jc w:val="left"/>
    </w:pPr>
    <w:rPr>
      <w:rFonts w:ascii="宋体" w:hAnsi="Times New Roman" w:eastAsia="宋体" w:cs="Times New Roman"/>
      <w:kern w:val="2"/>
      <w:sz w:val="24"/>
      <w:szCs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3438</Words>
  <Characters>3462</Characters>
  <Lines>0</Lines>
  <Paragraphs>0</Paragraphs>
  <TotalTime>16</TotalTime>
  <ScaleCrop>false</ScaleCrop>
  <LinksUpToDate>false</LinksUpToDate>
  <CharactersWithSpaces>3462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2025-06-06T06:31:00Z</dcterms:created>
  <dc:creator>HP</dc:creator>
  <cp:lastModifiedBy>哦豁</cp:lastModifiedBy>
  <dcterms:modified xsi:type="dcterms:W3CDTF">2025-06-19T09:02:46Z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eyJoZGlkIjoiODk1NGI4MmMyYjA2YjFkZWRmM2VmMDRhZTAzZWYzMWQiLCJ1c2VySWQiOiI0Mzk1MTUzODQifQ==</vt:lpwstr>
  </property>
  <property fmtid="{D5CDD505-2E9C-101B-9397-08002B2CF9AE}" pid="4" name="ICV">
    <vt:lpwstr>FC5C0C43414B44BAB4588ED2AC2CAB85_13</vt:lpwstr>
  </property>
</Properties>
</file>