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460" w:lineRule="exact"/>
        <w:ind w:left="0"/>
        <w:textAlignment w:val="baseline"/>
        <w:rPr>
          <w:rFonts w:ascii="黑体" w:hAnsi="黑体" w:eastAsia="黑体" w:cs="黑体"/>
          <w:sz w:val="31"/>
          <w:szCs w:val="31"/>
        </w:rPr>
      </w:pPr>
      <w:r>
        <w:rPr>
          <w:rFonts w:ascii="黑体" w:hAnsi="黑体" w:eastAsia="黑体" w:cs="黑体"/>
          <w:spacing w:val="-4"/>
          <w:sz w:val="31"/>
          <w:szCs w:val="31"/>
        </w:rPr>
        <w:t>附件1</w:t>
      </w:r>
    </w:p>
    <w:p>
      <w:pPr>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0"/>
        <w:jc w:val="center"/>
        <w:textAlignment w:val="baseline"/>
        <w:outlineLvl w:val="0"/>
        <w:rPr>
          <w:rFonts w:hint="eastAsia" w:ascii="方正小标宋简体" w:hAnsi="方正小标宋简体" w:eastAsia="方正小标宋简体" w:cs="方正小标宋简体"/>
          <w:b w:val="0"/>
          <w:bCs w:val="0"/>
          <w:spacing w:val="1"/>
          <w:sz w:val="44"/>
          <w:szCs w:val="44"/>
        </w:rPr>
      </w:pPr>
      <w:r>
        <w:rPr>
          <w:rFonts w:hint="eastAsia" w:ascii="方正小标宋简体" w:hAnsi="方正小标宋简体" w:eastAsia="方正小标宋简体" w:cs="方正小标宋简体"/>
          <w:b w:val="0"/>
          <w:bCs w:val="0"/>
          <w:spacing w:val="1"/>
          <w:sz w:val="44"/>
          <w:szCs w:val="44"/>
        </w:rPr>
        <w:t>2021—2024</w:t>
      </w:r>
      <w:r>
        <w:rPr>
          <w:rFonts w:hint="eastAsia" w:ascii="方正小标宋简体" w:hAnsi="方正小标宋简体" w:eastAsia="方正小标宋简体" w:cs="方正小标宋简体"/>
          <w:b w:val="0"/>
          <w:bCs w:val="0"/>
          <w:spacing w:val="-80"/>
          <w:sz w:val="44"/>
          <w:szCs w:val="44"/>
        </w:rPr>
        <w:t xml:space="preserve"> </w:t>
      </w:r>
      <w:r>
        <w:rPr>
          <w:rFonts w:hint="eastAsia" w:ascii="方正小标宋简体" w:hAnsi="方正小标宋简体" w:eastAsia="方正小标宋简体" w:cs="方正小标宋简体"/>
          <w:b w:val="0"/>
          <w:bCs w:val="0"/>
          <w:spacing w:val="1"/>
          <w:sz w:val="44"/>
          <w:szCs w:val="44"/>
        </w:rPr>
        <w:t>年度全国群众体育</w:t>
      </w:r>
    </w:p>
    <w:p>
      <w:pPr>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0"/>
        <w:jc w:val="center"/>
        <w:textAlignment w:val="baseline"/>
        <w:outlineLvl w:val="0"/>
        <w:rPr>
          <w:rFonts w:ascii="Arial"/>
          <w:sz w:val="21"/>
        </w:rPr>
      </w:pPr>
      <w:r>
        <w:rPr>
          <w:rFonts w:hint="eastAsia" w:ascii="方正小标宋简体" w:hAnsi="方正小标宋简体" w:eastAsia="方正小标宋简体" w:cs="方正小标宋简体"/>
          <w:b w:val="0"/>
          <w:bCs w:val="0"/>
          <w:spacing w:val="3"/>
          <w:sz w:val="44"/>
          <w:szCs w:val="44"/>
        </w:rPr>
        <w:t>先进单位推荐表</w:t>
      </w:r>
    </w:p>
    <w:p>
      <w:pPr>
        <w:spacing w:before="91" w:line="216" w:lineRule="auto"/>
        <w:ind w:left="25"/>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pacing w:val="-4"/>
          <w:sz w:val="30"/>
          <w:szCs w:val="30"/>
        </w:rPr>
        <w:t>填表人：</w:t>
      </w:r>
      <w:r>
        <w:rPr>
          <w:rFonts w:hint="eastAsia" w:ascii="仿宋_GB2312" w:hAnsi="仿宋_GB2312" w:eastAsia="仿宋_GB2312" w:cs="仿宋_GB2312"/>
          <w:spacing w:val="-4"/>
          <w:sz w:val="30"/>
          <w:szCs w:val="30"/>
          <w:lang w:val="en-US" w:eastAsia="zh-CN"/>
        </w:rPr>
        <w:t>李莎</w:t>
      </w:r>
      <w:r>
        <w:rPr>
          <w:rFonts w:hint="eastAsia" w:ascii="仿宋_GB2312" w:hAnsi="仿宋_GB2312" w:eastAsia="仿宋_GB2312" w:cs="仿宋_GB2312"/>
          <w:spacing w:val="-4"/>
          <w:sz w:val="30"/>
          <w:szCs w:val="30"/>
        </w:rPr>
        <w:t xml:space="preserve">                  电话（手机</w:t>
      </w:r>
      <w:r>
        <w:rPr>
          <w:rFonts w:hint="eastAsia" w:ascii="仿宋_GB2312" w:hAnsi="仿宋_GB2312" w:eastAsia="仿宋_GB2312" w:cs="仿宋_GB2312"/>
          <w:sz w:val="30"/>
          <w:szCs w:val="30"/>
        </w:rPr>
        <w:t>）：</w:t>
      </w:r>
      <w:r>
        <w:rPr>
          <w:rFonts w:hint="eastAsia" w:ascii="仿宋_GB2312" w:hAnsi="仿宋_GB2312" w:eastAsia="仿宋_GB2312" w:cs="仿宋_GB2312"/>
          <w:sz w:val="30"/>
          <w:szCs w:val="30"/>
          <w:lang w:val="en-US" w:eastAsia="zh-CN"/>
        </w:rPr>
        <w:t>15519053799</w:t>
      </w:r>
    </w:p>
    <w:tbl>
      <w:tblPr>
        <w:tblStyle w:val="7"/>
        <w:tblW w:w="9095" w:type="dxa"/>
        <w:tblInd w:w="-3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34"/>
        <w:gridCol w:w="3861"/>
        <w:gridCol w:w="1115"/>
        <w:gridCol w:w="218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934" w:type="dxa"/>
            <w:vAlign w:val="top"/>
          </w:tcPr>
          <w:p>
            <w:pPr>
              <w:pStyle w:val="8"/>
              <w:spacing w:before="181" w:line="216" w:lineRule="auto"/>
              <w:ind w:left="225"/>
              <w:rPr>
                <w:rFonts w:hint="eastAsia" w:ascii="仿宋_GB2312" w:hAnsi="仿宋_GB2312" w:eastAsia="仿宋_GB2312" w:cs="仿宋_GB2312"/>
                <w:sz w:val="30"/>
                <w:szCs w:val="30"/>
              </w:rPr>
            </w:pPr>
            <w:r>
              <w:rPr>
                <w:rFonts w:hint="eastAsia" w:ascii="仿宋_GB2312" w:hAnsi="仿宋_GB2312" w:eastAsia="仿宋_GB2312" w:cs="仿宋_GB2312"/>
                <w:spacing w:val="-5"/>
                <w:sz w:val="30"/>
                <w:szCs w:val="30"/>
              </w:rPr>
              <w:t>单位名称</w:t>
            </w:r>
          </w:p>
        </w:tc>
        <w:tc>
          <w:tcPr>
            <w:tcW w:w="3861" w:type="dxa"/>
            <w:vAlign w:val="center"/>
          </w:tcPr>
          <w:p>
            <w:pPr>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b/>
                <w:bCs/>
                <w:i w:val="0"/>
                <w:iCs w:val="0"/>
                <w:caps w:val="0"/>
                <w:color w:val="000000"/>
                <w:spacing w:val="0"/>
                <w:kern w:val="0"/>
                <w:sz w:val="30"/>
                <w:szCs w:val="30"/>
                <w:shd w:val="clear" w:color="auto" w:fill="FFFFFF"/>
                <w:lang w:val="en-US" w:eastAsia="zh-CN" w:bidi="ar-SA"/>
              </w:rPr>
              <w:t>贵州省榕江县文化馆</w:t>
            </w:r>
          </w:p>
        </w:tc>
        <w:tc>
          <w:tcPr>
            <w:tcW w:w="1115" w:type="dxa"/>
            <w:vAlign w:val="top"/>
          </w:tcPr>
          <w:p>
            <w:pPr>
              <w:pStyle w:val="8"/>
              <w:spacing w:before="181" w:line="219" w:lineRule="auto"/>
              <w:ind w:left="160"/>
              <w:rPr>
                <w:rFonts w:hint="eastAsia" w:ascii="仿宋_GB2312" w:hAnsi="仿宋_GB2312" w:eastAsia="仿宋_GB2312" w:cs="仿宋_GB2312"/>
                <w:sz w:val="30"/>
                <w:szCs w:val="30"/>
              </w:rPr>
            </w:pPr>
            <w:r>
              <w:rPr>
                <w:rFonts w:hint="eastAsia" w:ascii="仿宋_GB2312" w:hAnsi="仿宋_GB2312" w:eastAsia="仿宋_GB2312" w:cs="仿宋_GB2312"/>
                <w:spacing w:val="-8"/>
                <w:sz w:val="30"/>
                <w:szCs w:val="30"/>
              </w:rPr>
              <w:t>负责人</w:t>
            </w:r>
          </w:p>
        </w:tc>
        <w:tc>
          <w:tcPr>
            <w:tcW w:w="2185" w:type="dxa"/>
            <w:vAlign w:val="center"/>
          </w:tcPr>
          <w:p>
            <w:pPr>
              <w:jc w:val="center"/>
              <w:rPr>
                <w:rFonts w:hint="eastAsia" w:ascii="仿宋_GB2312" w:hAnsi="仿宋_GB2312" w:eastAsia="仿宋_GB2312" w:cs="仿宋_GB2312"/>
                <w:i w:val="0"/>
                <w:iCs w:val="0"/>
                <w:caps w:val="0"/>
                <w:color w:val="000000"/>
                <w:spacing w:val="0"/>
                <w:kern w:val="0"/>
                <w:sz w:val="30"/>
                <w:szCs w:val="30"/>
                <w:shd w:val="clear" w:color="auto" w:fill="FFFFFF"/>
                <w:lang w:val="en-US" w:eastAsia="zh-CN" w:bidi="ar-SA"/>
              </w:rPr>
            </w:pPr>
            <w:r>
              <w:rPr>
                <w:rFonts w:hint="eastAsia" w:ascii="仿宋_GB2312" w:hAnsi="仿宋_GB2312" w:eastAsia="仿宋_GB2312" w:cs="仿宋_GB2312"/>
                <w:i w:val="0"/>
                <w:iCs w:val="0"/>
                <w:caps w:val="0"/>
                <w:color w:val="000000"/>
                <w:spacing w:val="0"/>
                <w:kern w:val="0"/>
                <w:sz w:val="30"/>
                <w:szCs w:val="30"/>
                <w:shd w:val="clear" w:color="auto" w:fill="FFFFFF"/>
                <w:lang w:val="en-US" w:eastAsia="zh-CN" w:bidi="ar-SA"/>
              </w:rPr>
              <w:t>李莎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1934" w:type="dxa"/>
            <w:vAlign w:val="top"/>
          </w:tcPr>
          <w:p>
            <w:pPr>
              <w:pStyle w:val="8"/>
              <w:spacing w:before="177" w:line="216" w:lineRule="auto"/>
              <w:ind w:left="227"/>
              <w:rPr>
                <w:rFonts w:hint="eastAsia" w:ascii="仿宋_GB2312" w:hAnsi="仿宋_GB2312" w:eastAsia="仿宋_GB2312" w:cs="仿宋_GB2312"/>
                <w:sz w:val="30"/>
                <w:szCs w:val="30"/>
              </w:rPr>
            </w:pPr>
            <w:r>
              <w:rPr>
                <w:rFonts w:hint="eastAsia" w:ascii="仿宋_GB2312" w:hAnsi="仿宋_GB2312" w:eastAsia="仿宋_GB2312" w:cs="仿宋_GB2312"/>
                <w:spacing w:val="-5"/>
                <w:sz w:val="30"/>
                <w:szCs w:val="30"/>
              </w:rPr>
              <w:t>详细地址</w:t>
            </w:r>
          </w:p>
        </w:tc>
        <w:tc>
          <w:tcPr>
            <w:tcW w:w="3861" w:type="dxa"/>
            <w:vAlign w:val="top"/>
          </w:tcPr>
          <w:p>
            <w:pPr>
              <w:jc w:val="center"/>
              <w:rPr>
                <w:rFonts w:hint="eastAsia" w:ascii="仿宋_GB2312" w:hAnsi="仿宋_GB2312" w:eastAsia="仿宋_GB2312" w:cs="仿宋_GB2312"/>
                <w:sz w:val="30"/>
                <w:szCs w:val="30"/>
              </w:rPr>
            </w:pPr>
            <w:r>
              <w:rPr>
                <w:rFonts w:hint="eastAsia" w:ascii="仿宋_GB2312" w:hAnsi="仿宋_GB2312" w:eastAsia="仿宋_GB2312" w:cs="仿宋_GB2312"/>
                <w:i w:val="0"/>
                <w:iCs w:val="0"/>
                <w:caps w:val="0"/>
                <w:color w:val="000000"/>
                <w:spacing w:val="0"/>
                <w:kern w:val="0"/>
                <w:sz w:val="30"/>
                <w:szCs w:val="30"/>
                <w:shd w:val="clear" w:color="auto" w:fill="FFFFFF"/>
                <w:lang w:val="en-US" w:eastAsia="zh-CN" w:bidi="ar-SA"/>
              </w:rPr>
              <w:t>贵州省榕江县古州西路文化馆办公综合大楼</w:t>
            </w:r>
          </w:p>
        </w:tc>
        <w:tc>
          <w:tcPr>
            <w:tcW w:w="1115" w:type="dxa"/>
            <w:vAlign w:val="top"/>
          </w:tcPr>
          <w:p>
            <w:pPr>
              <w:pStyle w:val="8"/>
              <w:spacing w:before="176" w:line="219" w:lineRule="auto"/>
              <w:ind w:left="179"/>
              <w:rPr>
                <w:rFonts w:hint="eastAsia" w:ascii="仿宋_GB2312" w:hAnsi="仿宋_GB2312" w:eastAsia="仿宋_GB2312" w:cs="仿宋_GB2312"/>
                <w:sz w:val="30"/>
                <w:szCs w:val="30"/>
              </w:rPr>
            </w:pPr>
            <w:r>
              <w:rPr>
                <w:rFonts w:hint="eastAsia" w:ascii="仿宋_GB2312" w:hAnsi="仿宋_GB2312" w:eastAsia="仿宋_GB2312" w:cs="仿宋_GB2312"/>
                <w:spacing w:val="-22"/>
                <w:sz w:val="30"/>
                <w:szCs w:val="30"/>
              </w:rPr>
              <w:t>电</w:t>
            </w:r>
            <w:r>
              <w:rPr>
                <w:rFonts w:hint="eastAsia" w:ascii="仿宋_GB2312" w:hAnsi="仿宋_GB2312" w:eastAsia="仿宋_GB2312" w:cs="仿宋_GB2312"/>
                <w:spacing w:val="4"/>
                <w:sz w:val="30"/>
                <w:szCs w:val="30"/>
              </w:rPr>
              <w:t xml:space="preserve">  </w:t>
            </w:r>
            <w:r>
              <w:rPr>
                <w:rFonts w:hint="eastAsia" w:ascii="仿宋_GB2312" w:hAnsi="仿宋_GB2312" w:eastAsia="仿宋_GB2312" w:cs="仿宋_GB2312"/>
                <w:spacing w:val="-22"/>
                <w:sz w:val="30"/>
                <w:szCs w:val="30"/>
              </w:rPr>
              <w:t>话</w:t>
            </w:r>
          </w:p>
        </w:tc>
        <w:tc>
          <w:tcPr>
            <w:tcW w:w="2185" w:type="dxa"/>
            <w:vAlign w:val="center"/>
          </w:tcPr>
          <w:p>
            <w:pPr>
              <w:jc w:val="center"/>
              <w:rPr>
                <w:rFonts w:hint="eastAsia" w:ascii="仿宋_GB2312" w:hAnsi="仿宋_GB2312" w:eastAsia="仿宋_GB2312" w:cs="仿宋_GB2312"/>
                <w:i w:val="0"/>
                <w:iCs w:val="0"/>
                <w:caps w:val="0"/>
                <w:color w:val="000000"/>
                <w:spacing w:val="0"/>
                <w:kern w:val="0"/>
                <w:sz w:val="30"/>
                <w:szCs w:val="30"/>
                <w:shd w:val="clear" w:color="auto" w:fill="FFFFFF"/>
                <w:lang w:val="en-US" w:eastAsia="zh-CN" w:bidi="ar-SA"/>
              </w:rPr>
            </w:pPr>
            <w:r>
              <w:rPr>
                <w:rFonts w:hint="eastAsia" w:ascii="仿宋_GB2312" w:hAnsi="仿宋_GB2312" w:eastAsia="仿宋_GB2312" w:cs="仿宋_GB2312"/>
                <w:i w:val="0"/>
                <w:iCs w:val="0"/>
                <w:caps w:val="0"/>
                <w:color w:val="000000"/>
                <w:spacing w:val="0"/>
                <w:kern w:val="0"/>
                <w:sz w:val="30"/>
                <w:szCs w:val="30"/>
                <w:shd w:val="clear" w:color="auto" w:fill="FFFFFF"/>
                <w:lang w:val="en-US" w:eastAsia="zh-CN" w:bidi="ar-SA"/>
              </w:rPr>
              <w:t>15519053799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2" w:hRule="atLeast"/>
        </w:trPr>
        <w:tc>
          <w:tcPr>
            <w:tcW w:w="1934" w:type="dxa"/>
            <w:textDirection w:val="tbRlV"/>
            <w:vAlign w:val="top"/>
          </w:tcPr>
          <w:p>
            <w:pPr>
              <w:spacing w:line="451" w:lineRule="auto"/>
              <w:rPr>
                <w:rFonts w:hint="eastAsia" w:ascii="仿宋_GB2312" w:hAnsi="仿宋_GB2312" w:eastAsia="仿宋_GB2312" w:cs="仿宋_GB2312"/>
                <w:sz w:val="30"/>
                <w:szCs w:val="30"/>
              </w:rPr>
            </w:pPr>
          </w:p>
          <w:p>
            <w:pPr>
              <w:pStyle w:val="8"/>
              <w:spacing w:before="93" w:line="203" w:lineRule="auto"/>
              <w:ind w:left="2670"/>
              <w:rPr>
                <w:rFonts w:hint="eastAsia" w:ascii="仿宋_GB2312" w:hAnsi="仿宋_GB2312" w:eastAsia="仿宋_GB2312" w:cs="仿宋_GB2312"/>
                <w:sz w:val="30"/>
                <w:szCs w:val="30"/>
              </w:rPr>
            </w:pPr>
            <w:r>
              <w:rPr>
                <w:rFonts w:hint="eastAsia" w:ascii="仿宋_GB2312" w:hAnsi="仿宋_GB2312" w:eastAsia="仿宋_GB2312" w:cs="仿宋_GB2312"/>
                <w:spacing w:val="-1"/>
                <w:sz w:val="30"/>
                <w:szCs w:val="30"/>
              </w:rPr>
              <w:t>主</w:t>
            </w:r>
            <w:r>
              <w:rPr>
                <w:rFonts w:hint="eastAsia" w:ascii="仿宋_GB2312" w:hAnsi="仿宋_GB2312" w:eastAsia="仿宋_GB2312" w:cs="仿宋_GB2312"/>
                <w:spacing w:val="33"/>
                <w:sz w:val="30"/>
                <w:szCs w:val="30"/>
              </w:rPr>
              <w:t xml:space="preserve">  </w:t>
            </w:r>
            <w:r>
              <w:rPr>
                <w:rFonts w:hint="eastAsia" w:ascii="仿宋_GB2312" w:hAnsi="仿宋_GB2312" w:eastAsia="仿宋_GB2312" w:cs="仿宋_GB2312"/>
                <w:spacing w:val="-1"/>
                <w:sz w:val="30"/>
                <w:szCs w:val="30"/>
              </w:rPr>
              <w:t>要</w:t>
            </w:r>
            <w:r>
              <w:rPr>
                <w:rFonts w:hint="eastAsia" w:ascii="仿宋_GB2312" w:hAnsi="仿宋_GB2312" w:eastAsia="仿宋_GB2312" w:cs="仿宋_GB2312"/>
                <w:spacing w:val="32"/>
                <w:sz w:val="30"/>
                <w:szCs w:val="30"/>
              </w:rPr>
              <w:t xml:space="preserve">  </w:t>
            </w:r>
            <w:r>
              <w:rPr>
                <w:rFonts w:hint="eastAsia" w:ascii="仿宋_GB2312" w:hAnsi="仿宋_GB2312" w:eastAsia="仿宋_GB2312" w:cs="仿宋_GB2312"/>
                <w:spacing w:val="-1"/>
                <w:sz w:val="30"/>
                <w:szCs w:val="30"/>
              </w:rPr>
              <w:t>事</w:t>
            </w:r>
            <w:r>
              <w:rPr>
                <w:rFonts w:hint="eastAsia" w:ascii="仿宋_GB2312" w:hAnsi="仿宋_GB2312" w:eastAsia="仿宋_GB2312" w:cs="仿宋_GB2312"/>
                <w:spacing w:val="32"/>
                <w:sz w:val="30"/>
                <w:szCs w:val="30"/>
              </w:rPr>
              <w:t xml:space="preserve">  </w:t>
            </w:r>
            <w:r>
              <w:rPr>
                <w:rFonts w:hint="eastAsia" w:ascii="仿宋_GB2312" w:hAnsi="仿宋_GB2312" w:eastAsia="仿宋_GB2312" w:cs="仿宋_GB2312"/>
                <w:spacing w:val="-1"/>
                <w:sz w:val="30"/>
                <w:szCs w:val="30"/>
              </w:rPr>
              <w:t>迹</w:t>
            </w:r>
          </w:p>
        </w:tc>
        <w:tc>
          <w:tcPr>
            <w:tcW w:w="7161" w:type="dxa"/>
            <w:gridSpan w:val="3"/>
            <w:vAlign w:val="top"/>
          </w:tcPr>
          <w:p>
            <w:pPr>
              <w:keepNext w:val="0"/>
              <w:keepLines w:val="0"/>
              <w:pageBreakBefore w:val="0"/>
              <w:widowControl w:val="0"/>
              <w:kinsoku/>
              <w:wordWrap/>
              <w:overflowPunct/>
              <w:topLinePunct w:val="0"/>
              <w:autoSpaceDE/>
              <w:autoSpaceDN/>
              <w:bidi w:val="0"/>
              <w:adjustRightInd/>
              <w:snapToGrid/>
              <w:spacing w:line="440" w:lineRule="exact"/>
              <w:ind w:left="0" w:leftChars="0" w:firstLine="600"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snapToGrid/>
                <w:kern w:val="2"/>
                <w:sz w:val="30"/>
                <w:szCs w:val="30"/>
                <w:lang w:val="en-US" w:eastAsia="zh-CN"/>
              </w:rPr>
              <w:t>榕江县文化馆作为贵州“村超”民族文化展演的核心策划与组织者，始终坚持以习近平新时代中国特色社会主义思想为指导，深入贯彻落实习近平文化思想和习近平总书记关于乡村振兴战略的重要指示精神。在思想上、政治上、行动上同以习近平同志为核心的党中央保持高度一致，将满足人民精神文化需求作为工作的出发点和落脚点，以高度的政治自觉和行动自觉推动“村超”文化实践蓬勃发展，使其成为展现新时代群众文化活力和坚定文化自信的生动窗口。</w:t>
            </w:r>
          </w:p>
          <w:p>
            <w:pPr>
              <w:pStyle w:val="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40" w:lineRule="exact"/>
              <w:ind w:left="0" w:right="0" w:firstLine="602" w:firstLineChars="200"/>
              <w:jc w:val="both"/>
              <w:textAlignment w:val="auto"/>
              <w:rPr>
                <w:rFonts w:hint="eastAsia" w:ascii="仿宋_GB2312" w:hAnsi="仿宋_GB2312" w:eastAsia="仿宋_GB2312" w:cs="仿宋_GB2312"/>
                <w:b/>
                <w:bCs/>
                <w:i w:val="0"/>
                <w:iCs w:val="0"/>
                <w:caps w:val="0"/>
                <w:color w:val="000000"/>
                <w:spacing w:val="0"/>
                <w:sz w:val="30"/>
                <w:szCs w:val="30"/>
                <w:shd w:val="clear" w:color="auto" w:fill="FFFFFF"/>
              </w:rPr>
            </w:pPr>
            <w:r>
              <w:rPr>
                <w:rFonts w:hint="eastAsia" w:ascii="仿宋_GB2312" w:hAnsi="仿宋_GB2312" w:eastAsia="仿宋_GB2312" w:cs="仿宋_GB2312"/>
                <w:b/>
                <w:bCs/>
                <w:i w:val="0"/>
                <w:iCs w:val="0"/>
                <w:caps w:val="0"/>
                <w:color w:val="000000"/>
                <w:spacing w:val="0"/>
                <w:sz w:val="30"/>
                <w:szCs w:val="30"/>
                <w:shd w:val="clear" w:color="auto" w:fill="FFFFFF"/>
              </w:rPr>
              <w:t>一、坚持政治引领，践行以人民为中心的发展思想</w:t>
            </w:r>
          </w:p>
          <w:p>
            <w:pPr>
              <w:pStyle w:val="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40" w:lineRule="exact"/>
              <w:ind w:left="0" w:right="0" w:firstLine="600" w:firstLineChars="200"/>
              <w:jc w:val="both"/>
              <w:textAlignment w:val="auto"/>
              <w:rPr>
                <w:rFonts w:hint="eastAsia" w:ascii="仿宋_GB2312" w:hAnsi="仿宋_GB2312" w:eastAsia="仿宋_GB2312" w:cs="仿宋_GB2312"/>
                <w:b/>
                <w:bCs/>
                <w:i w:val="0"/>
                <w:iCs w:val="0"/>
                <w:caps w:val="0"/>
                <w:color w:val="000000"/>
                <w:spacing w:val="0"/>
                <w:sz w:val="30"/>
                <w:szCs w:val="30"/>
                <w:shd w:val="clear" w:color="auto" w:fill="FFFFFF"/>
                <w:lang w:val="en-US" w:eastAsia="zh-CN"/>
              </w:rPr>
            </w:pPr>
            <w:r>
              <w:rPr>
                <w:rFonts w:hint="eastAsia" w:ascii="仿宋_GB2312" w:hAnsi="仿宋_GB2312" w:eastAsia="仿宋_GB2312" w:cs="仿宋_GB2312"/>
                <w:i w:val="0"/>
                <w:iCs w:val="0"/>
                <w:caps w:val="0"/>
                <w:color w:val="000000"/>
                <w:spacing w:val="0"/>
                <w:sz w:val="30"/>
                <w:szCs w:val="30"/>
                <w:shd w:val="clear" w:color="auto" w:fill="FFFFFF"/>
              </w:rPr>
              <w:t>榕江县文化馆深刻学习领会党中央决策部署，将“以人民为中心”的发展思想贯穿于“村超”文化展演的全过程。习近平</w:t>
            </w:r>
            <w:r>
              <w:rPr>
                <w:rFonts w:hint="eastAsia" w:ascii="仿宋_GB2312" w:hAnsi="仿宋_GB2312" w:eastAsia="仿宋_GB2312" w:cs="仿宋_GB2312"/>
                <w:i w:val="0"/>
                <w:iCs w:val="0"/>
                <w:caps w:val="0"/>
                <w:color w:val="000000"/>
                <w:spacing w:val="0"/>
                <w:sz w:val="30"/>
                <w:szCs w:val="30"/>
                <w:shd w:val="clear" w:color="auto" w:fill="FFFFFF"/>
                <w:lang w:eastAsia="zh-CN"/>
              </w:rPr>
              <w:t>总书记</w:t>
            </w:r>
            <w:r>
              <w:rPr>
                <w:rFonts w:hint="eastAsia" w:ascii="仿宋_GB2312" w:hAnsi="仿宋_GB2312" w:eastAsia="仿宋_GB2312" w:cs="仿宋_GB2312"/>
                <w:i w:val="0"/>
                <w:iCs w:val="0"/>
                <w:caps w:val="0"/>
                <w:color w:val="000000"/>
                <w:spacing w:val="0"/>
                <w:sz w:val="30"/>
                <w:szCs w:val="30"/>
                <w:shd w:val="clear" w:color="auto" w:fill="FFFFFF"/>
              </w:rPr>
              <w:t>在2024年新年贺词中点赞“村超”活力四射，诠释了人们对美好幸福的追求。2025年3月17日，习近平总书记到贵州考察时再次</w:t>
            </w:r>
            <w:r>
              <w:rPr>
                <w:rFonts w:hint="eastAsia" w:ascii="仿宋_GB2312" w:hAnsi="仿宋_GB2312" w:eastAsia="仿宋_GB2312" w:cs="仿宋_GB2312"/>
                <w:i w:val="0"/>
                <w:iCs w:val="0"/>
                <w:caps w:val="0"/>
                <w:color w:val="000000"/>
                <w:spacing w:val="0"/>
                <w:sz w:val="30"/>
                <w:szCs w:val="30"/>
                <w:shd w:val="clear" w:color="auto" w:fill="FFFFFF"/>
                <w:lang w:eastAsia="zh-CN"/>
              </w:rPr>
              <w:t>强调要</w:t>
            </w:r>
            <w:r>
              <w:rPr>
                <w:rFonts w:hint="eastAsia" w:ascii="仿宋_GB2312" w:hAnsi="仿宋_GB2312" w:eastAsia="仿宋_GB2312" w:cs="仿宋_GB2312"/>
                <w:i w:val="0"/>
                <w:iCs w:val="0"/>
                <w:caps w:val="0"/>
                <w:color w:val="000000"/>
                <w:spacing w:val="0"/>
                <w:sz w:val="30"/>
                <w:szCs w:val="30"/>
                <w:shd w:val="clear" w:color="auto" w:fill="FFFFFF"/>
              </w:rPr>
              <w:t>“完善好、培育好、发展好</w:t>
            </w:r>
            <w:r>
              <w:rPr>
                <w:rFonts w:hint="eastAsia" w:ascii="仿宋_GB2312" w:hAnsi="仿宋_GB2312" w:eastAsia="仿宋_GB2312" w:cs="仿宋_GB2312"/>
                <w:i w:val="0"/>
                <w:iCs w:val="0"/>
                <w:caps w:val="0"/>
                <w:color w:val="000000"/>
                <w:spacing w:val="0"/>
                <w:sz w:val="30"/>
                <w:szCs w:val="30"/>
                <w:shd w:val="clear" w:color="auto" w:fill="FFFFFF"/>
                <w:lang w:eastAsia="zh-CN"/>
              </w:rPr>
              <w:t>‘</w:t>
            </w:r>
            <w:r>
              <w:rPr>
                <w:rFonts w:hint="eastAsia" w:ascii="仿宋_GB2312" w:hAnsi="仿宋_GB2312" w:eastAsia="仿宋_GB2312" w:cs="仿宋_GB2312"/>
                <w:i w:val="0"/>
                <w:iCs w:val="0"/>
                <w:caps w:val="0"/>
                <w:color w:val="000000"/>
                <w:spacing w:val="0"/>
                <w:sz w:val="30"/>
                <w:szCs w:val="30"/>
                <w:shd w:val="clear" w:color="auto" w:fill="FFFFFF"/>
              </w:rPr>
              <w:t>村超</w:t>
            </w:r>
            <w:r>
              <w:rPr>
                <w:rFonts w:hint="eastAsia" w:ascii="仿宋_GB2312" w:hAnsi="仿宋_GB2312" w:eastAsia="仿宋_GB2312" w:cs="仿宋_GB2312"/>
                <w:i w:val="0"/>
                <w:iCs w:val="0"/>
                <w:caps w:val="0"/>
                <w:color w:val="000000"/>
                <w:spacing w:val="0"/>
                <w:sz w:val="30"/>
                <w:szCs w:val="30"/>
                <w:shd w:val="clear" w:color="auto" w:fill="FFFFFF"/>
                <w:lang w:eastAsia="zh-CN"/>
              </w:rPr>
              <w:t>’‘</w:t>
            </w:r>
            <w:r>
              <w:rPr>
                <w:rFonts w:hint="eastAsia" w:ascii="仿宋_GB2312" w:hAnsi="仿宋_GB2312" w:eastAsia="仿宋_GB2312" w:cs="仿宋_GB2312"/>
                <w:i w:val="0"/>
                <w:iCs w:val="0"/>
                <w:caps w:val="0"/>
                <w:color w:val="000000"/>
                <w:spacing w:val="0"/>
                <w:sz w:val="30"/>
                <w:szCs w:val="30"/>
                <w:shd w:val="clear" w:color="auto" w:fill="FFFFFF"/>
              </w:rPr>
              <w:t>村BA</w:t>
            </w:r>
            <w:r>
              <w:rPr>
                <w:rFonts w:hint="eastAsia" w:ascii="仿宋_GB2312" w:hAnsi="仿宋_GB2312" w:eastAsia="仿宋_GB2312" w:cs="仿宋_GB2312"/>
                <w:i w:val="0"/>
                <w:iCs w:val="0"/>
                <w:caps w:val="0"/>
                <w:color w:val="000000"/>
                <w:spacing w:val="0"/>
                <w:sz w:val="30"/>
                <w:szCs w:val="30"/>
                <w:shd w:val="clear" w:color="auto" w:fill="FFFFFF"/>
                <w:lang w:eastAsia="zh-CN"/>
              </w:rPr>
              <w:t>’</w:t>
            </w:r>
            <w:r>
              <w:rPr>
                <w:rFonts w:hint="eastAsia" w:ascii="仿宋_GB2312" w:hAnsi="仿宋_GB2312" w:eastAsia="仿宋_GB2312" w:cs="仿宋_GB2312"/>
                <w:i w:val="0"/>
                <w:iCs w:val="0"/>
                <w:caps w:val="0"/>
                <w:color w:val="000000"/>
                <w:spacing w:val="0"/>
                <w:sz w:val="30"/>
                <w:szCs w:val="30"/>
                <w:shd w:val="clear" w:color="auto" w:fill="FFFFFF"/>
              </w:rPr>
              <w:t>等群众文体活动</w:t>
            </w:r>
            <w:bookmarkStart w:id="0" w:name="_GoBack"/>
            <w:bookmarkEnd w:id="0"/>
            <w:r>
              <w:rPr>
                <w:rFonts w:hint="eastAsia" w:ascii="仿宋_GB2312" w:hAnsi="仿宋_GB2312" w:eastAsia="仿宋_GB2312" w:cs="仿宋_GB2312"/>
                <w:i w:val="0"/>
                <w:iCs w:val="0"/>
                <w:caps w:val="0"/>
                <w:color w:val="000000"/>
                <w:spacing w:val="0"/>
                <w:sz w:val="30"/>
                <w:szCs w:val="30"/>
                <w:shd w:val="clear" w:color="auto" w:fill="FFFFFF"/>
                <w:lang w:eastAsia="zh-CN"/>
              </w:rPr>
              <w:t>”</w:t>
            </w:r>
            <w:r>
              <w:rPr>
                <w:rFonts w:hint="eastAsia" w:ascii="仿宋_GB2312" w:hAnsi="仿宋_GB2312" w:eastAsia="仿宋_GB2312" w:cs="仿宋_GB2312"/>
                <w:i w:val="0"/>
                <w:iCs w:val="0"/>
                <w:caps w:val="0"/>
                <w:color w:val="000000"/>
                <w:spacing w:val="0"/>
                <w:sz w:val="30"/>
                <w:szCs w:val="30"/>
                <w:shd w:val="clear" w:color="auto" w:fill="FFFFFF"/>
              </w:rPr>
              <w:t>。文化馆以此为动力，不断创新工作方式，确保“村超”成为根植于人民、由人民主创、惠及全民的文旅体融合标杆品牌。</w:t>
            </w:r>
          </w:p>
          <w:p>
            <w:pPr>
              <w:pStyle w:val="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40" w:lineRule="exact"/>
              <w:ind w:left="0" w:right="0" w:firstLine="602" w:firstLineChars="200"/>
              <w:jc w:val="both"/>
              <w:textAlignment w:val="auto"/>
              <w:rPr>
                <w:rFonts w:hint="eastAsia" w:ascii="仿宋_GB2312" w:hAnsi="仿宋_GB2312" w:eastAsia="仿宋_GB2312" w:cs="仿宋_GB2312"/>
                <w:i w:val="0"/>
                <w:iCs w:val="0"/>
                <w:caps w:val="0"/>
                <w:color w:val="000000"/>
                <w:spacing w:val="0"/>
                <w:sz w:val="30"/>
                <w:szCs w:val="30"/>
                <w:shd w:val="clear" w:color="auto" w:fill="FFFFFF"/>
              </w:rPr>
            </w:pPr>
            <w:r>
              <w:rPr>
                <w:rFonts w:hint="eastAsia" w:ascii="仿宋_GB2312" w:hAnsi="仿宋_GB2312" w:eastAsia="仿宋_GB2312" w:cs="仿宋_GB2312"/>
                <w:b/>
                <w:bCs/>
                <w:i w:val="0"/>
                <w:iCs w:val="0"/>
                <w:caps w:val="0"/>
                <w:color w:val="000000"/>
                <w:spacing w:val="0"/>
                <w:sz w:val="30"/>
                <w:szCs w:val="30"/>
                <w:shd w:val="clear" w:color="auto" w:fill="FFFFFF"/>
                <w:lang w:val="en-US" w:eastAsia="zh-CN"/>
              </w:rPr>
              <w:t>二</w:t>
            </w:r>
            <w:r>
              <w:rPr>
                <w:rFonts w:hint="eastAsia" w:ascii="仿宋_GB2312" w:hAnsi="仿宋_GB2312" w:eastAsia="仿宋_GB2312" w:cs="仿宋_GB2312"/>
                <w:b/>
                <w:bCs/>
                <w:i w:val="0"/>
                <w:iCs w:val="0"/>
                <w:caps w:val="0"/>
                <w:color w:val="000000"/>
                <w:spacing w:val="0"/>
                <w:sz w:val="30"/>
                <w:szCs w:val="30"/>
                <w:shd w:val="clear" w:color="auto" w:fill="FFFFFF"/>
              </w:rPr>
              <w:t>、激活群众主体，推动全民参与文化创作</w:t>
            </w:r>
          </w:p>
          <w:p>
            <w:pPr>
              <w:pStyle w:val="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40" w:lineRule="exact"/>
              <w:ind w:left="0" w:right="0" w:firstLine="600" w:firstLineChars="200"/>
              <w:jc w:val="both"/>
              <w:textAlignment w:val="auto"/>
              <w:rPr>
                <w:rFonts w:hint="eastAsia" w:ascii="仿宋_GB2312" w:hAnsi="仿宋_GB2312" w:eastAsia="仿宋_GB2312" w:cs="仿宋_GB2312"/>
                <w:i w:val="0"/>
                <w:iCs w:val="0"/>
                <w:caps w:val="0"/>
                <w:color w:val="000000"/>
                <w:spacing w:val="0"/>
                <w:sz w:val="30"/>
                <w:szCs w:val="30"/>
                <w:shd w:val="clear" w:color="auto" w:fill="FFFFFF"/>
              </w:rPr>
            </w:pPr>
            <w:r>
              <w:rPr>
                <w:rFonts w:hint="eastAsia" w:ascii="仿宋_GB2312" w:hAnsi="仿宋_GB2312" w:eastAsia="仿宋_GB2312" w:cs="仿宋_GB2312"/>
                <w:i w:val="0"/>
                <w:iCs w:val="0"/>
                <w:caps w:val="0"/>
                <w:color w:val="000000"/>
                <w:spacing w:val="0"/>
                <w:sz w:val="30"/>
                <w:szCs w:val="30"/>
                <w:shd w:val="clear" w:color="auto" w:fill="FFFFFF"/>
              </w:rPr>
              <w:t>榕江县文化馆带领县艺术团和文化志愿者，以“村超”民族文化展演为载体，让群众从“观看者”转变为“主创者”。通过建立群众文艺人才队伍，培育了县民族歌舞艺术团、社区文艺队、乡村文化带头人等一批文艺创作骨干，并完善基层文化志愿者队伍。志愿者们分组联系指导各乡镇、街道群众，利用农闲时间创新编排节目，将侗族大歌、苗族芦笙舞、水族芦笙斗牛舞、瑶族舂杵舞等非遗节目搬上“村超”舞台。村民不仅是赛事的组织者、参与者，更是民族文化展演的创作者。例如，本地村民自发编排节目，甚至将传统农具、农特产品与足球文化结合，形成独特的“村秀”。这种“自下而上”的创作模式，打破了传统文艺的精英垄断，展现了新大众文艺“全民参与”的本质。</w:t>
            </w:r>
          </w:p>
          <w:p>
            <w:pPr>
              <w:pStyle w:val="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40" w:lineRule="exact"/>
              <w:ind w:left="0" w:right="0" w:firstLine="602" w:firstLineChars="200"/>
              <w:jc w:val="both"/>
              <w:textAlignment w:val="auto"/>
              <w:rPr>
                <w:rFonts w:hint="eastAsia" w:ascii="仿宋_GB2312" w:hAnsi="仿宋_GB2312" w:eastAsia="仿宋_GB2312" w:cs="仿宋_GB2312"/>
                <w:b/>
                <w:bCs/>
                <w:i w:val="0"/>
                <w:iCs w:val="0"/>
                <w:caps w:val="0"/>
                <w:color w:val="000000"/>
                <w:spacing w:val="0"/>
                <w:sz w:val="30"/>
                <w:szCs w:val="30"/>
                <w:shd w:val="clear" w:color="auto" w:fill="FFFFFF"/>
                <w:lang w:val="en-US" w:eastAsia="zh-CN"/>
              </w:rPr>
            </w:pPr>
            <w:r>
              <w:rPr>
                <w:rFonts w:hint="eastAsia" w:ascii="仿宋_GB2312" w:hAnsi="仿宋_GB2312" w:eastAsia="仿宋_GB2312" w:cs="仿宋_GB2312"/>
                <w:b/>
                <w:bCs/>
                <w:i w:val="0"/>
                <w:iCs w:val="0"/>
                <w:caps w:val="0"/>
                <w:color w:val="000000"/>
                <w:spacing w:val="0"/>
                <w:sz w:val="30"/>
                <w:szCs w:val="30"/>
                <w:shd w:val="clear" w:color="auto" w:fill="FFFFFF"/>
                <w:lang w:val="en-US" w:eastAsia="zh-CN"/>
              </w:rPr>
              <w:t>三、扎实推进文艺普及，群众文艺辅导显成效</w:t>
            </w:r>
          </w:p>
          <w:p>
            <w:pPr>
              <w:pStyle w:val="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40" w:lineRule="exact"/>
              <w:ind w:left="0" w:right="0" w:firstLine="600" w:firstLineChars="200"/>
              <w:jc w:val="both"/>
              <w:textAlignment w:val="auto"/>
              <w:rPr>
                <w:rFonts w:hint="eastAsia" w:ascii="仿宋_GB2312" w:hAnsi="仿宋_GB2312" w:eastAsia="仿宋_GB2312" w:cs="仿宋_GB2312"/>
                <w:i w:val="0"/>
                <w:iCs w:val="0"/>
                <w:caps w:val="0"/>
                <w:color w:val="000000"/>
                <w:spacing w:val="0"/>
                <w:sz w:val="30"/>
                <w:szCs w:val="30"/>
                <w:shd w:val="clear" w:color="auto" w:fill="FFFFFF"/>
                <w:lang w:val="en-US" w:eastAsia="zh-CN"/>
              </w:rPr>
            </w:pPr>
            <w:r>
              <w:rPr>
                <w:rFonts w:hint="eastAsia" w:ascii="仿宋_GB2312" w:hAnsi="仿宋_GB2312" w:eastAsia="仿宋_GB2312" w:cs="仿宋_GB2312"/>
                <w:i w:val="0"/>
                <w:iCs w:val="0"/>
                <w:caps w:val="0"/>
                <w:color w:val="000000"/>
                <w:spacing w:val="0"/>
                <w:sz w:val="30"/>
                <w:szCs w:val="30"/>
                <w:shd w:val="clear" w:color="auto" w:fill="FFFFFF"/>
              </w:rPr>
              <w:t>榕江县文化馆充分发挥群众文化阵地作用，</w:t>
            </w:r>
            <w:r>
              <w:rPr>
                <w:rFonts w:hint="eastAsia" w:ascii="仿宋_GB2312" w:hAnsi="仿宋_GB2312" w:eastAsia="仿宋_GB2312" w:cs="仿宋_GB2312"/>
                <w:i w:val="0"/>
                <w:iCs w:val="0"/>
                <w:caps w:val="0"/>
                <w:color w:val="000000"/>
                <w:spacing w:val="0"/>
                <w:sz w:val="30"/>
                <w:szCs w:val="30"/>
                <w:shd w:val="clear" w:color="auto" w:fill="FFFFFF"/>
                <w:lang w:val="en-US" w:eastAsia="zh-CN"/>
              </w:rPr>
              <w:t>联合县艺术团以及馆办青少年文化活动基地，</w:t>
            </w:r>
            <w:r>
              <w:rPr>
                <w:rFonts w:hint="eastAsia" w:ascii="仿宋_GB2312" w:hAnsi="仿宋_GB2312" w:eastAsia="仿宋_GB2312" w:cs="仿宋_GB2312"/>
                <w:i w:val="0"/>
                <w:iCs w:val="0"/>
                <w:caps w:val="0"/>
                <w:color w:val="000000"/>
                <w:spacing w:val="0"/>
                <w:sz w:val="30"/>
                <w:szCs w:val="30"/>
                <w:shd w:val="clear" w:color="auto" w:fill="FFFFFF"/>
              </w:rPr>
              <w:t>多措并举推进文艺普及工作。一方面，针对不同群体需求，常态化开展山歌、侗歌、苗歌、芦笙、腰鼓、书</w:t>
            </w:r>
            <w:r>
              <w:rPr>
                <w:rFonts w:hint="eastAsia" w:ascii="仿宋_GB2312" w:hAnsi="仿宋_GB2312" w:eastAsia="仿宋_GB2312" w:cs="仿宋_GB2312"/>
                <w:i w:val="0"/>
                <w:iCs w:val="0"/>
                <w:caps w:val="0"/>
                <w:color w:val="000000"/>
                <w:spacing w:val="0"/>
                <w:sz w:val="30"/>
                <w:szCs w:val="30"/>
                <w:shd w:val="clear" w:color="auto" w:fill="FFFFFF"/>
                <w:lang w:val="en-US" w:eastAsia="zh-CN"/>
              </w:rPr>
              <w:t>画、舞蹈等艺术培训。另一方面，创新建立文化志愿小分队机制，以"文艺轻骑兵"形式深入乡镇、社区、学校等地开展志愿辅导</w:t>
            </w:r>
            <w:r>
              <w:rPr>
                <w:rFonts w:hint="eastAsia" w:ascii="仿宋_GB2312" w:hAnsi="仿宋_GB2312" w:eastAsia="仿宋_GB2312" w:cs="仿宋_GB2312"/>
                <w:i w:val="0"/>
                <w:iCs w:val="0"/>
                <w:caps w:val="0"/>
                <w:color w:val="000000"/>
                <w:spacing w:val="0"/>
                <w:sz w:val="30"/>
                <w:szCs w:val="30"/>
                <w:shd w:val="clear" w:color="auto" w:fill="FFFFFF"/>
              </w:rPr>
              <w:t>结合</w:t>
            </w:r>
            <w:r>
              <w:rPr>
                <w:rFonts w:hint="eastAsia" w:ascii="仿宋_GB2312" w:hAnsi="仿宋_GB2312" w:eastAsia="仿宋_GB2312" w:cs="仿宋_GB2312"/>
                <w:i w:val="0"/>
                <w:iCs w:val="0"/>
                <w:caps w:val="0"/>
                <w:color w:val="000000"/>
                <w:spacing w:val="0"/>
                <w:sz w:val="30"/>
                <w:szCs w:val="30"/>
                <w:shd w:val="clear" w:color="auto" w:fill="FFFFFF"/>
                <w:lang w:eastAsia="zh-CN"/>
              </w:rPr>
              <w:t>“</w:t>
            </w:r>
            <w:r>
              <w:rPr>
                <w:rFonts w:hint="eastAsia" w:ascii="仿宋_GB2312" w:hAnsi="仿宋_GB2312" w:eastAsia="仿宋_GB2312" w:cs="仿宋_GB2312"/>
                <w:i w:val="0"/>
                <w:iCs w:val="0"/>
                <w:caps w:val="0"/>
                <w:color w:val="000000"/>
                <w:spacing w:val="0"/>
                <w:sz w:val="30"/>
                <w:szCs w:val="30"/>
                <w:shd w:val="clear" w:color="auto" w:fill="FFFFFF"/>
                <w:lang w:val="en-US" w:eastAsia="zh-CN"/>
              </w:rPr>
              <w:t>村超”民族文化展演</w:t>
            </w:r>
            <w:r>
              <w:rPr>
                <w:rFonts w:hint="eastAsia" w:ascii="仿宋_GB2312" w:hAnsi="仿宋_GB2312" w:eastAsia="仿宋_GB2312" w:cs="仿宋_GB2312"/>
                <w:i w:val="0"/>
                <w:iCs w:val="0"/>
                <w:caps w:val="0"/>
                <w:color w:val="000000"/>
                <w:spacing w:val="0"/>
                <w:sz w:val="30"/>
                <w:szCs w:val="30"/>
                <w:shd w:val="clear" w:color="auto" w:fill="FFFFFF"/>
              </w:rPr>
              <w:t>和</w:t>
            </w:r>
            <w:r>
              <w:rPr>
                <w:rFonts w:hint="eastAsia" w:ascii="仿宋_GB2312" w:hAnsi="仿宋_GB2312" w:eastAsia="仿宋_GB2312" w:cs="仿宋_GB2312"/>
                <w:i w:val="0"/>
                <w:iCs w:val="0"/>
                <w:caps w:val="0"/>
                <w:color w:val="000000"/>
                <w:spacing w:val="0"/>
                <w:sz w:val="30"/>
                <w:szCs w:val="30"/>
                <w:shd w:val="clear" w:color="auto" w:fill="FFFFFF"/>
                <w:lang w:val="en-US" w:eastAsia="zh-CN"/>
              </w:rPr>
              <w:t>民族活动节庆</w:t>
            </w:r>
            <w:r>
              <w:rPr>
                <w:rFonts w:hint="eastAsia" w:ascii="仿宋_GB2312" w:hAnsi="仿宋_GB2312" w:eastAsia="仿宋_GB2312" w:cs="仿宋_GB2312"/>
                <w:i w:val="0"/>
                <w:iCs w:val="0"/>
                <w:caps w:val="0"/>
                <w:color w:val="000000"/>
                <w:spacing w:val="0"/>
                <w:sz w:val="30"/>
                <w:szCs w:val="30"/>
                <w:shd w:val="clear" w:color="auto" w:fill="FFFFFF"/>
              </w:rPr>
              <w:t>，组织舞蹈、侗歌、苗歌、芦笙等特色培训，切实打通公共文化服务"最后一公里"。</w:t>
            </w:r>
            <w:r>
              <w:rPr>
                <w:rFonts w:hint="eastAsia" w:ascii="仿宋_GB2312" w:hAnsi="仿宋_GB2312" w:eastAsia="仿宋_GB2312" w:cs="仿宋_GB2312"/>
                <w:i w:val="0"/>
                <w:iCs w:val="0"/>
                <w:caps w:val="0"/>
                <w:color w:val="000000"/>
                <w:spacing w:val="0"/>
                <w:sz w:val="30"/>
                <w:szCs w:val="30"/>
                <w:shd w:val="clear" w:color="auto" w:fill="FFFFFF"/>
                <w:lang w:val="en-US" w:eastAsia="zh-CN"/>
              </w:rPr>
              <w:t>满足了群众多样化文化需求，又培育了基层文艺骨干，为“村超”民族文化展演提供了人才支撑。</w:t>
            </w:r>
          </w:p>
          <w:p>
            <w:pPr>
              <w:pStyle w:val="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40" w:lineRule="exact"/>
              <w:ind w:left="0" w:right="0" w:firstLine="602" w:firstLineChars="200"/>
              <w:jc w:val="both"/>
              <w:textAlignment w:val="auto"/>
              <w:rPr>
                <w:rFonts w:hint="eastAsia" w:ascii="仿宋_GB2312" w:hAnsi="仿宋_GB2312" w:eastAsia="仿宋_GB2312" w:cs="仿宋_GB2312"/>
                <w:b/>
                <w:bCs/>
                <w:i w:val="0"/>
                <w:iCs w:val="0"/>
                <w:caps w:val="0"/>
                <w:color w:val="000000"/>
                <w:spacing w:val="0"/>
                <w:sz w:val="30"/>
                <w:szCs w:val="30"/>
                <w:shd w:val="clear" w:color="auto" w:fill="FFFFFF"/>
              </w:rPr>
            </w:pPr>
            <w:r>
              <w:rPr>
                <w:rFonts w:hint="eastAsia" w:ascii="仿宋_GB2312" w:hAnsi="仿宋_GB2312" w:eastAsia="仿宋_GB2312" w:cs="仿宋_GB2312"/>
                <w:b/>
                <w:bCs/>
                <w:i w:val="0"/>
                <w:iCs w:val="0"/>
                <w:caps w:val="0"/>
                <w:color w:val="000000"/>
                <w:spacing w:val="0"/>
                <w:sz w:val="30"/>
                <w:szCs w:val="30"/>
                <w:shd w:val="clear" w:color="auto" w:fill="FFFFFF"/>
                <w:lang w:val="en-US" w:eastAsia="zh-CN"/>
              </w:rPr>
              <w:t>四</w:t>
            </w:r>
            <w:r>
              <w:rPr>
                <w:rFonts w:hint="eastAsia" w:ascii="仿宋_GB2312" w:hAnsi="仿宋_GB2312" w:eastAsia="仿宋_GB2312" w:cs="仿宋_GB2312"/>
                <w:b/>
                <w:bCs/>
                <w:i w:val="0"/>
                <w:iCs w:val="0"/>
                <w:caps w:val="0"/>
                <w:color w:val="000000"/>
                <w:spacing w:val="0"/>
                <w:sz w:val="30"/>
                <w:szCs w:val="30"/>
                <w:shd w:val="clear" w:color="auto" w:fill="FFFFFF"/>
              </w:rPr>
              <w:t>、弘扬</w:t>
            </w:r>
            <w:r>
              <w:rPr>
                <w:rFonts w:hint="eastAsia" w:ascii="仿宋_GB2312" w:hAnsi="仿宋_GB2312" w:eastAsia="仿宋_GB2312" w:cs="仿宋_GB2312"/>
                <w:b/>
                <w:bCs/>
                <w:i w:val="0"/>
                <w:iCs w:val="0"/>
                <w:caps w:val="0"/>
                <w:color w:val="000000"/>
                <w:spacing w:val="0"/>
                <w:sz w:val="30"/>
                <w:szCs w:val="30"/>
                <w:shd w:val="clear" w:color="auto" w:fill="FFFFFF"/>
                <w:lang w:val="en-US" w:eastAsia="zh-CN"/>
              </w:rPr>
              <w:t>民族文化</w:t>
            </w:r>
            <w:r>
              <w:rPr>
                <w:rFonts w:hint="eastAsia" w:ascii="仿宋_GB2312" w:hAnsi="仿宋_GB2312" w:eastAsia="仿宋_GB2312" w:cs="仿宋_GB2312"/>
                <w:b/>
                <w:bCs/>
                <w:i w:val="0"/>
                <w:iCs w:val="0"/>
                <w:caps w:val="0"/>
                <w:color w:val="000000"/>
                <w:spacing w:val="0"/>
                <w:sz w:val="30"/>
                <w:szCs w:val="30"/>
                <w:shd w:val="clear" w:color="auto" w:fill="FFFFFF"/>
              </w:rPr>
              <w:t>，打造精神家园</w:t>
            </w:r>
          </w:p>
          <w:p>
            <w:pPr>
              <w:pStyle w:val="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40" w:lineRule="exact"/>
              <w:ind w:left="0" w:right="0" w:firstLine="600" w:firstLineChars="200"/>
              <w:jc w:val="both"/>
              <w:textAlignment w:val="auto"/>
              <w:rPr>
                <w:rFonts w:hint="eastAsia" w:ascii="仿宋_GB2312" w:hAnsi="仿宋_GB2312" w:eastAsia="仿宋_GB2312" w:cs="仿宋_GB2312"/>
                <w:b/>
                <w:bCs/>
                <w:i w:val="0"/>
                <w:iCs w:val="0"/>
                <w:caps w:val="0"/>
                <w:color w:val="000000"/>
                <w:spacing w:val="0"/>
                <w:sz w:val="30"/>
                <w:szCs w:val="30"/>
                <w:shd w:val="clear" w:color="auto" w:fill="FFFFFF"/>
                <w:lang w:val="en-US" w:eastAsia="zh-CN"/>
              </w:rPr>
            </w:pPr>
            <w:r>
              <w:rPr>
                <w:rFonts w:hint="eastAsia" w:ascii="仿宋_GB2312" w:hAnsi="仿宋_GB2312" w:eastAsia="仿宋_GB2312" w:cs="仿宋_GB2312"/>
                <w:i w:val="0"/>
                <w:iCs w:val="0"/>
                <w:caps w:val="0"/>
                <w:color w:val="000000"/>
                <w:spacing w:val="0"/>
                <w:sz w:val="30"/>
                <w:szCs w:val="30"/>
                <w:shd w:val="clear" w:color="auto" w:fill="FFFFFF"/>
              </w:rPr>
              <w:t>2023年以来，榕江县文化馆组织开展“我要上村超”“带着非遗上村超”等活动，引导全国各地精品节目和非遗技艺登上“村超”舞台。截至目前，“村超”共开展中场民族文化展演425场，展演非遗节目710余个，11.18万各族群众参与表演。716支特色拉拉队共13.98万余人参加巡游展示，水书、苗族鼓藏节仪式、侗族婚俗等加油助威形式，彰显了人民群众的智慧和创造力。通过非遗展演，观众得以近距离感受传统文化的魅力，群众成为乡村文化振兴的参与者、传播者和推动者，在创新中完成了文化传承。</w:t>
            </w:r>
          </w:p>
          <w:p>
            <w:pPr>
              <w:pStyle w:val="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40" w:lineRule="exact"/>
              <w:ind w:left="0" w:right="0" w:firstLine="602" w:firstLineChars="200"/>
              <w:jc w:val="both"/>
              <w:textAlignment w:val="auto"/>
              <w:rPr>
                <w:rFonts w:hint="eastAsia" w:ascii="仿宋_GB2312" w:hAnsi="仿宋_GB2312" w:eastAsia="仿宋_GB2312" w:cs="仿宋_GB2312"/>
                <w:b/>
                <w:bCs/>
                <w:i w:val="0"/>
                <w:iCs w:val="0"/>
                <w:caps w:val="0"/>
                <w:color w:val="000000"/>
                <w:spacing w:val="0"/>
                <w:sz w:val="30"/>
                <w:szCs w:val="30"/>
                <w:shd w:val="clear" w:color="auto" w:fill="FFFFFF"/>
              </w:rPr>
            </w:pPr>
            <w:r>
              <w:rPr>
                <w:rFonts w:hint="eastAsia" w:ascii="仿宋_GB2312" w:hAnsi="仿宋_GB2312" w:eastAsia="仿宋_GB2312" w:cs="仿宋_GB2312"/>
                <w:b/>
                <w:bCs/>
                <w:i w:val="0"/>
                <w:iCs w:val="0"/>
                <w:caps w:val="0"/>
                <w:color w:val="000000"/>
                <w:spacing w:val="0"/>
                <w:sz w:val="30"/>
                <w:szCs w:val="30"/>
                <w:shd w:val="clear" w:color="auto" w:fill="FFFFFF"/>
                <w:lang w:val="en-US" w:eastAsia="zh-CN"/>
              </w:rPr>
              <w:t>五、</w:t>
            </w:r>
            <w:r>
              <w:rPr>
                <w:rFonts w:hint="eastAsia" w:ascii="仿宋_GB2312" w:hAnsi="仿宋_GB2312" w:eastAsia="仿宋_GB2312" w:cs="仿宋_GB2312"/>
                <w:b/>
                <w:bCs/>
                <w:i w:val="0"/>
                <w:iCs w:val="0"/>
                <w:caps w:val="0"/>
                <w:color w:val="000000"/>
                <w:spacing w:val="0"/>
                <w:sz w:val="30"/>
                <w:szCs w:val="30"/>
                <w:shd w:val="clear" w:color="auto" w:fill="FFFFFF"/>
              </w:rPr>
              <w:t>文旅体融合，成就现象级文化盛事</w:t>
            </w:r>
          </w:p>
          <w:p>
            <w:pPr>
              <w:pStyle w:val="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40" w:lineRule="exact"/>
              <w:ind w:left="0" w:right="0" w:firstLine="600" w:firstLineChars="200"/>
              <w:jc w:val="both"/>
              <w:textAlignment w:val="auto"/>
              <w:rPr>
                <w:rFonts w:hint="eastAsia" w:ascii="仿宋_GB2312" w:hAnsi="仿宋_GB2312" w:eastAsia="仿宋_GB2312" w:cs="仿宋_GB2312"/>
                <w:i w:val="0"/>
                <w:iCs w:val="0"/>
                <w:caps w:val="0"/>
                <w:color w:val="000000"/>
                <w:spacing w:val="0"/>
                <w:sz w:val="30"/>
                <w:szCs w:val="30"/>
                <w:shd w:val="clear" w:color="auto" w:fill="FFFFFF"/>
              </w:rPr>
            </w:pPr>
            <w:r>
              <w:rPr>
                <w:rFonts w:hint="eastAsia" w:ascii="仿宋_GB2312" w:hAnsi="仿宋_GB2312" w:eastAsia="仿宋_GB2312" w:cs="仿宋_GB2312"/>
                <w:i w:val="0"/>
                <w:iCs w:val="0"/>
                <w:caps w:val="0"/>
                <w:color w:val="000000"/>
                <w:spacing w:val="0"/>
                <w:sz w:val="30"/>
                <w:szCs w:val="30"/>
                <w:shd w:val="clear" w:color="auto" w:fill="FFFFFF"/>
              </w:rPr>
              <w:t>“村超”是国家脱贫攻坚战略结出的硕果，是榕江38.5万人民在乡村振兴道路上因地制宜、锐意创新的伟大尝试。自2023年5月13日贵州榕江三宝侗寨和美乡村足球超级联赛开幕以来，火热的现场氛围、精彩的民俗表演、地道的特色美食和接地气的办赛风格迅速走红全网，成为现象级文化体育盛事。榕江县文化馆坚持以大众体育为载体，将现代足球与传统民族文化融合表达，推动“村超”持续火爆出圈，为全国提供了文旅体深度融合的典范。</w:t>
            </w:r>
          </w:p>
          <w:p>
            <w:pPr>
              <w:pStyle w:val="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40" w:lineRule="exact"/>
              <w:ind w:left="0" w:right="0" w:firstLine="600" w:firstLineChars="200"/>
              <w:jc w:val="both"/>
              <w:textAlignment w:val="auto"/>
              <w:rPr>
                <w:rFonts w:hint="eastAsia" w:ascii="仿宋_GB2312" w:hAnsi="仿宋_GB2312" w:eastAsia="仿宋_GB2312" w:cs="仿宋_GB2312"/>
                <w:sz w:val="30"/>
                <w:szCs w:val="30"/>
              </w:rPr>
            </w:pPr>
            <w:r>
              <w:rPr>
                <w:rFonts w:hint="eastAsia" w:ascii="仿宋_GB2312" w:hAnsi="仿宋_GB2312" w:eastAsia="仿宋_GB2312" w:cs="仿宋_GB2312"/>
                <w:i w:val="0"/>
                <w:iCs w:val="0"/>
                <w:caps w:val="0"/>
                <w:color w:val="000000"/>
                <w:spacing w:val="0"/>
                <w:sz w:val="30"/>
                <w:szCs w:val="30"/>
                <w:shd w:val="clear" w:color="auto" w:fill="FFFFFF"/>
              </w:rPr>
              <w:t>榕江县文化馆以高度的责任感和使命感，将“以人民为中心”的发展思想贯穿于文化工作的全过程，通过“村超”这一平台，展现了新时代群众文化的活力和文化自信。未来，文化馆将继续贯彻落实习近平总书记的重要指示精神，为乡村振兴和文化繁荣作出更大贡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0" w:hRule="atLeast"/>
        </w:trPr>
        <w:tc>
          <w:tcPr>
            <w:tcW w:w="1934" w:type="dxa"/>
            <w:vAlign w:val="top"/>
          </w:tcPr>
          <w:p>
            <w:pPr>
              <w:spacing w:line="383" w:lineRule="auto"/>
              <w:rPr>
                <w:rFonts w:hint="eastAsia" w:ascii="仿宋_GB2312" w:hAnsi="仿宋_GB2312" w:eastAsia="仿宋_GB2312" w:cs="仿宋_GB2312"/>
                <w:sz w:val="30"/>
                <w:szCs w:val="30"/>
              </w:rPr>
            </w:pPr>
          </w:p>
          <w:p>
            <w:pPr>
              <w:pStyle w:val="8"/>
              <w:spacing w:before="91" w:line="216" w:lineRule="auto"/>
              <w:ind w:left="219"/>
              <w:rPr>
                <w:rFonts w:hint="eastAsia" w:ascii="仿宋_GB2312" w:hAnsi="仿宋_GB2312" w:eastAsia="仿宋_GB2312" w:cs="仿宋_GB2312"/>
                <w:sz w:val="30"/>
                <w:szCs w:val="30"/>
              </w:rPr>
            </w:pPr>
            <w:r>
              <w:rPr>
                <w:rFonts w:hint="eastAsia" w:ascii="仿宋_GB2312" w:hAnsi="仿宋_GB2312" w:eastAsia="仿宋_GB2312" w:cs="仿宋_GB2312"/>
                <w:spacing w:val="-3"/>
                <w:sz w:val="30"/>
                <w:szCs w:val="30"/>
              </w:rPr>
              <w:t>推荐单位</w:t>
            </w:r>
          </w:p>
          <w:p>
            <w:pPr>
              <w:pStyle w:val="8"/>
              <w:spacing w:before="171" w:line="220" w:lineRule="auto"/>
              <w:ind w:left="517"/>
              <w:rPr>
                <w:rFonts w:hint="eastAsia" w:ascii="仿宋_GB2312" w:hAnsi="仿宋_GB2312" w:eastAsia="仿宋_GB2312" w:cs="仿宋_GB2312"/>
                <w:sz w:val="30"/>
                <w:szCs w:val="30"/>
              </w:rPr>
            </w:pPr>
            <w:r>
              <w:rPr>
                <w:rFonts w:hint="eastAsia" w:ascii="仿宋_GB2312" w:hAnsi="仿宋_GB2312" w:eastAsia="仿宋_GB2312" w:cs="仿宋_GB2312"/>
                <w:spacing w:val="-14"/>
                <w:sz w:val="30"/>
                <w:szCs w:val="30"/>
              </w:rPr>
              <w:t>意见</w:t>
            </w:r>
          </w:p>
        </w:tc>
        <w:tc>
          <w:tcPr>
            <w:tcW w:w="7161" w:type="dxa"/>
            <w:gridSpan w:val="3"/>
            <w:vAlign w:val="top"/>
          </w:tcPr>
          <w:p>
            <w:pPr>
              <w:spacing w:line="300" w:lineRule="auto"/>
              <w:rPr>
                <w:rFonts w:hint="eastAsia" w:ascii="仿宋_GB2312" w:hAnsi="仿宋_GB2312" w:eastAsia="仿宋_GB2312" w:cs="仿宋_GB2312"/>
                <w:sz w:val="30"/>
                <w:szCs w:val="30"/>
              </w:rPr>
            </w:pPr>
          </w:p>
          <w:p>
            <w:pPr>
              <w:pStyle w:val="8"/>
              <w:spacing w:before="91" w:line="218" w:lineRule="auto"/>
              <w:ind w:left="5283"/>
              <w:rPr>
                <w:rFonts w:hint="eastAsia" w:ascii="仿宋_GB2312" w:hAnsi="仿宋_GB2312" w:eastAsia="仿宋_GB2312" w:cs="仿宋_GB2312"/>
                <w:sz w:val="30"/>
                <w:szCs w:val="30"/>
              </w:rPr>
            </w:pPr>
            <w:r>
              <w:rPr>
                <w:rFonts w:hint="eastAsia" w:ascii="仿宋_GB2312" w:hAnsi="仿宋_GB2312" w:eastAsia="仿宋_GB2312" w:cs="仿宋_GB2312"/>
                <w:spacing w:val="8"/>
                <w:sz w:val="30"/>
                <w:szCs w:val="30"/>
              </w:rPr>
              <w:t>（盖章）</w:t>
            </w:r>
          </w:p>
          <w:p>
            <w:pPr>
              <w:pStyle w:val="8"/>
              <w:spacing w:before="170" w:line="218" w:lineRule="auto"/>
              <w:ind w:left="5297"/>
              <w:rPr>
                <w:rFonts w:hint="eastAsia" w:ascii="仿宋_GB2312" w:hAnsi="仿宋_GB2312" w:eastAsia="仿宋_GB2312" w:cs="仿宋_GB2312"/>
                <w:sz w:val="30"/>
                <w:szCs w:val="30"/>
              </w:rPr>
            </w:pPr>
            <w:r>
              <w:rPr>
                <w:rFonts w:hint="eastAsia" w:ascii="仿宋_GB2312" w:hAnsi="仿宋_GB2312" w:eastAsia="仿宋_GB2312" w:cs="仿宋_GB2312"/>
                <w:spacing w:val="-13"/>
                <w:sz w:val="30"/>
                <w:szCs w:val="30"/>
              </w:rPr>
              <w:t>年</w:t>
            </w:r>
            <w:r>
              <w:rPr>
                <w:rFonts w:hint="eastAsia" w:ascii="仿宋_GB2312" w:hAnsi="仿宋_GB2312" w:eastAsia="仿宋_GB2312" w:cs="仿宋_GB2312"/>
                <w:spacing w:val="13"/>
                <w:sz w:val="30"/>
                <w:szCs w:val="30"/>
              </w:rPr>
              <w:t xml:space="preserve">  </w:t>
            </w:r>
            <w:r>
              <w:rPr>
                <w:rFonts w:hint="eastAsia" w:ascii="仿宋_GB2312" w:hAnsi="仿宋_GB2312" w:eastAsia="仿宋_GB2312" w:cs="仿宋_GB2312"/>
                <w:spacing w:val="-13"/>
                <w:sz w:val="30"/>
                <w:szCs w:val="30"/>
              </w:rPr>
              <w:t>月</w:t>
            </w:r>
            <w:r>
              <w:rPr>
                <w:rFonts w:hint="eastAsia" w:ascii="仿宋_GB2312" w:hAnsi="仿宋_GB2312" w:eastAsia="仿宋_GB2312" w:cs="仿宋_GB2312"/>
                <w:spacing w:val="31"/>
                <w:sz w:val="30"/>
                <w:szCs w:val="30"/>
              </w:rPr>
              <w:t xml:space="preserve">  </w:t>
            </w:r>
            <w:r>
              <w:rPr>
                <w:rFonts w:hint="eastAsia" w:ascii="仿宋_GB2312" w:hAnsi="仿宋_GB2312" w:eastAsia="仿宋_GB2312" w:cs="仿宋_GB2312"/>
                <w:spacing w:val="-13"/>
                <w:sz w:val="30"/>
                <w:szCs w:val="30"/>
              </w:rPr>
              <w:t>日</w:t>
            </w:r>
          </w:p>
        </w:tc>
      </w:tr>
    </w:tbl>
    <w:p>
      <w:pPr>
        <w:spacing w:line="369" w:lineRule="auto"/>
        <w:ind w:right="73"/>
        <w:rPr>
          <w:rFonts w:hint="eastAsia" w:ascii="仿宋_GB2312" w:hAnsi="仿宋_GB2312" w:eastAsia="仿宋_GB2312" w:cs="仿宋_GB2312"/>
          <w:sz w:val="30"/>
          <w:szCs w:val="30"/>
        </w:rPr>
      </w:pPr>
    </w:p>
    <w:sectPr>
      <w:footerReference r:id="rId5" w:type="default"/>
      <w:pgSz w:w="11906" w:h="16839"/>
      <w:pgMar w:top="1431" w:right="1687" w:bottom="1262" w:left="1785" w:header="0" w:footer="947"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Microsoft YaHei">
    <w:panose1 w:val="020B0503020204020204"/>
    <w:charset w:val="86"/>
    <w:family w:val="auto"/>
    <w:pitch w:val="default"/>
    <w:sig w:usb0="80000287" w:usb1="280F3C52" w:usb2="00000016" w:usb3="00000000" w:csb0="0004001F" w:csb1="00000000"/>
  </w:font>
  <w:font w:name="Tahoma">
    <w:altName w:val="Droid Sans"/>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 w:name="微软雅黑">
    <w:panose1 w:val="020B0503020204020204"/>
    <w:charset w:val="86"/>
    <w:family w:val="auto"/>
    <w:pitch w:val="default"/>
    <w:sig w:usb0="80000287" w:usb1="280F3C52" w:usb2="00000016" w:usb3="00000000" w:csb0="0004001F" w:csb1="00000000"/>
  </w:font>
  <w:font w:name="Droid Sans">
    <w:panose1 w:val="020B0606030804020204"/>
    <w:charset w:val="00"/>
    <w:family w:val="auto"/>
    <w:pitch w:val="default"/>
    <w:sig w:usb0="E00002EF" w:usb1="4000205B" w:usb2="00000028"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sz w:val="20"/>
                              <w:szCs w:val="22"/>
                            </w:rPr>
                          </w:pPr>
                          <w:r>
                            <w:rPr>
                              <w:sz w:val="20"/>
                              <w:szCs w:val="22"/>
                            </w:rPr>
                            <w:fldChar w:fldCharType="begin"/>
                          </w:r>
                          <w:r>
                            <w:rPr>
                              <w:sz w:val="20"/>
                              <w:szCs w:val="22"/>
                            </w:rPr>
                            <w:instrText xml:space="preserve"> PAGE  \* MERGEFORMAT </w:instrText>
                          </w:r>
                          <w:r>
                            <w:rPr>
                              <w:sz w:val="20"/>
                              <w:szCs w:val="22"/>
                            </w:rPr>
                            <w:fldChar w:fldCharType="separate"/>
                          </w:r>
                          <w:r>
                            <w:rPr>
                              <w:sz w:val="20"/>
                              <w:szCs w:val="22"/>
                            </w:rPr>
                            <w:t>1</w:t>
                          </w:r>
                          <w:r>
                            <w:rPr>
                              <w:sz w:val="20"/>
                              <w:szCs w:val="22"/>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2"/>
                      <w:rPr>
                        <w:sz w:val="20"/>
                        <w:szCs w:val="22"/>
                      </w:rPr>
                    </w:pPr>
                    <w:r>
                      <w:rPr>
                        <w:sz w:val="20"/>
                        <w:szCs w:val="22"/>
                      </w:rPr>
                      <w:fldChar w:fldCharType="begin"/>
                    </w:r>
                    <w:r>
                      <w:rPr>
                        <w:sz w:val="20"/>
                        <w:szCs w:val="22"/>
                      </w:rPr>
                      <w:instrText xml:space="preserve"> PAGE  \* MERGEFORMAT </w:instrText>
                    </w:r>
                    <w:r>
                      <w:rPr>
                        <w:sz w:val="20"/>
                        <w:szCs w:val="22"/>
                      </w:rPr>
                      <w:fldChar w:fldCharType="separate"/>
                    </w:r>
                    <w:r>
                      <w:rPr>
                        <w:sz w:val="20"/>
                        <w:szCs w:val="22"/>
                      </w:rPr>
                      <w:t>1</w:t>
                    </w:r>
                    <w:r>
                      <w:rPr>
                        <w:sz w:val="20"/>
                        <w:szCs w:val="22"/>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true"/>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6E71FA2"/>
    <w:rsid w:val="3C51ABD8"/>
    <w:rsid w:val="4F579B10"/>
    <w:rsid w:val="4F5B7DC7"/>
    <w:rsid w:val="5BBFE409"/>
    <w:rsid w:val="5BFF3917"/>
    <w:rsid w:val="5DD189CD"/>
    <w:rsid w:val="5F7DDE30"/>
    <w:rsid w:val="5F7E2F6F"/>
    <w:rsid w:val="5F8F3CFD"/>
    <w:rsid w:val="5FFE6CCE"/>
    <w:rsid w:val="5FFF878B"/>
    <w:rsid w:val="6D2B30C1"/>
    <w:rsid w:val="6DBBDCED"/>
    <w:rsid w:val="6DFFBAD3"/>
    <w:rsid w:val="7757240C"/>
    <w:rsid w:val="775DE904"/>
    <w:rsid w:val="777FB6EE"/>
    <w:rsid w:val="77BE8E97"/>
    <w:rsid w:val="791F1F53"/>
    <w:rsid w:val="7A764E1D"/>
    <w:rsid w:val="7BC39391"/>
    <w:rsid w:val="7BFF33F5"/>
    <w:rsid w:val="7DEE2709"/>
    <w:rsid w:val="7DFFAEBE"/>
    <w:rsid w:val="7E54725F"/>
    <w:rsid w:val="7EFE5F73"/>
    <w:rsid w:val="7FB57D07"/>
    <w:rsid w:val="7FF1620C"/>
    <w:rsid w:val="7FFFB1A9"/>
    <w:rsid w:val="96BFD95B"/>
    <w:rsid w:val="977FC62C"/>
    <w:rsid w:val="AFFE5FF4"/>
    <w:rsid w:val="B95F917B"/>
    <w:rsid w:val="BA9AF4E9"/>
    <w:rsid w:val="BF776D14"/>
    <w:rsid w:val="BFDFB6C1"/>
    <w:rsid w:val="CFF738F4"/>
    <w:rsid w:val="D593BE72"/>
    <w:rsid w:val="DB59925C"/>
    <w:rsid w:val="DBFFF3C7"/>
    <w:rsid w:val="DFB7CD72"/>
    <w:rsid w:val="DFFD5DAF"/>
    <w:rsid w:val="E27B26E0"/>
    <w:rsid w:val="E2C69900"/>
    <w:rsid w:val="EBDDB718"/>
    <w:rsid w:val="EC5E6B52"/>
    <w:rsid w:val="ECFFDD7B"/>
    <w:rsid w:val="F0AF2A01"/>
    <w:rsid w:val="F3EF4BB7"/>
    <w:rsid w:val="F3F615D9"/>
    <w:rsid w:val="F75FF1BD"/>
    <w:rsid w:val="F7BDDA8C"/>
    <w:rsid w:val="F7DD5078"/>
    <w:rsid w:val="FAEF2379"/>
    <w:rsid w:val="FBDFB350"/>
    <w:rsid w:val="FBEDA7D3"/>
    <w:rsid w:val="FE732B9E"/>
    <w:rsid w:val="FF66C784"/>
    <w:rsid w:val="FFF70704"/>
    <w:rsid w:val="FFFF8BC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仿宋" w:hAnsi="仿宋" w:eastAsia="仿宋" w:cs="仿宋"/>
      <w:sz w:val="28"/>
      <w:szCs w:val="28"/>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97</Words>
  <Characters>128</Characters>
  <TotalTime>0</TotalTime>
  <ScaleCrop>false</ScaleCrop>
  <LinksUpToDate>false</LinksUpToDate>
  <CharactersWithSpaces>177</CharactersWithSpaces>
  <Application>WPS Office_11.8.2.10125_F1E327BC-269C-435d-A152-05C5408002CA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2025-06-05T10:43:00Z</dcterms:created>
  <dc:creator>whhlyb</dc:creator>
  <cp:lastModifiedBy>fengyanbo</cp:lastModifiedBy>
  <cp:lastPrinted>2025-07-14T19:11:00Z</cp:lastPrinted>
  <dcterms:modified xsi:type="dcterms:W3CDTF">2025-07-15T08:32:53Z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2025-06-13T08:49:46Z</vt:filetime>
  </property>
  <property fmtid="{D5CDD505-2E9C-101B-9397-08002B2CF9AE}" pid="4" name="KSOTemplateDocerSaveRecord">
    <vt:lpwstr>eyJoZGlkIjoiNjViOTIyYmU2MThlNDNiNjBkOWZkZmMwODkwYTRjYjkiLCJ1c2VySWQiOiIyMDExMTIxMzEifQ==</vt:lpwstr>
  </property>
  <property fmtid="{D5CDD505-2E9C-101B-9397-08002B2CF9AE}" pid="5" name="KSOProductBuildVer">
    <vt:lpwstr>2052-11.8.2.10125</vt:lpwstr>
  </property>
  <property fmtid="{D5CDD505-2E9C-101B-9397-08002B2CF9AE}" pid="6" name="ICV">
    <vt:lpwstr>1734D75FC7CD42C6A3638ADF302A6A8A_13</vt:lpwstr>
  </property>
</Properties>
</file>