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A8E3C">
      <w:pPr>
        <w:pStyle w:val="4"/>
        <w:keepNext/>
        <w:keepLines/>
        <w:pageBreakBefore w:val="0"/>
        <w:widowControl w:val="0"/>
        <w:shd w:val="clear" w:color="auto" w:fill="auto"/>
        <w:kinsoku/>
        <w:wordWrap/>
        <w:overflowPunct/>
        <w:topLinePunct w:val="0"/>
        <w:autoSpaceDE/>
        <w:autoSpaceDN/>
        <w:bidi w:val="0"/>
        <w:adjustRightInd/>
        <w:snapToGrid/>
        <w:spacing w:before="0" w:after="180" w:line="520" w:lineRule="exact"/>
        <w:ind w:left="0" w:right="0" w:firstLine="0"/>
        <w:jc w:val="left"/>
        <w:textAlignment w:val="auto"/>
        <w:rPr>
          <w:rFonts w:hint="eastAsia" w:ascii="黑体" w:hAnsi="黑体" w:eastAsia="黑体" w:cs="黑体"/>
          <w:color w:val="000000"/>
          <w:spacing w:val="0"/>
          <w:w w:val="100"/>
          <w:position w:val="0"/>
          <w:sz w:val="32"/>
          <w:szCs w:val="32"/>
          <w:lang w:val="en-US" w:eastAsia="zh-CN"/>
        </w:rPr>
      </w:pPr>
      <w:r>
        <w:rPr>
          <w:rFonts w:hint="eastAsia" w:ascii="黑体" w:hAnsi="黑体" w:eastAsia="黑体" w:cs="黑体"/>
          <w:color w:val="000000"/>
          <w:spacing w:val="0"/>
          <w:w w:val="100"/>
          <w:position w:val="0"/>
          <w:sz w:val="32"/>
          <w:szCs w:val="32"/>
          <w:lang w:val="en-US" w:eastAsia="zh-CN"/>
        </w:rPr>
        <w:t>附件2</w:t>
      </w:r>
    </w:p>
    <w:p w14:paraId="0B8AFDD0">
      <w:pPr>
        <w:pStyle w:val="4"/>
        <w:keepNext/>
        <w:keepLines/>
        <w:pageBreakBefore w:val="0"/>
        <w:widowControl w:val="0"/>
        <w:shd w:val="clear" w:color="auto" w:fill="auto"/>
        <w:kinsoku/>
        <w:wordWrap/>
        <w:overflowPunct/>
        <w:topLinePunct w:val="0"/>
        <w:autoSpaceDE/>
        <w:autoSpaceDN/>
        <w:bidi w:val="0"/>
        <w:adjustRightInd/>
        <w:snapToGrid/>
        <w:spacing w:before="0" w:after="180" w:line="40" w:lineRule="exact"/>
        <w:ind w:left="0" w:right="0" w:firstLine="0"/>
        <w:jc w:val="left"/>
        <w:textAlignment w:val="auto"/>
        <w:rPr>
          <w:rFonts w:hint="eastAsia" w:ascii="黑体" w:hAnsi="黑体" w:eastAsia="黑体" w:cs="黑体"/>
          <w:color w:val="000000"/>
          <w:spacing w:val="0"/>
          <w:w w:val="100"/>
          <w:position w:val="0"/>
          <w:sz w:val="32"/>
          <w:szCs w:val="32"/>
          <w:lang w:val="en-US" w:eastAsia="zh-CN"/>
        </w:rPr>
      </w:pPr>
    </w:p>
    <w:p w14:paraId="017772B7">
      <w:pPr>
        <w:pStyle w:val="4"/>
        <w:keepNext/>
        <w:keepLines/>
        <w:pageBreakBefore w:val="0"/>
        <w:widowControl w:val="0"/>
        <w:shd w:val="clear" w:color="auto" w:fill="auto"/>
        <w:kinsoku/>
        <w:wordWrap/>
        <w:overflowPunct/>
        <w:topLinePunct w:val="0"/>
        <w:autoSpaceDE/>
        <w:autoSpaceDN/>
        <w:bidi w:val="0"/>
        <w:adjustRightInd/>
        <w:snapToGrid/>
        <w:spacing w:before="0" w:after="180" w:line="520" w:lineRule="exact"/>
        <w:ind w:left="0" w:right="0" w:firstLine="0"/>
        <w:jc w:val="center"/>
        <w:textAlignment w:val="auto"/>
        <w:rPr>
          <w:rFonts w:hint="eastAsia" w:ascii="方正小标宋简体" w:eastAsia="方正小标宋简体" w:cs="方正小标宋简体"/>
          <w:color w:val="000000"/>
          <w:spacing w:val="0"/>
          <w:w w:val="100"/>
          <w:position w:val="0"/>
          <w:sz w:val="44"/>
          <w:szCs w:val="44"/>
        </w:rPr>
      </w:pPr>
      <w:r>
        <w:rPr>
          <w:rFonts w:hint="eastAsia" w:ascii="方正小标宋简体" w:eastAsia="方正小标宋简体" w:cs="方正小标宋简体"/>
          <w:color w:val="000000"/>
          <w:spacing w:val="0"/>
          <w:w w:val="100"/>
          <w:position w:val="0"/>
          <w:sz w:val="44"/>
          <w:szCs w:val="44"/>
        </w:rPr>
        <w:t>贵阳市知识产权专项资金使用管理办法</w:t>
      </w:r>
    </w:p>
    <w:p w14:paraId="47FCEFBD">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360" w:lineRule="exact"/>
        <w:ind w:left="0" w:right="0" w:firstLine="578"/>
        <w:jc w:val="both"/>
        <w:textAlignment w:val="auto"/>
        <w:rPr>
          <w:rFonts w:hint="eastAsia" w:ascii="仿宋_GB2312" w:eastAsia="仿宋_GB2312" w:cs="仿宋_GB2312"/>
          <w:color w:val="000000"/>
          <w:spacing w:val="0"/>
          <w:w w:val="100"/>
          <w:position w:val="0"/>
          <w:sz w:val="32"/>
          <w:szCs w:val="32"/>
        </w:rPr>
      </w:pPr>
    </w:p>
    <w:p w14:paraId="40EE9C91">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第一条 为贯彻实施《国务院关于新形势下加快知识产权强国建设的若干意见》，推动知识产权工作，依法、有效管理市级知识产权专项资金（以下简称专项资金），充分发挥专项资金的激励和引导作用，提高财政资金使用效益，提高知识产权保护意识，鼓励发明创造，促进自主创新，根据有关法律法规，结合本市国家知识产权示范城市建设实际，制定本办法。</w:t>
      </w:r>
    </w:p>
    <w:p w14:paraId="09427D33">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第二条 知识产权专项资金是指由市本级财政预算安排专项用于支持我市知识产权事业发展的资金，用于提升我市知识产权创造、运用、保护、 管理和服务能力，由市市场监督管理局（市知识产权局）负责使用管理</w:t>
      </w:r>
      <w:r>
        <w:rPr>
          <w:rFonts w:hint="eastAsia" w:ascii="仿宋_GB2312" w:eastAsia="仿宋_GB2312" w:cs="仿宋_GB2312"/>
          <w:color w:val="000000"/>
          <w:spacing w:val="0"/>
          <w:w w:val="100"/>
          <w:position w:val="0"/>
          <w:sz w:val="32"/>
          <w:szCs w:val="32"/>
          <w:highlight w:val="none"/>
        </w:rPr>
        <w:t>。</w:t>
      </w:r>
      <w:r>
        <w:rPr>
          <w:rFonts w:hint="eastAsia" w:ascii="仿宋_GB2312" w:eastAsia="仿宋_GB2312" w:cs="仿宋_GB2312"/>
          <w:color w:val="000000"/>
          <w:spacing w:val="0"/>
          <w:w w:val="100"/>
          <w:position w:val="0"/>
          <w:sz w:val="32"/>
          <w:szCs w:val="32"/>
        </w:rPr>
        <w:t>并接受同级审计、财政部门的监督。</w:t>
      </w:r>
    </w:p>
    <w:p w14:paraId="2D90D357">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仿宋_GB2312" w:eastAsia="仿宋_GB2312" w:cs="仿宋_GB2312"/>
          <w:color w:val="000000"/>
          <w:spacing w:val="0"/>
          <w:w w:val="100"/>
          <w:position w:val="0"/>
          <w:sz w:val="32"/>
          <w:szCs w:val="32"/>
          <w:lang w:val="en-US" w:eastAsia="zh-CN"/>
        </w:rPr>
      </w:pPr>
      <w:r>
        <w:rPr>
          <w:rFonts w:hint="eastAsia" w:ascii="仿宋_GB2312" w:eastAsia="仿宋_GB2312" w:cs="仿宋_GB2312"/>
          <w:color w:val="000000"/>
          <w:spacing w:val="0"/>
          <w:w w:val="100"/>
          <w:position w:val="0"/>
          <w:sz w:val="32"/>
          <w:szCs w:val="32"/>
        </w:rPr>
        <w:t>第三条</w:t>
      </w:r>
      <w:r>
        <w:rPr>
          <w:rFonts w:hint="eastAsia" w:ascii="仿宋_GB2312" w:eastAsia="仿宋_GB2312" w:cs="仿宋_GB2312"/>
          <w:color w:val="000000"/>
          <w:spacing w:val="0"/>
          <w:w w:val="100"/>
          <w:position w:val="0"/>
          <w:sz w:val="32"/>
          <w:szCs w:val="32"/>
          <w:lang w:val="en-US" w:eastAsia="zh-CN"/>
        </w:rPr>
        <w:t xml:space="preserve"> 申请本办法第五条第（一）项专项资金的支持对象为在本市行政区域内的知识产权权利人。申请第五条第（二）项至第（十四）项项目经费的主体由年度项目申报指南或政府采购文件和相关政策文件确定。</w:t>
      </w:r>
    </w:p>
    <w:p w14:paraId="2BCF2714">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仿宋_GB2312" w:eastAsia="仿宋_GB2312" w:cs="仿宋_GB2312"/>
          <w:color w:val="000000"/>
          <w:spacing w:val="0"/>
          <w:w w:val="100"/>
          <w:position w:val="0"/>
          <w:sz w:val="32"/>
          <w:szCs w:val="32"/>
          <w:highlight w:val="none"/>
        </w:rPr>
      </w:pPr>
      <w:r>
        <w:rPr>
          <w:rFonts w:hint="eastAsia" w:ascii="仿宋_GB2312" w:eastAsia="仿宋_GB2312" w:cs="仿宋_GB2312"/>
          <w:color w:val="000000"/>
          <w:spacing w:val="0"/>
          <w:w w:val="100"/>
          <w:position w:val="0"/>
          <w:sz w:val="32"/>
          <w:szCs w:val="32"/>
        </w:rPr>
        <w:t>第四条 专项资金的管理和使用，坚持公开、公平、公正原则，实行自愿申报、社会公示、科学决策、绩效评价。知识产权的申请、授权、登记、注册等的资助，可简化资助流程。</w:t>
      </w:r>
    </w:p>
    <w:p w14:paraId="797C95C2">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黑体" w:hAnsi="黑体" w:eastAsia="黑体" w:cs="黑体"/>
          <w:color w:val="000000"/>
          <w:spacing w:val="0"/>
          <w:w w:val="100"/>
          <w:position w:val="0"/>
          <w:sz w:val="32"/>
          <w:szCs w:val="32"/>
          <w:highlight w:val="none"/>
          <w:u w:val="single"/>
        </w:rPr>
      </w:pPr>
      <w:r>
        <w:rPr>
          <w:rFonts w:hint="eastAsia" w:ascii="黑体" w:hAnsi="黑体" w:eastAsia="黑体" w:cs="黑体"/>
          <w:color w:val="000000"/>
          <w:spacing w:val="0"/>
          <w:w w:val="100"/>
          <w:position w:val="0"/>
          <w:sz w:val="32"/>
          <w:szCs w:val="32"/>
          <w:highlight w:val="none"/>
          <w:u w:val="single"/>
        </w:rPr>
        <w:t>本办法所资助的各类项目，具体以每年发布的申报指南为准。</w:t>
      </w:r>
    </w:p>
    <w:p w14:paraId="77A5F34A">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黑体" w:hAnsi="黑体" w:eastAsia="黑体" w:cs="黑体"/>
          <w:color w:val="000000"/>
          <w:spacing w:val="0"/>
          <w:w w:val="100"/>
          <w:position w:val="0"/>
          <w:sz w:val="32"/>
          <w:szCs w:val="32"/>
          <w:highlight w:val="none"/>
          <w:u w:val="single"/>
        </w:rPr>
      </w:pPr>
      <w:r>
        <w:rPr>
          <w:rFonts w:hint="eastAsia" w:ascii="黑体" w:hAnsi="黑体" w:eastAsia="黑体" w:cs="黑体"/>
          <w:color w:val="000000"/>
          <w:spacing w:val="0"/>
          <w:w w:val="100"/>
          <w:position w:val="0"/>
          <w:sz w:val="32"/>
          <w:szCs w:val="32"/>
          <w:highlight w:val="none"/>
          <w:u w:val="single"/>
        </w:rPr>
        <w:t>后补助类项目，由市市场监管局（市知识产权局）制定通知，申报单位按要求提交材料，经区（市、县）市市场监管局（市知识产权局）推荐、市市场监管局（市知识产权局）组织审查、社会公示后下达项目补助通知并拨付补助资金。其中，市市场监管局（市知识产权局）根据项目类型不同，可采取专家评审、财务审计等方式组织审查。</w:t>
      </w:r>
    </w:p>
    <w:p w14:paraId="4E4EE083">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黑体" w:hAnsi="黑体" w:eastAsia="黑体" w:cs="黑体"/>
          <w:color w:val="000000"/>
          <w:spacing w:val="0"/>
          <w:w w:val="100"/>
          <w:position w:val="0"/>
          <w:sz w:val="32"/>
          <w:szCs w:val="32"/>
          <w:highlight w:val="none"/>
          <w:u w:val="single"/>
        </w:rPr>
      </w:pPr>
      <w:r>
        <w:rPr>
          <w:rFonts w:hint="eastAsia" w:ascii="黑体" w:hAnsi="黑体" w:eastAsia="黑体" w:cs="黑体"/>
          <w:color w:val="000000"/>
          <w:spacing w:val="0"/>
          <w:w w:val="100"/>
          <w:position w:val="0"/>
          <w:sz w:val="32"/>
          <w:szCs w:val="32"/>
          <w:highlight w:val="none"/>
          <w:u w:val="single"/>
        </w:rPr>
        <w:t>前补助包含但不限于：高价值核心专利培育、导航、预警、分析评议、知识产权战略类研究、知识产权运用促进类研究、知识产权保护类研究、地理标志产业化、县域(园区)经济知识产权战略推进工程、“一事一议”等不适宜后补助方式实施的项目,项目资金支付比例，按项目申报指南(通知)、项目任务书或政府采购规定办理。</w:t>
      </w:r>
    </w:p>
    <w:p w14:paraId="504F7C51">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黑体" w:hAnsi="黑体" w:eastAsia="黑体" w:cs="黑体"/>
          <w:color w:val="000000"/>
          <w:spacing w:val="0"/>
          <w:w w:val="100"/>
          <w:position w:val="0"/>
          <w:sz w:val="32"/>
          <w:szCs w:val="32"/>
          <w:highlight w:val="none"/>
          <w:u w:val="single"/>
        </w:rPr>
      </w:pPr>
      <w:r>
        <w:rPr>
          <w:rFonts w:hint="eastAsia" w:ascii="黑体" w:hAnsi="黑体" w:eastAsia="黑体" w:cs="黑体"/>
          <w:color w:val="000000"/>
          <w:spacing w:val="0"/>
          <w:w w:val="100"/>
          <w:position w:val="0"/>
          <w:sz w:val="32"/>
          <w:szCs w:val="32"/>
          <w:highlight w:val="none"/>
          <w:u w:val="single"/>
        </w:rPr>
        <w:t>后补助包含但不限于：一般资助、驰名商标补助、知识产权质押贴息补助、市知识产权优势企业、市知识产权示范企业、首次通过贯标的创新主体、开展专利转化实施的创新主体、国家和省专利奖、国家知识产权试点示范园区及强县工程试点示范县（区)、商标品牌指导站（点）、知识产权维权援助工作站（点）、知识产权托管服务、发展报告、规划编制、专利技术信息分析、知识产权运营平台建设、高价值专利培育、举报费、国家知识产权试点高校、全国中小学知识产权教育试点学校等国家级项目、贵阳市中小学知识产权教育试点项目、知识产权证券化资助。</w:t>
      </w:r>
    </w:p>
    <w:p w14:paraId="07DCBCCA">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黑体" w:hAnsi="黑体" w:eastAsia="黑体" w:cs="黑体"/>
          <w:color w:val="000000"/>
          <w:spacing w:val="0"/>
          <w:w w:val="100"/>
          <w:position w:val="0"/>
          <w:sz w:val="32"/>
          <w:szCs w:val="32"/>
          <w:highlight w:val="none"/>
          <w:u w:val="single"/>
        </w:rPr>
      </w:pPr>
      <w:r>
        <w:rPr>
          <w:rFonts w:hint="eastAsia" w:ascii="黑体" w:hAnsi="黑体" w:eastAsia="黑体" w:cs="黑体"/>
          <w:color w:val="000000"/>
          <w:spacing w:val="0"/>
          <w:w w:val="100"/>
          <w:position w:val="0"/>
          <w:sz w:val="32"/>
          <w:szCs w:val="32"/>
          <w:highlight w:val="none"/>
          <w:u w:val="single"/>
          <w:lang w:val="en-US" w:eastAsia="zh-CN"/>
        </w:rPr>
        <w:t>项目资金支付比例，</w:t>
      </w:r>
      <w:r>
        <w:rPr>
          <w:rFonts w:hint="eastAsia" w:ascii="黑体" w:hAnsi="黑体" w:eastAsia="黑体" w:cs="黑体"/>
          <w:color w:val="000000"/>
          <w:spacing w:val="0"/>
          <w:w w:val="100"/>
          <w:position w:val="0"/>
          <w:sz w:val="32"/>
          <w:szCs w:val="32"/>
          <w:highlight w:val="none"/>
          <w:u w:val="single"/>
        </w:rPr>
        <w:t>按项目申报指南(通知)规定</w:t>
      </w:r>
      <w:r>
        <w:rPr>
          <w:rFonts w:hint="eastAsia" w:ascii="黑体" w:hAnsi="黑体" w:eastAsia="黑体" w:cs="黑体"/>
          <w:color w:val="000000"/>
          <w:spacing w:val="0"/>
          <w:w w:val="100"/>
          <w:position w:val="0"/>
          <w:sz w:val="32"/>
          <w:szCs w:val="32"/>
          <w:highlight w:val="none"/>
          <w:u w:val="single"/>
          <w:lang w:val="en-US" w:eastAsia="zh-CN"/>
        </w:rPr>
        <w:t>执行</w:t>
      </w:r>
      <w:r>
        <w:rPr>
          <w:rFonts w:hint="eastAsia" w:ascii="黑体" w:hAnsi="黑体" w:eastAsia="黑体" w:cs="黑体"/>
          <w:color w:val="000000"/>
          <w:spacing w:val="0"/>
          <w:w w:val="100"/>
          <w:position w:val="0"/>
          <w:sz w:val="32"/>
          <w:szCs w:val="32"/>
          <w:highlight w:val="none"/>
          <w:u w:val="single"/>
        </w:rPr>
        <w:t>。</w:t>
      </w:r>
    </w:p>
    <w:p w14:paraId="315A79F5">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黑体" w:hAnsi="黑体" w:eastAsia="黑体" w:cs="黑体"/>
          <w:color w:val="000000"/>
          <w:spacing w:val="0"/>
          <w:w w:val="100"/>
          <w:position w:val="0"/>
          <w:sz w:val="32"/>
          <w:szCs w:val="32"/>
          <w:highlight w:val="none"/>
        </w:rPr>
      </w:pPr>
      <w:r>
        <w:rPr>
          <w:rFonts w:hint="eastAsia" w:ascii="黑体" w:hAnsi="黑体" w:eastAsia="黑体" w:cs="黑体"/>
          <w:color w:val="000000"/>
          <w:spacing w:val="0"/>
          <w:w w:val="100"/>
          <w:position w:val="0"/>
          <w:sz w:val="32"/>
          <w:szCs w:val="32"/>
          <w:highlight w:val="none"/>
          <w:u w:val="single"/>
        </w:rPr>
        <w:t>采用政府购买服务方式的申请和审批流程，按照相关规定执行。</w:t>
      </w:r>
    </w:p>
    <w:p w14:paraId="4DC578E5">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8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第五条</w:t>
      </w:r>
      <w:r>
        <w:rPr>
          <w:rFonts w:hint="eastAsia" w:ascii="仿宋_GB2312" w:eastAsia="仿宋_GB2312" w:cs="仿宋_GB2312"/>
          <w:color w:val="000000"/>
          <w:spacing w:val="0"/>
          <w:w w:val="100"/>
          <w:position w:val="0"/>
          <w:sz w:val="32"/>
          <w:szCs w:val="32"/>
          <w:lang w:val="en-US" w:eastAsia="zh-CN"/>
        </w:rPr>
        <w:t xml:space="preserve"> </w:t>
      </w:r>
      <w:r>
        <w:rPr>
          <w:rFonts w:hint="eastAsia" w:ascii="仿宋_GB2312" w:eastAsia="仿宋_GB2312" w:cs="仿宋_GB2312"/>
          <w:color w:val="000000"/>
          <w:spacing w:val="0"/>
          <w:w w:val="100"/>
          <w:position w:val="0"/>
          <w:sz w:val="32"/>
          <w:szCs w:val="32"/>
        </w:rPr>
        <w:t>专项资金主要用于以下方面：</w:t>
      </w:r>
    </w:p>
    <w:p w14:paraId="3E7093FB">
      <w:pPr>
        <w:pStyle w:val="5"/>
        <w:keepNext w:val="0"/>
        <w:keepLines w:val="0"/>
        <w:pageBreakBefore w:val="0"/>
        <w:widowControl w:val="0"/>
        <w:shd w:val="clear" w:color="auto" w:fill="auto"/>
        <w:tabs>
          <w:tab w:val="left" w:pos="1456"/>
        </w:tabs>
        <w:kinsoku/>
        <w:wordWrap/>
        <w:overflowPunct/>
        <w:topLinePunct w:val="0"/>
        <w:autoSpaceDE/>
        <w:autoSpaceDN/>
        <w:bidi w:val="0"/>
        <w:adjustRightInd/>
        <w:snapToGrid/>
        <w:spacing w:before="0" w:line="560" w:lineRule="exact"/>
        <w:ind w:left="0" w:right="0" w:firstLine="700"/>
        <w:jc w:val="both"/>
        <w:textAlignment w:val="auto"/>
        <w:rPr>
          <w:rFonts w:hint="eastAsia" w:ascii="仿宋_GB2312" w:eastAsia="仿宋_GB2312" w:cs="仿宋_GB2312"/>
          <w:color w:val="000000"/>
          <w:sz w:val="32"/>
          <w:szCs w:val="32"/>
        </w:rPr>
      </w:pPr>
      <w:bookmarkStart w:id="0" w:name="bookmark71"/>
      <w:r>
        <w:rPr>
          <w:rFonts w:hint="eastAsia" w:ascii="仿宋_GB2312" w:eastAsia="仿宋_GB2312" w:cs="仿宋_GB2312"/>
          <w:color w:val="000000"/>
          <w:spacing w:val="0"/>
          <w:w w:val="100"/>
          <w:position w:val="0"/>
          <w:sz w:val="32"/>
          <w:szCs w:val="32"/>
        </w:rPr>
        <w:t>（</w:t>
      </w:r>
      <w:bookmarkEnd w:id="0"/>
      <w:r>
        <w:rPr>
          <w:rFonts w:hint="eastAsia" w:ascii="仿宋_GB2312" w:eastAsia="仿宋_GB2312" w:cs="仿宋_GB2312"/>
          <w:color w:val="000000"/>
          <w:spacing w:val="0"/>
          <w:w w:val="100"/>
          <w:position w:val="0"/>
          <w:sz w:val="32"/>
          <w:szCs w:val="32"/>
          <w:lang w:eastAsia="zh-CN"/>
        </w:rPr>
        <w:t>一</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对集成电路布图设计</w:t>
      </w:r>
      <w:r>
        <w:rPr>
          <w:rFonts w:hint="eastAsia" w:ascii="仿宋_GB2312" w:eastAsia="仿宋_GB2312" w:cs="仿宋_GB2312"/>
          <w:color w:val="000000"/>
          <w:spacing w:val="0"/>
          <w:w w:val="100"/>
          <w:position w:val="0"/>
          <w:sz w:val="32"/>
          <w:szCs w:val="32"/>
          <w:lang w:eastAsia="zh-CN"/>
        </w:rPr>
        <w:t>，</w:t>
      </w:r>
      <w:r>
        <w:rPr>
          <w:rFonts w:hint="eastAsia" w:ascii="仿宋_GB2312" w:eastAsia="仿宋_GB2312" w:cs="仿宋_GB2312"/>
          <w:color w:val="000000"/>
          <w:spacing w:val="0"/>
          <w:w w:val="100"/>
          <w:position w:val="0"/>
          <w:sz w:val="32"/>
          <w:szCs w:val="32"/>
        </w:rPr>
        <w:t>地理标志注册</w:t>
      </w:r>
      <w:r>
        <w:rPr>
          <w:rFonts w:hint="eastAsia" w:ascii="仿宋_GB2312" w:eastAsia="仿宋_GB2312" w:cs="仿宋_GB2312"/>
          <w:color w:val="000000"/>
          <w:spacing w:val="0"/>
          <w:w w:val="100"/>
          <w:position w:val="0"/>
          <w:sz w:val="32"/>
          <w:szCs w:val="32"/>
          <w:lang w:eastAsia="zh-CN"/>
        </w:rPr>
        <w:t>（批准登记）、</w:t>
      </w:r>
      <w:r>
        <w:rPr>
          <w:rFonts w:hint="eastAsia" w:ascii="仿宋_GB2312" w:eastAsia="仿宋_GB2312" w:cs="仿宋_GB2312"/>
          <w:color w:val="000000"/>
          <w:spacing w:val="0"/>
          <w:w w:val="100"/>
          <w:position w:val="0"/>
          <w:sz w:val="32"/>
          <w:szCs w:val="32"/>
          <w:lang w:val="en-US" w:eastAsia="zh-CN"/>
        </w:rPr>
        <w:t>使用</w:t>
      </w:r>
      <w:r>
        <w:rPr>
          <w:rFonts w:hint="eastAsia" w:ascii="仿宋_GB2312" w:eastAsia="仿宋_GB2312" w:cs="仿宋_GB2312"/>
          <w:color w:val="000000"/>
          <w:spacing w:val="0"/>
          <w:w w:val="100"/>
          <w:position w:val="0"/>
          <w:sz w:val="32"/>
          <w:szCs w:val="32"/>
        </w:rPr>
        <w:t>申请（登记）</w:t>
      </w:r>
      <w:r>
        <w:rPr>
          <w:rFonts w:hint="eastAsia" w:ascii="仿宋_GB2312" w:eastAsia="仿宋_GB2312" w:cs="仿宋_GB2312"/>
          <w:color w:val="000000"/>
          <w:spacing w:val="0"/>
          <w:w w:val="100"/>
          <w:position w:val="0"/>
          <w:sz w:val="32"/>
          <w:szCs w:val="32"/>
          <w:lang w:val="en-US" w:eastAsia="zh-CN"/>
        </w:rPr>
        <w:t>和驰名商标</w:t>
      </w:r>
      <w:r>
        <w:rPr>
          <w:rFonts w:hint="eastAsia" w:ascii="仿宋_GB2312" w:eastAsia="仿宋_GB2312" w:cs="仿宋_GB2312"/>
          <w:color w:val="000000"/>
          <w:spacing w:val="0"/>
          <w:w w:val="100"/>
          <w:position w:val="0"/>
          <w:sz w:val="32"/>
          <w:szCs w:val="32"/>
        </w:rPr>
        <w:t>的资助。</w:t>
      </w:r>
    </w:p>
    <w:p w14:paraId="5067DB65">
      <w:pPr>
        <w:pStyle w:val="5"/>
        <w:keepNext w:val="0"/>
        <w:keepLines w:val="0"/>
        <w:pageBreakBefore w:val="0"/>
        <w:widowControl w:val="0"/>
        <w:shd w:val="clear" w:color="auto" w:fill="auto"/>
        <w:tabs>
          <w:tab w:val="left" w:pos="1469"/>
        </w:tabs>
        <w:kinsoku/>
        <w:wordWrap/>
        <w:overflowPunct/>
        <w:topLinePunct w:val="0"/>
        <w:autoSpaceDE/>
        <w:autoSpaceDN/>
        <w:bidi w:val="0"/>
        <w:adjustRightInd/>
        <w:snapToGrid/>
        <w:spacing w:before="0" w:line="560" w:lineRule="exact"/>
        <w:ind w:left="0" w:right="0" w:firstLine="700"/>
        <w:jc w:val="both"/>
        <w:textAlignment w:val="auto"/>
        <w:rPr>
          <w:rFonts w:hint="eastAsia" w:ascii="仿宋_GB2312" w:eastAsia="仿宋_GB2312" w:cs="仿宋_GB2312"/>
          <w:color w:val="000000"/>
          <w:sz w:val="32"/>
          <w:szCs w:val="32"/>
        </w:rPr>
      </w:pPr>
      <w:bookmarkStart w:id="1" w:name="bookmark72"/>
      <w:r>
        <w:rPr>
          <w:rFonts w:hint="eastAsia" w:ascii="仿宋_GB2312" w:eastAsia="仿宋_GB2312" w:cs="仿宋_GB2312"/>
          <w:color w:val="000000"/>
          <w:spacing w:val="0"/>
          <w:w w:val="100"/>
          <w:position w:val="0"/>
          <w:sz w:val="32"/>
          <w:szCs w:val="32"/>
        </w:rPr>
        <w:t>（</w:t>
      </w:r>
      <w:bookmarkEnd w:id="1"/>
      <w:r>
        <w:rPr>
          <w:rFonts w:hint="eastAsia" w:ascii="仿宋_GB2312" w:eastAsia="仿宋_GB2312" w:cs="仿宋_GB2312"/>
          <w:color w:val="000000"/>
          <w:spacing w:val="0"/>
          <w:w w:val="100"/>
          <w:position w:val="0"/>
          <w:sz w:val="32"/>
          <w:szCs w:val="32"/>
          <w:lang w:eastAsia="zh-CN"/>
        </w:rPr>
        <w:t>二</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lang w:val="en-US" w:eastAsia="zh-CN"/>
        </w:rPr>
        <w:t>用于知识产权公共服务</w:t>
      </w:r>
      <w:r>
        <w:rPr>
          <w:rFonts w:hint="eastAsia" w:ascii="仿宋_GB2312" w:eastAsia="仿宋_GB2312" w:cs="仿宋_GB2312"/>
          <w:color w:val="000000"/>
          <w:spacing w:val="0"/>
          <w:w w:val="100"/>
          <w:position w:val="0"/>
          <w:sz w:val="32"/>
          <w:szCs w:val="32"/>
        </w:rPr>
        <w:t>。</w:t>
      </w:r>
    </w:p>
    <w:p w14:paraId="7D38BED2">
      <w:pPr>
        <w:pStyle w:val="5"/>
        <w:keepNext w:val="0"/>
        <w:keepLines w:val="0"/>
        <w:pageBreakBefore w:val="0"/>
        <w:widowControl w:val="0"/>
        <w:shd w:val="clear" w:color="auto" w:fill="auto"/>
        <w:tabs>
          <w:tab w:val="left" w:pos="1442"/>
        </w:tabs>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bookmarkStart w:id="2" w:name="bookmark73"/>
      <w:r>
        <w:rPr>
          <w:rFonts w:hint="eastAsia" w:ascii="仿宋_GB2312" w:eastAsia="仿宋_GB2312" w:cs="仿宋_GB2312"/>
          <w:color w:val="000000"/>
          <w:spacing w:val="0"/>
          <w:w w:val="100"/>
          <w:position w:val="0"/>
          <w:sz w:val="32"/>
          <w:szCs w:val="32"/>
        </w:rPr>
        <w:t>（</w:t>
      </w:r>
      <w:bookmarkEnd w:id="2"/>
      <w:r>
        <w:rPr>
          <w:rFonts w:hint="eastAsia" w:ascii="仿宋_GB2312" w:eastAsia="仿宋_GB2312" w:cs="仿宋_GB2312"/>
          <w:color w:val="000000"/>
          <w:spacing w:val="0"/>
          <w:w w:val="100"/>
          <w:position w:val="0"/>
          <w:sz w:val="32"/>
          <w:szCs w:val="32"/>
          <w:lang w:eastAsia="zh-CN"/>
        </w:rPr>
        <w:t>三</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用于企事业单位知识产权试点</w:t>
      </w:r>
      <w:r>
        <w:rPr>
          <w:rFonts w:hint="eastAsia" w:ascii="仿宋_GB2312" w:eastAsia="仿宋_GB2312" w:cs="仿宋_GB2312"/>
          <w:color w:val="000000"/>
          <w:spacing w:val="0"/>
          <w:w w:val="100"/>
          <w:position w:val="0"/>
          <w:sz w:val="32"/>
          <w:szCs w:val="32"/>
          <w:lang w:eastAsia="zh-CN"/>
        </w:rPr>
        <w:t>、</w:t>
      </w:r>
      <w:r>
        <w:rPr>
          <w:rFonts w:hint="eastAsia" w:ascii="仿宋_GB2312" w:eastAsia="仿宋_GB2312" w:cs="仿宋_GB2312"/>
          <w:color w:val="000000"/>
          <w:spacing w:val="0"/>
          <w:w w:val="100"/>
          <w:position w:val="0"/>
          <w:sz w:val="32"/>
          <w:szCs w:val="32"/>
        </w:rPr>
        <w:t>示范工作、知识产权优势企业培育工作和推行企业知识产权管理标准化工作。</w:t>
      </w:r>
    </w:p>
    <w:p w14:paraId="46F47FCF">
      <w:pPr>
        <w:pStyle w:val="5"/>
        <w:keepNext w:val="0"/>
        <w:keepLines w:val="0"/>
        <w:pageBreakBefore w:val="0"/>
        <w:widowControl w:val="0"/>
        <w:shd w:val="clear" w:color="auto" w:fill="auto"/>
        <w:tabs>
          <w:tab w:val="left" w:pos="1438"/>
        </w:tabs>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bookmarkStart w:id="3" w:name="bookmark74"/>
      <w:r>
        <w:rPr>
          <w:rFonts w:hint="eastAsia" w:ascii="仿宋_GB2312" w:eastAsia="仿宋_GB2312" w:cs="仿宋_GB2312"/>
          <w:color w:val="000000"/>
          <w:spacing w:val="0"/>
          <w:w w:val="100"/>
          <w:position w:val="0"/>
          <w:sz w:val="32"/>
          <w:szCs w:val="32"/>
        </w:rPr>
        <w:t>（</w:t>
      </w:r>
      <w:bookmarkEnd w:id="3"/>
      <w:r>
        <w:rPr>
          <w:rFonts w:hint="eastAsia" w:ascii="仿宋_GB2312" w:eastAsia="仿宋_GB2312" w:cs="仿宋_GB2312"/>
          <w:color w:val="000000"/>
          <w:spacing w:val="0"/>
          <w:w w:val="100"/>
          <w:position w:val="0"/>
          <w:sz w:val="32"/>
          <w:szCs w:val="32"/>
          <w:lang w:eastAsia="zh-CN"/>
        </w:rPr>
        <w:t>四</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对知识产权工作积极、能力突出的企事业单位（含学校）的资助。</w:t>
      </w:r>
    </w:p>
    <w:p w14:paraId="728435F2">
      <w:pPr>
        <w:pStyle w:val="5"/>
        <w:keepNext w:val="0"/>
        <w:keepLines w:val="0"/>
        <w:pageBreakBefore w:val="0"/>
        <w:widowControl w:val="0"/>
        <w:shd w:val="clear" w:color="auto" w:fill="auto"/>
        <w:tabs>
          <w:tab w:val="left" w:pos="1405"/>
        </w:tabs>
        <w:kinsoku/>
        <w:wordWrap/>
        <w:overflowPunct/>
        <w:topLinePunct w:val="0"/>
        <w:autoSpaceDE/>
        <w:autoSpaceDN/>
        <w:bidi w:val="0"/>
        <w:adjustRightInd/>
        <w:snapToGrid/>
        <w:spacing w:before="0" w:line="560" w:lineRule="exact"/>
        <w:ind w:left="0" w:right="0" w:firstLine="640"/>
        <w:jc w:val="left"/>
        <w:textAlignment w:val="auto"/>
        <w:rPr>
          <w:rFonts w:hint="eastAsia" w:ascii="仿宋_GB2312" w:eastAsia="仿宋_GB2312" w:cs="仿宋_GB2312"/>
          <w:color w:val="000000"/>
          <w:sz w:val="32"/>
          <w:szCs w:val="32"/>
        </w:rPr>
      </w:pPr>
      <w:bookmarkStart w:id="4" w:name="bookmark75"/>
      <w:r>
        <w:rPr>
          <w:rFonts w:hint="eastAsia" w:ascii="仿宋_GB2312" w:eastAsia="仿宋_GB2312" w:cs="仿宋_GB2312"/>
          <w:color w:val="000000"/>
          <w:spacing w:val="0"/>
          <w:w w:val="100"/>
          <w:position w:val="0"/>
          <w:sz w:val="32"/>
          <w:szCs w:val="32"/>
        </w:rPr>
        <w:t>（</w:t>
      </w:r>
      <w:bookmarkEnd w:id="4"/>
      <w:r>
        <w:rPr>
          <w:rFonts w:hint="eastAsia" w:ascii="仿宋_GB2312" w:eastAsia="仿宋_GB2312" w:cs="仿宋_GB2312"/>
          <w:color w:val="000000"/>
          <w:spacing w:val="0"/>
          <w:w w:val="100"/>
          <w:position w:val="0"/>
          <w:sz w:val="32"/>
          <w:szCs w:val="32"/>
          <w:lang w:eastAsia="zh-CN"/>
        </w:rPr>
        <w:t>五</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对专利权价值评估、法律确认、质押登记等中介费用的资助。</w:t>
      </w:r>
    </w:p>
    <w:p w14:paraId="05CC5C91">
      <w:pPr>
        <w:pStyle w:val="5"/>
        <w:keepNext w:val="0"/>
        <w:keepLines w:val="0"/>
        <w:pageBreakBefore w:val="0"/>
        <w:widowControl w:val="0"/>
        <w:shd w:val="clear" w:color="auto" w:fill="auto"/>
        <w:tabs>
          <w:tab w:val="left" w:pos="1431"/>
        </w:tabs>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bookmarkStart w:id="5" w:name="bookmark76"/>
      <w:r>
        <w:rPr>
          <w:rFonts w:hint="eastAsia" w:ascii="仿宋_GB2312" w:eastAsia="仿宋_GB2312" w:cs="仿宋_GB2312"/>
          <w:color w:val="000000"/>
          <w:spacing w:val="0"/>
          <w:w w:val="100"/>
          <w:position w:val="0"/>
          <w:sz w:val="32"/>
          <w:szCs w:val="32"/>
        </w:rPr>
        <w:t>（</w:t>
      </w:r>
      <w:bookmarkEnd w:id="5"/>
      <w:r>
        <w:rPr>
          <w:rFonts w:hint="eastAsia" w:ascii="仿宋_GB2312" w:eastAsia="仿宋_GB2312" w:cs="仿宋_GB2312"/>
          <w:color w:val="000000"/>
          <w:spacing w:val="0"/>
          <w:w w:val="100"/>
          <w:position w:val="0"/>
          <w:sz w:val="32"/>
          <w:szCs w:val="32"/>
          <w:lang w:eastAsia="zh-CN"/>
        </w:rPr>
        <w:t>六</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对开展知识产权托管、专利转移转化、专利技术交易、专利信息利用、分析评议、质押融资、贷款贴息、专利保险</w:t>
      </w:r>
      <w:r>
        <w:rPr>
          <w:rFonts w:hint="eastAsia" w:ascii="仿宋_GB2312" w:eastAsia="仿宋_GB2312" w:cs="仿宋_GB2312"/>
          <w:color w:val="000000"/>
          <w:spacing w:val="0"/>
          <w:w w:val="100"/>
          <w:position w:val="0"/>
          <w:sz w:val="32"/>
          <w:szCs w:val="32"/>
          <w:lang w:eastAsia="zh-CN"/>
        </w:rPr>
        <w:t>、知识产权证券化</w:t>
      </w:r>
      <w:r>
        <w:rPr>
          <w:rFonts w:hint="eastAsia" w:ascii="仿宋_GB2312" w:eastAsia="仿宋_GB2312" w:cs="仿宋_GB2312"/>
          <w:color w:val="000000"/>
          <w:spacing w:val="0"/>
          <w:w w:val="100"/>
          <w:position w:val="0"/>
          <w:sz w:val="32"/>
          <w:szCs w:val="32"/>
        </w:rPr>
        <w:t>等的资助。</w:t>
      </w:r>
    </w:p>
    <w:p w14:paraId="292330AC">
      <w:pPr>
        <w:pStyle w:val="5"/>
        <w:keepNext w:val="0"/>
        <w:keepLines w:val="0"/>
        <w:pageBreakBefore w:val="0"/>
        <w:widowControl w:val="0"/>
        <w:shd w:val="clear" w:color="auto" w:fill="auto"/>
        <w:tabs>
          <w:tab w:val="left" w:pos="1446"/>
        </w:tabs>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bookmarkStart w:id="6" w:name="bookmark77"/>
      <w:r>
        <w:rPr>
          <w:rFonts w:hint="eastAsia" w:ascii="仿宋_GB2312" w:eastAsia="仿宋_GB2312" w:cs="仿宋_GB2312"/>
          <w:color w:val="000000"/>
          <w:spacing w:val="0"/>
          <w:w w:val="100"/>
          <w:position w:val="0"/>
          <w:sz w:val="32"/>
          <w:szCs w:val="32"/>
        </w:rPr>
        <w:t>（</w:t>
      </w:r>
      <w:bookmarkEnd w:id="6"/>
      <w:r>
        <w:rPr>
          <w:rFonts w:hint="eastAsia" w:ascii="仿宋_GB2312" w:eastAsia="仿宋_GB2312" w:cs="仿宋_GB2312"/>
          <w:color w:val="000000"/>
          <w:spacing w:val="0"/>
          <w:w w:val="100"/>
          <w:position w:val="0"/>
          <w:sz w:val="32"/>
          <w:szCs w:val="32"/>
          <w:lang w:eastAsia="zh-CN"/>
        </w:rPr>
        <w:t>七</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对获得国家、省专利奖单位及个人的资助，对新认定的国家、省知识产权示范单位</w:t>
      </w:r>
      <w:r>
        <w:rPr>
          <w:rFonts w:hint="eastAsia" w:ascii="仿宋_GB2312" w:eastAsia="仿宋_GB2312" w:cs="仿宋_GB2312"/>
          <w:color w:val="000000"/>
          <w:spacing w:val="0"/>
          <w:w w:val="100"/>
          <w:position w:val="0"/>
          <w:sz w:val="32"/>
          <w:szCs w:val="32"/>
          <w:lang w:eastAsia="zh-CN"/>
        </w:rPr>
        <w:t>，</w:t>
      </w:r>
      <w:r>
        <w:rPr>
          <w:rFonts w:hint="eastAsia" w:ascii="仿宋_GB2312" w:eastAsia="仿宋_GB2312" w:cs="仿宋_GB2312"/>
          <w:color w:val="000000"/>
          <w:spacing w:val="0"/>
          <w:w w:val="100"/>
          <w:position w:val="0"/>
          <w:sz w:val="32"/>
          <w:szCs w:val="32"/>
          <w:lang w:val="en-US" w:eastAsia="zh-CN"/>
        </w:rPr>
        <w:t>对</w:t>
      </w:r>
      <w:r>
        <w:rPr>
          <w:rFonts w:hint="eastAsia" w:ascii="仿宋_GB2312" w:eastAsia="仿宋_GB2312" w:cs="仿宋_GB2312"/>
          <w:color w:val="000000"/>
          <w:sz w:val="32"/>
          <w:szCs w:val="32"/>
        </w:rPr>
        <w:t>新获得批准的国家知识产权试点高校</w:t>
      </w:r>
      <w:r>
        <w:rPr>
          <w:rFonts w:hint="eastAsia" w:ascii="仿宋_GB2312" w:eastAsia="仿宋_GB2312" w:cs="仿宋_GB2312"/>
          <w:color w:val="000000"/>
          <w:sz w:val="32"/>
          <w:szCs w:val="32"/>
          <w:lang w:val="en-US" w:eastAsia="zh-CN"/>
        </w:rPr>
        <w:t>和</w:t>
      </w:r>
      <w:r>
        <w:rPr>
          <w:rFonts w:hint="eastAsia" w:ascii="仿宋_GB2312" w:eastAsia="仿宋_GB2312" w:cs="仿宋_GB2312"/>
          <w:color w:val="000000"/>
          <w:sz w:val="32"/>
          <w:szCs w:val="32"/>
        </w:rPr>
        <w:t>全国中小学知识产权教育试点</w:t>
      </w:r>
      <w:r>
        <w:rPr>
          <w:rFonts w:hint="eastAsia" w:ascii="仿宋_GB2312" w:eastAsia="仿宋_GB2312" w:cs="仿宋_GB2312"/>
          <w:color w:val="000000"/>
          <w:sz w:val="32"/>
          <w:szCs w:val="32"/>
          <w:lang w:eastAsia="zh-CN"/>
        </w:rPr>
        <w:t>示范</w:t>
      </w:r>
      <w:r>
        <w:rPr>
          <w:rFonts w:hint="eastAsia" w:ascii="仿宋_GB2312" w:eastAsia="仿宋_GB2312" w:cs="仿宋_GB2312"/>
          <w:color w:val="000000"/>
          <w:sz w:val="32"/>
          <w:szCs w:val="32"/>
        </w:rPr>
        <w:t>学校</w:t>
      </w:r>
      <w:r>
        <w:rPr>
          <w:rFonts w:hint="eastAsia" w:ascii="仿宋_GB2312" w:eastAsia="仿宋_GB2312" w:cs="仿宋_GB2312"/>
          <w:color w:val="000000"/>
          <w:spacing w:val="0"/>
          <w:w w:val="100"/>
          <w:position w:val="0"/>
          <w:sz w:val="32"/>
          <w:szCs w:val="32"/>
        </w:rPr>
        <w:t>的资助。</w:t>
      </w:r>
    </w:p>
    <w:p w14:paraId="76BB3B18">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八）用于推进中小微企业知识产权战略工作及知识产权密集型产业培育工作、知识产权试点示范园区建设工作、知识产权战略研究、知识产权导航、知识产权预警、地理标志及品牌的发展与运用、县域经济知识产权战略推进工程、高价值专利项目、贵阳市知识产权信息公共服务平台、知识产权优势产业集聚区、服务业集聚区建设工作以及市委、市政府或上级主管部门确定需要支持推进的工作。</w:t>
      </w:r>
    </w:p>
    <w:p w14:paraId="40F421CC">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lang w:eastAsia="zh-CN"/>
        </w:rPr>
        <w:t>九</w:t>
      </w:r>
      <w:r>
        <w:rPr>
          <w:rFonts w:hint="eastAsia" w:ascii="仿宋_GB2312" w:eastAsia="仿宋_GB2312" w:cs="仿宋_GB2312"/>
          <w:color w:val="000000"/>
          <w:spacing w:val="0"/>
          <w:w w:val="100"/>
          <w:position w:val="0"/>
          <w:sz w:val="32"/>
          <w:szCs w:val="32"/>
        </w:rPr>
        <w:t>）用于知识产权规划制定和研究工作。</w:t>
      </w:r>
    </w:p>
    <w:p w14:paraId="5CD7E815">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（十）用于</w:t>
      </w:r>
      <w:r>
        <w:rPr>
          <w:rFonts w:hint="eastAsia" w:ascii="仿宋_GB2312" w:eastAsia="仿宋_GB2312" w:cs="仿宋_GB2312"/>
          <w:color w:val="000000"/>
          <w:spacing w:val="0"/>
          <w:w w:val="100"/>
          <w:position w:val="0"/>
          <w:sz w:val="32"/>
          <w:szCs w:val="32"/>
          <w:lang w:eastAsia="zh-CN"/>
        </w:rPr>
        <w:t>知识产权</w:t>
      </w:r>
      <w:r>
        <w:rPr>
          <w:rFonts w:hint="eastAsia" w:ascii="仿宋_GB2312" w:eastAsia="仿宋_GB2312" w:cs="仿宋_GB2312"/>
          <w:color w:val="000000"/>
          <w:spacing w:val="0"/>
          <w:w w:val="100"/>
          <w:position w:val="0"/>
          <w:sz w:val="32"/>
          <w:szCs w:val="32"/>
        </w:rPr>
        <w:t>行政执法建设、执法办案（含区县知识产权部门办案）、维权活动</w:t>
      </w:r>
      <w:r>
        <w:rPr>
          <w:rFonts w:hint="eastAsia" w:ascii="仿宋_GB2312" w:eastAsia="仿宋_GB2312" w:cs="仿宋_GB2312"/>
          <w:color w:val="000000"/>
          <w:spacing w:val="0"/>
          <w:w w:val="100"/>
          <w:position w:val="0"/>
          <w:sz w:val="32"/>
          <w:szCs w:val="32"/>
          <w:lang w:eastAsia="zh-CN"/>
        </w:rPr>
        <w:t>（含知识产权权利人为维权所产生的合理费用）</w:t>
      </w:r>
      <w:r>
        <w:rPr>
          <w:rFonts w:hint="eastAsia" w:ascii="仿宋_GB2312" w:eastAsia="仿宋_GB2312" w:cs="仿宋_GB2312"/>
          <w:color w:val="000000"/>
          <w:spacing w:val="0"/>
          <w:w w:val="100"/>
          <w:position w:val="0"/>
          <w:sz w:val="32"/>
          <w:szCs w:val="32"/>
        </w:rPr>
        <w:t>、法制服务及相关设备、设施运行维护。</w:t>
      </w:r>
    </w:p>
    <w:p w14:paraId="5DCA1F28">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40"/>
        <w:jc w:val="left"/>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（十</w:t>
      </w:r>
      <w:r>
        <w:rPr>
          <w:rFonts w:hint="eastAsia" w:ascii="仿宋_GB2312" w:eastAsia="仿宋_GB2312" w:cs="仿宋_GB2312"/>
          <w:color w:val="000000"/>
          <w:spacing w:val="0"/>
          <w:w w:val="100"/>
          <w:position w:val="0"/>
          <w:sz w:val="32"/>
          <w:szCs w:val="32"/>
          <w:lang w:eastAsia="zh-CN"/>
        </w:rPr>
        <w:t>一</w:t>
      </w:r>
      <w:r>
        <w:rPr>
          <w:rFonts w:hint="eastAsia" w:ascii="仿宋_GB2312" w:eastAsia="仿宋_GB2312" w:cs="仿宋_GB2312"/>
          <w:color w:val="000000"/>
          <w:spacing w:val="0"/>
          <w:w w:val="100"/>
          <w:position w:val="0"/>
          <w:sz w:val="32"/>
          <w:szCs w:val="32"/>
        </w:rPr>
        <w:t>）用于知识产权宣传、培训和对外交流活动。</w:t>
      </w:r>
    </w:p>
    <w:p w14:paraId="112DDB32">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40"/>
        <w:jc w:val="left"/>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（十</w:t>
      </w:r>
      <w:r>
        <w:rPr>
          <w:rFonts w:hint="eastAsia" w:ascii="仿宋_GB2312" w:eastAsia="仿宋_GB2312" w:cs="仿宋_GB2312"/>
          <w:color w:val="000000"/>
          <w:spacing w:val="0"/>
          <w:w w:val="100"/>
          <w:position w:val="0"/>
          <w:sz w:val="32"/>
          <w:szCs w:val="32"/>
          <w:lang w:eastAsia="zh-CN"/>
        </w:rPr>
        <w:t>二</w:t>
      </w:r>
      <w:r>
        <w:rPr>
          <w:rFonts w:hint="eastAsia" w:ascii="仿宋_GB2312" w:eastAsia="仿宋_GB2312" w:cs="仿宋_GB2312"/>
          <w:color w:val="000000"/>
          <w:spacing w:val="0"/>
          <w:w w:val="100"/>
          <w:position w:val="0"/>
          <w:sz w:val="32"/>
          <w:szCs w:val="32"/>
        </w:rPr>
        <w:t>）用于国家知识产权示范城市建设工作。</w:t>
      </w:r>
    </w:p>
    <w:p w14:paraId="7D83804E">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40"/>
        <w:jc w:val="left"/>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（十</w:t>
      </w:r>
      <w:r>
        <w:rPr>
          <w:rFonts w:hint="eastAsia" w:ascii="仿宋_GB2312" w:eastAsia="仿宋_GB2312" w:cs="仿宋_GB2312"/>
          <w:color w:val="000000"/>
          <w:spacing w:val="0"/>
          <w:w w:val="100"/>
          <w:position w:val="0"/>
          <w:sz w:val="32"/>
          <w:szCs w:val="32"/>
          <w:lang w:eastAsia="zh-CN"/>
        </w:rPr>
        <w:t>三</w:t>
      </w:r>
      <w:r>
        <w:rPr>
          <w:rFonts w:hint="eastAsia" w:ascii="仿宋_GB2312" w:eastAsia="仿宋_GB2312" w:cs="仿宋_GB2312"/>
          <w:color w:val="000000"/>
          <w:spacing w:val="0"/>
          <w:w w:val="100"/>
          <w:position w:val="0"/>
          <w:sz w:val="32"/>
          <w:szCs w:val="32"/>
        </w:rPr>
        <w:t>）用于本市知识产权大数据平台建设。</w:t>
      </w:r>
    </w:p>
    <w:p w14:paraId="27EC1989">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64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（十</w:t>
      </w:r>
      <w:r>
        <w:rPr>
          <w:rFonts w:hint="eastAsia" w:ascii="仿宋_GB2312" w:eastAsia="仿宋_GB2312" w:cs="仿宋_GB2312"/>
          <w:color w:val="000000"/>
          <w:spacing w:val="0"/>
          <w:w w:val="100"/>
          <w:position w:val="0"/>
          <w:sz w:val="32"/>
          <w:szCs w:val="32"/>
          <w:lang w:eastAsia="zh-CN"/>
        </w:rPr>
        <w:t>四</w:t>
      </w:r>
      <w:r>
        <w:rPr>
          <w:rFonts w:hint="eastAsia" w:ascii="仿宋_GB2312" w:eastAsia="仿宋_GB2312" w:cs="仿宋_GB2312"/>
          <w:color w:val="000000"/>
          <w:spacing w:val="0"/>
          <w:w w:val="100"/>
          <w:position w:val="0"/>
          <w:sz w:val="32"/>
          <w:szCs w:val="32"/>
        </w:rPr>
        <w:t>）其他知识产权事业。</w:t>
      </w:r>
    </w:p>
    <w:p w14:paraId="1F1FFEBB">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4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第六条 专项资金申请条件及程序。</w:t>
      </w:r>
    </w:p>
    <w:p w14:paraId="383E1001">
      <w:pPr>
        <w:pStyle w:val="5"/>
        <w:keepNext w:val="0"/>
        <w:keepLines w:val="0"/>
        <w:pageBreakBefore w:val="0"/>
        <w:widowControl w:val="0"/>
        <w:shd w:val="clear" w:color="auto" w:fill="auto"/>
        <w:tabs>
          <w:tab w:val="left" w:pos="1409"/>
        </w:tabs>
        <w:kinsoku/>
        <w:wordWrap/>
        <w:overflowPunct/>
        <w:topLinePunct w:val="0"/>
        <w:autoSpaceDE/>
        <w:autoSpaceDN/>
        <w:bidi w:val="0"/>
        <w:adjustRightInd/>
        <w:snapToGrid/>
        <w:spacing w:before="0" w:line="560" w:lineRule="exact"/>
        <w:ind w:left="0" w:right="0" w:firstLine="640"/>
        <w:jc w:val="left"/>
        <w:textAlignment w:val="auto"/>
        <w:rPr>
          <w:rFonts w:hint="eastAsia" w:ascii="仿宋_GB2312" w:eastAsia="仿宋_GB2312" w:cs="仿宋_GB2312"/>
          <w:color w:val="000000"/>
          <w:sz w:val="32"/>
          <w:szCs w:val="32"/>
        </w:rPr>
      </w:pPr>
      <w:bookmarkStart w:id="7" w:name="bookmark78"/>
      <w:r>
        <w:rPr>
          <w:rFonts w:hint="eastAsia" w:ascii="仿宋_GB2312" w:eastAsia="仿宋_GB2312" w:cs="仿宋_GB2312"/>
          <w:color w:val="000000"/>
          <w:spacing w:val="0"/>
          <w:w w:val="100"/>
          <w:position w:val="0"/>
          <w:sz w:val="32"/>
          <w:szCs w:val="32"/>
        </w:rPr>
        <w:t>（</w:t>
      </w:r>
      <w:bookmarkEnd w:id="7"/>
      <w:r>
        <w:rPr>
          <w:rFonts w:hint="eastAsia" w:ascii="仿宋_GB2312" w:eastAsia="仿宋_GB2312" w:cs="仿宋_GB2312"/>
          <w:color w:val="000000"/>
          <w:spacing w:val="0"/>
          <w:w w:val="100"/>
          <w:position w:val="0"/>
          <w:sz w:val="32"/>
          <w:szCs w:val="32"/>
        </w:rPr>
        <w:t>一）</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申请专项资金的项目需填相应申请表。</w:t>
      </w:r>
    </w:p>
    <w:p w14:paraId="048F86E4">
      <w:pPr>
        <w:pStyle w:val="5"/>
        <w:keepNext w:val="0"/>
        <w:keepLines w:val="0"/>
        <w:pageBreakBefore w:val="0"/>
        <w:widowControl w:val="0"/>
        <w:shd w:val="clear" w:color="auto" w:fill="auto"/>
        <w:tabs>
          <w:tab w:val="left" w:pos="769"/>
        </w:tabs>
        <w:kinsoku/>
        <w:wordWrap/>
        <w:overflowPunct/>
        <w:topLinePunct w:val="0"/>
        <w:autoSpaceDE/>
        <w:autoSpaceDN/>
        <w:bidi w:val="0"/>
        <w:adjustRightInd/>
        <w:snapToGrid/>
        <w:spacing w:before="0" w:line="560" w:lineRule="exact"/>
        <w:ind w:left="0" w:right="0" w:firstLine="640"/>
        <w:jc w:val="both"/>
        <w:textAlignment w:val="auto"/>
        <w:rPr>
          <w:rFonts w:hint="eastAsia" w:ascii="仿宋_GB2312" w:eastAsia="仿宋_GB2312" w:cs="仿宋_GB2312"/>
          <w:color w:val="000000"/>
          <w:sz w:val="32"/>
          <w:szCs w:val="32"/>
        </w:rPr>
      </w:pPr>
      <w:bookmarkStart w:id="8" w:name="bookmark79"/>
      <w:r>
        <w:rPr>
          <w:rFonts w:hint="eastAsia" w:ascii="仿宋_GB2312" w:eastAsia="仿宋_GB2312" w:cs="仿宋_GB2312"/>
          <w:color w:val="000000"/>
          <w:spacing w:val="0"/>
          <w:w w:val="100"/>
          <w:position w:val="0"/>
          <w:sz w:val="32"/>
          <w:szCs w:val="32"/>
        </w:rPr>
        <w:t>（</w:t>
      </w:r>
      <w:bookmarkEnd w:id="8"/>
      <w:r>
        <w:rPr>
          <w:rFonts w:hint="eastAsia" w:ascii="仿宋_GB2312" w:eastAsia="仿宋_GB2312" w:cs="仿宋_GB2312"/>
          <w:color w:val="000000"/>
          <w:spacing w:val="0"/>
          <w:w w:val="100"/>
          <w:position w:val="0"/>
          <w:sz w:val="32"/>
          <w:szCs w:val="32"/>
        </w:rPr>
        <w:t>二）</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申请专项资金的项目，应符合相关知识产权法律、法规及规章的规定。</w:t>
      </w:r>
    </w:p>
    <w:p w14:paraId="06230BD3">
      <w:pPr>
        <w:pStyle w:val="5"/>
        <w:keepNext w:val="0"/>
        <w:keepLines w:val="0"/>
        <w:pageBreakBefore w:val="0"/>
        <w:widowControl w:val="0"/>
        <w:shd w:val="clear" w:color="auto" w:fill="auto"/>
        <w:tabs>
          <w:tab w:val="left" w:pos="1447"/>
        </w:tabs>
        <w:kinsoku/>
        <w:wordWrap/>
        <w:overflowPunct/>
        <w:topLinePunct w:val="0"/>
        <w:autoSpaceDE/>
        <w:autoSpaceDN/>
        <w:bidi w:val="0"/>
        <w:adjustRightInd/>
        <w:snapToGrid/>
        <w:spacing w:before="0" w:line="560" w:lineRule="exact"/>
        <w:ind w:left="0" w:right="0" w:firstLine="700"/>
        <w:jc w:val="both"/>
        <w:textAlignment w:val="auto"/>
        <w:rPr>
          <w:rFonts w:hint="eastAsia" w:ascii="仿宋_GB2312" w:eastAsia="仿宋_GB2312" w:cs="仿宋_GB2312"/>
          <w:color w:val="000000"/>
          <w:spacing w:val="0"/>
          <w:w w:val="100"/>
          <w:position w:val="0"/>
          <w:sz w:val="32"/>
          <w:szCs w:val="32"/>
        </w:rPr>
      </w:pPr>
      <w:bookmarkStart w:id="9" w:name="bookmark85"/>
      <w:r>
        <w:rPr>
          <w:rFonts w:hint="eastAsia" w:ascii="仿宋_GB2312" w:eastAsia="仿宋_GB2312" w:cs="仿宋_GB2312"/>
          <w:color w:val="000000"/>
          <w:spacing w:val="0"/>
          <w:w w:val="100"/>
          <w:position w:val="0"/>
          <w:sz w:val="32"/>
          <w:szCs w:val="32"/>
        </w:rPr>
        <w:t>（</w:t>
      </w:r>
      <w:bookmarkEnd w:id="9"/>
      <w:r>
        <w:rPr>
          <w:rFonts w:hint="eastAsia" w:ascii="仿宋_GB2312" w:eastAsia="仿宋_GB2312" w:cs="仿宋_GB2312"/>
          <w:color w:val="000000"/>
          <w:spacing w:val="0"/>
          <w:w w:val="100"/>
          <w:position w:val="0"/>
          <w:sz w:val="32"/>
          <w:szCs w:val="32"/>
          <w:lang w:eastAsia="zh-CN"/>
        </w:rPr>
        <w:t>三</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color w:val="000000"/>
          <w:spacing w:val="0"/>
          <w:w w:val="100"/>
          <w:position w:val="0"/>
          <w:sz w:val="32"/>
          <w:szCs w:val="32"/>
        </w:rPr>
        <w:tab/>
      </w:r>
      <w:r>
        <w:rPr>
          <w:rFonts w:hint="eastAsia" w:ascii="仿宋_GB2312" w:eastAsia="仿宋_GB2312" w:cs="仿宋_GB2312"/>
          <w:color w:val="000000"/>
          <w:spacing w:val="0"/>
          <w:w w:val="100"/>
          <w:position w:val="0"/>
          <w:sz w:val="32"/>
          <w:szCs w:val="32"/>
        </w:rPr>
        <w:t>本办法涉及到的其他资助事项，未在本办法中明确的，具体资助办法由</w:t>
      </w:r>
      <w:r>
        <w:rPr>
          <w:rFonts w:hint="eastAsia" w:ascii="黑体" w:hAnsi="黑体" w:eastAsia="黑体" w:cs="黑体"/>
          <w:color w:val="000000"/>
          <w:spacing w:val="0"/>
          <w:w w:val="100"/>
          <w:position w:val="0"/>
          <w:sz w:val="32"/>
          <w:szCs w:val="32"/>
          <w:lang w:val="en-US" w:eastAsia="zh-CN"/>
        </w:rPr>
        <w:t>受理单位</w:t>
      </w:r>
      <w:r>
        <w:rPr>
          <w:rFonts w:hint="eastAsia" w:ascii="仿宋_GB2312" w:eastAsia="仿宋_GB2312" w:cs="仿宋_GB2312"/>
          <w:color w:val="000000"/>
          <w:spacing w:val="0"/>
          <w:w w:val="100"/>
          <w:position w:val="0"/>
          <w:sz w:val="32"/>
          <w:szCs w:val="32"/>
        </w:rPr>
        <w:t>根据实际工作情况会同相关部门另行制定。</w:t>
      </w:r>
    </w:p>
    <w:p w14:paraId="4BF92B93">
      <w:pPr>
        <w:pStyle w:val="5"/>
        <w:keepNext w:val="0"/>
        <w:keepLines w:val="0"/>
        <w:pageBreakBefore w:val="0"/>
        <w:widowControl w:val="0"/>
        <w:shd w:val="clear" w:color="auto" w:fill="auto"/>
        <w:tabs>
          <w:tab w:val="left" w:pos="1447"/>
        </w:tabs>
        <w:kinsoku/>
        <w:wordWrap/>
        <w:overflowPunct/>
        <w:topLinePunct w:val="0"/>
        <w:autoSpaceDE/>
        <w:autoSpaceDN/>
        <w:bidi w:val="0"/>
        <w:adjustRightInd/>
        <w:snapToGrid/>
        <w:spacing w:before="0" w:line="560" w:lineRule="exact"/>
        <w:ind w:left="0" w:right="0" w:firstLine="700"/>
        <w:jc w:val="both"/>
        <w:textAlignment w:val="auto"/>
        <w:rPr>
          <w:rFonts w:hint="eastAsia" w:ascii="黑体" w:hAnsi="黑体" w:eastAsia="黑体" w:cs="黑体"/>
          <w:color w:val="000000"/>
          <w:spacing w:val="0"/>
          <w:w w:val="100"/>
          <w:position w:val="0"/>
          <w:sz w:val="32"/>
          <w:szCs w:val="32"/>
          <w:u w:val="single"/>
        </w:rPr>
      </w:pPr>
      <w:r>
        <w:rPr>
          <w:rFonts w:hint="eastAsia" w:ascii="黑体" w:hAnsi="黑体" w:eastAsia="黑体" w:cs="黑体"/>
          <w:color w:val="000000"/>
          <w:spacing w:val="0"/>
          <w:w w:val="100"/>
          <w:position w:val="0"/>
          <w:sz w:val="32"/>
          <w:szCs w:val="32"/>
          <w:u w:val="single"/>
        </w:rPr>
        <w:t>（四）知识产权为多个权利人共有的,只能由第一顺序权利人提出资助申请。</w:t>
      </w:r>
    </w:p>
    <w:p w14:paraId="748ED6DF">
      <w:pPr>
        <w:pStyle w:val="5"/>
        <w:keepNext w:val="0"/>
        <w:keepLines w:val="0"/>
        <w:pageBreakBefore w:val="0"/>
        <w:widowControl w:val="0"/>
        <w:shd w:val="clear" w:color="auto" w:fill="auto"/>
        <w:tabs>
          <w:tab w:val="left" w:pos="1447"/>
        </w:tabs>
        <w:kinsoku/>
        <w:wordWrap/>
        <w:overflowPunct/>
        <w:topLinePunct w:val="0"/>
        <w:autoSpaceDE/>
        <w:autoSpaceDN/>
        <w:bidi w:val="0"/>
        <w:adjustRightInd/>
        <w:snapToGrid/>
        <w:spacing w:before="0" w:line="560" w:lineRule="exact"/>
        <w:ind w:left="0" w:right="0" w:firstLine="700"/>
        <w:jc w:val="both"/>
        <w:textAlignment w:val="auto"/>
        <w:rPr>
          <w:rFonts w:hint="eastAsia" w:ascii="黑体" w:hAnsi="黑体" w:eastAsia="黑体" w:cs="黑体"/>
          <w:color w:val="000000"/>
          <w:spacing w:val="0"/>
          <w:w w:val="100"/>
          <w:position w:val="0"/>
          <w:sz w:val="32"/>
          <w:szCs w:val="32"/>
          <w:u w:val="single"/>
        </w:rPr>
      </w:pPr>
      <w:r>
        <w:rPr>
          <w:rFonts w:hint="eastAsia" w:ascii="黑体" w:hAnsi="黑体" w:eastAsia="黑体" w:cs="黑体"/>
          <w:color w:val="000000"/>
          <w:spacing w:val="0"/>
          <w:w w:val="100"/>
          <w:position w:val="0"/>
          <w:sz w:val="32"/>
          <w:szCs w:val="32"/>
          <w:u w:val="single"/>
          <w:lang w:eastAsia="zh-CN"/>
        </w:rPr>
        <w:t>（</w:t>
      </w:r>
      <w:r>
        <w:rPr>
          <w:rFonts w:hint="eastAsia" w:ascii="黑体" w:hAnsi="黑体" w:eastAsia="黑体" w:cs="黑体"/>
          <w:color w:val="000000"/>
          <w:spacing w:val="0"/>
          <w:w w:val="100"/>
          <w:position w:val="0"/>
          <w:sz w:val="32"/>
          <w:szCs w:val="32"/>
          <w:u w:val="single"/>
          <w:lang w:val="en-US" w:eastAsia="zh-CN"/>
        </w:rPr>
        <w:t>五</w:t>
      </w:r>
      <w:r>
        <w:rPr>
          <w:rFonts w:hint="eastAsia" w:ascii="黑体" w:hAnsi="黑体" w:eastAsia="黑体" w:cs="黑体"/>
          <w:color w:val="000000"/>
          <w:spacing w:val="0"/>
          <w:w w:val="100"/>
          <w:position w:val="0"/>
          <w:sz w:val="32"/>
          <w:szCs w:val="32"/>
          <w:u w:val="single"/>
          <w:lang w:eastAsia="zh-CN"/>
        </w:rPr>
        <w:t>）</w:t>
      </w:r>
      <w:r>
        <w:rPr>
          <w:rFonts w:hint="eastAsia" w:ascii="黑体" w:hAnsi="黑体" w:eastAsia="黑体" w:cs="黑体"/>
          <w:color w:val="000000"/>
          <w:spacing w:val="0"/>
          <w:w w:val="100"/>
          <w:position w:val="0"/>
          <w:sz w:val="32"/>
          <w:szCs w:val="32"/>
          <w:u w:val="single"/>
        </w:rPr>
        <w:t>凡是按照有关规定已从</w:t>
      </w:r>
      <w:r>
        <w:rPr>
          <w:rFonts w:hint="eastAsia" w:ascii="黑体" w:hAnsi="黑体" w:eastAsia="黑体" w:cs="黑体"/>
          <w:color w:val="000000"/>
          <w:spacing w:val="0"/>
          <w:w w:val="100"/>
          <w:position w:val="0"/>
          <w:sz w:val="32"/>
          <w:szCs w:val="32"/>
          <w:u w:val="single"/>
          <w:lang w:val="en-US" w:eastAsia="zh-CN"/>
        </w:rPr>
        <w:t>省</w:t>
      </w:r>
      <w:r>
        <w:rPr>
          <w:rFonts w:hint="eastAsia" w:ascii="黑体" w:hAnsi="黑体" w:eastAsia="黑体" w:cs="黑体"/>
          <w:color w:val="000000"/>
          <w:spacing w:val="0"/>
          <w:w w:val="100"/>
          <w:position w:val="0"/>
          <w:sz w:val="32"/>
          <w:szCs w:val="32"/>
          <w:u w:val="single"/>
        </w:rPr>
        <w:t>级财政或区级财政获得相同或类似资助的，不得重复申请。</w:t>
      </w:r>
    </w:p>
    <w:p w14:paraId="7B1BF2A1">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pacing w:val="0"/>
          <w:w w:val="100"/>
          <w:position w:val="0"/>
          <w:sz w:val="32"/>
          <w:szCs w:val="32"/>
        </w:rPr>
      </w:pPr>
      <w:r>
        <w:rPr>
          <w:rFonts w:hint="eastAsia" w:ascii="仿宋_GB2312" w:eastAsia="仿宋_GB2312" w:cs="仿宋_GB2312"/>
          <w:color w:val="000000"/>
          <w:spacing w:val="0"/>
          <w:w w:val="100"/>
          <w:position w:val="0"/>
          <w:sz w:val="32"/>
          <w:szCs w:val="32"/>
        </w:rPr>
        <w:t>第</w:t>
      </w:r>
      <w:r>
        <w:rPr>
          <w:rFonts w:hint="eastAsia" w:ascii="仿宋_GB2312" w:eastAsia="仿宋_GB2312" w:cs="仿宋_GB2312"/>
          <w:color w:val="000000"/>
          <w:spacing w:val="0"/>
          <w:w w:val="100"/>
          <w:position w:val="0"/>
          <w:sz w:val="32"/>
          <w:szCs w:val="32"/>
          <w:lang w:eastAsia="zh-CN"/>
        </w:rPr>
        <w:t>七</w:t>
      </w:r>
      <w:r>
        <w:rPr>
          <w:rFonts w:hint="eastAsia" w:ascii="仿宋_GB2312" w:eastAsia="仿宋_GB2312" w:cs="仿宋_GB2312"/>
          <w:color w:val="000000"/>
          <w:spacing w:val="0"/>
          <w:w w:val="100"/>
          <w:position w:val="0"/>
          <w:sz w:val="32"/>
          <w:szCs w:val="32"/>
        </w:rPr>
        <w:t xml:space="preserve">条 </w:t>
      </w:r>
      <w:r>
        <w:rPr>
          <w:rFonts w:hint="eastAsia" w:ascii="黑体" w:hAnsi="黑体" w:eastAsia="黑体" w:cs="黑体"/>
          <w:color w:val="000000"/>
          <w:spacing w:val="0"/>
          <w:w w:val="100"/>
          <w:position w:val="0"/>
          <w:sz w:val="32"/>
          <w:szCs w:val="32"/>
          <w:lang w:val="en-US" w:eastAsia="zh-CN"/>
        </w:rPr>
        <w:t>受理单位</w:t>
      </w:r>
      <w:r>
        <w:rPr>
          <w:rFonts w:hint="eastAsia" w:ascii="仿宋_GB2312" w:eastAsia="仿宋_GB2312" w:cs="仿宋_GB2312"/>
          <w:color w:val="000000"/>
          <w:spacing w:val="0"/>
          <w:w w:val="100"/>
          <w:position w:val="0"/>
          <w:sz w:val="32"/>
          <w:szCs w:val="32"/>
        </w:rPr>
        <w:t>负责对专项资金进行管理。专项资金须专款专用，不得截留或挪用，确保资金规范、有效使用，并接受审计、财政部门的监督检查。</w:t>
      </w:r>
    </w:p>
    <w:p w14:paraId="46D09AF7">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ascii="仿宋_GB2312" w:eastAsia="仿宋_GB2312" w:cs="仿宋_GB2312"/>
          <w:color w:val="000000"/>
          <w:sz w:val="32"/>
          <w:szCs w:val="32"/>
          <w:lang w:val="en-US" w:eastAsia="zh-CN"/>
        </w:rPr>
      </w:pPr>
      <w:r>
        <w:rPr>
          <w:rFonts w:hint="eastAsia" w:ascii="仿宋_GB2312" w:eastAsia="仿宋_GB2312" w:cs="仿宋_GB2312"/>
          <w:color w:val="000000"/>
          <w:spacing w:val="0"/>
          <w:w w:val="100"/>
          <w:position w:val="0"/>
          <w:sz w:val="32"/>
          <w:szCs w:val="32"/>
          <w:lang w:val="en-US" w:eastAsia="zh-CN"/>
        </w:rPr>
        <w:t>除后补助项目外，知识产权项目完成后项目承担单位应当编制项目经费决算报告。项目经费决算开支范围应当与项目经费预算的范围一致，如实反映项目经费预算执行和项目实施的基本情况，不一致的应当说明理由。项目经费在10万元以上的，项目承担单位应当提交审计机构出具的项目经费使用审计报告。</w:t>
      </w:r>
    </w:p>
    <w:p w14:paraId="58E0EC20">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w:t>
      </w:r>
      <w:r>
        <w:rPr>
          <w:rFonts w:hint="eastAsia" w:ascii="仿宋_GB2312" w:eastAsia="仿宋_GB2312" w:cs="仿宋_GB2312"/>
          <w:color w:val="000000"/>
          <w:spacing w:val="0"/>
          <w:w w:val="100"/>
          <w:position w:val="0"/>
          <w:sz w:val="32"/>
          <w:szCs w:val="32"/>
          <w:lang w:eastAsia="zh-CN"/>
        </w:rPr>
        <w:t>八</w:t>
      </w:r>
      <w:r>
        <w:rPr>
          <w:rFonts w:hint="eastAsia" w:ascii="仿宋_GB2312" w:eastAsia="仿宋_GB2312" w:cs="仿宋_GB2312"/>
          <w:color w:val="000000"/>
          <w:spacing w:val="0"/>
          <w:w w:val="100"/>
          <w:position w:val="0"/>
          <w:sz w:val="32"/>
          <w:szCs w:val="32"/>
        </w:rPr>
        <w:t>条</w:t>
      </w:r>
      <w:r>
        <w:rPr>
          <w:rFonts w:hint="eastAsia" w:ascii="仿宋_GB2312" w:eastAsia="仿宋_GB2312" w:cs="仿宋_GB2312"/>
          <w:color w:val="000000"/>
          <w:spacing w:val="0"/>
          <w:w w:val="100"/>
          <w:position w:val="0"/>
          <w:sz w:val="32"/>
          <w:szCs w:val="32"/>
          <w:lang w:val="en-US" w:eastAsia="zh-CN"/>
        </w:rPr>
        <w:t xml:space="preserve"> </w:t>
      </w:r>
      <w:r>
        <w:rPr>
          <w:rFonts w:hint="eastAsia" w:ascii="黑体" w:hAnsi="黑体" w:eastAsia="黑体" w:cs="黑体"/>
          <w:color w:val="000000"/>
          <w:spacing w:val="0"/>
          <w:w w:val="100"/>
          <w:position w:val="0"/>
          <w:sz w:val="32"/>
          <w:szCs w:val="32"/>
          <w:lang w:val="en-US" w:eastAsia="zh-CN"/>
        </w:rPr>
        <w:t>受理单位</w:t>
      </w:r>
      <w:r>
        <w:rPr>
          <w:rFonts w:hint="eastAsia" w:ascii="仿宋_GB2312" w:eastAsia="仿宋_GB2312" w:cs="仿宋_GB2312"/>
          <w:color w:val="000000"/>
          <w:spacing w:val="0"/>
          <w:w w:val="100"/>
          <w:position w:val="0"/>
          <w:sz w:val="32"/>
          <w:szCs w:val="32"/>
        </w:rPr>
        <w:t>负责对专项资金的使用情况进行跟踪检查，建立项目绩效考评制度，负责编制专项资金的年度财务预算和决算。</w:t>
      </w:r>
    </w:p>
    <w:p w14:paraId="454C26DF">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w:t>
      </w:r>
      <w:r>
        <w:rPr>
          <w:rFonts w:hint="eastAsia" w:ascii="仿宋_GB2312" w:eastAsia="仿宋_GB2312" w:cs="仿宋_GB2312"/>
          <w:color w:val="000000"/>
          <w:spacing w:val="0"/>
          <w:w w:val="100"/>
          <w:position w:val="0"/>
          <w:sz w:val="32"/>
          <w:szCs w:val="32"/>
          <w:lang w:eastAsia="zh-CN"/>
        </w:rPr>
        <w:t>九</w:t>
      </w:r>
      <w:r>
        <w:rPr>
          <w:rFonts w:hint="eastAsia" w:ascii="仿宋_GB2312" w:eastAsia="仿宋_GB2312" w:cs="仿宋_GB2312"/>
          <w:color w:val="000000"/>
          <w:spacing w:val="0"/>
          <w:w w:val="100"/>
          <w:position w:val="0"/>
          <w:sz w:val="32"/>
          <w:szCs w:val="32"/>
        </w:rPr>
        <w:t>条 市财政局负责对专项资金的管理和使用情况进行监督，对挤占挪用专项资金或违反财经纪律的，将会同有关部门严肃查处。</w:t>
      </w:r>
    </w:p>
    <w:p w14:paraId="310365B1">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pacing w:val="0"/>
          <w:w w:val="100"/>
          <w:position w:val="0"/>
          <w:sz w:val="32"/>
          <w:szCs w:val="32"/>
        </w:rPr>
      </w:pPr>
      <w:r>
        <w:rPr>
          <w:rFonts w:hint="eastAsia" w:ascii="仿宋_GB2312" w:eastAsia="仿宋_GB2312" w:cs="仿宋_GB2312"/>
          <w:color w:val="000000"/>
          <w:spacing w:val="0"/>
          <w:w w:val="100"/>
          <w:position w:val="0"/>
          <w:sz w:val="32"/>
          <w:szCs w:val="32"/>
        </w:rPr>
        <w:t>第十条</w:t>
      </w:r>
      <w:r>
        <w:rPr>
          <w:rFonts w:hint="eastAsia" w:ascii="仿宋_GB2312" w:eastAsia="仿宋_GB2312" w:cs="仿宋_GB2312"/>
          <w:color w:val="000000"/>
          <w:spacing w:val="0"/>
          <w:w w:val="100"/>
          <w:position w:val="0"/>
          <w:sz w:val="32"/>
          <w:szCs w:val="32"/>
          <w:lang w:val="en-US" w:eastAsia="zh-CN"/>
        </w:rPr>
        <w:t xml:space="preserve"> </w:t>
      </w:r>
      <w:r>
        <w:rPr>
          <w:rFonts w:hint="eastAsia" w:ascii="仿宋_GB2312" w:eastAsia="仿宋_GB2312" w:cs="仿宋_GB2312"/>
          <w:color w:val="000000"/>
          <w:spacing w:val="0"/>
          <w:w w:val="100"/>
          <w:position w:val="0"/>
          <w:sz w:val="32"/>
          <w:szCs w:val="32"/>
        </w:rPr>
        <w:t>申请资助的单位或个人如有弄虚作假的行为，一经发现，由市市场监督管理局（市知识产权局）会同审计、财政、纪检监察等部门全额追回已资助款项，并取消该单位或个人今后申请资助的资格。</w:t>
      </w:r>
    </w:p>
    <w:p w14:paraId="403CB3F8">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pacing w:val="0"/>
          <w:w w:val="100"/>
          <w:position w:val="0"/>
          <w:sz w:val="32"/>
          <w:szCs w:val="32"/>
        </w:rPr>
      </w:pPr>
      <w:r>
        <w:rPr>
          <w:rFonts w:hint="eastAsia" w:ascii="仿宋_GB2312" w:eastAsia="仿宋_GB2312" w:cs="仿宋_GB2312"/>
          <w:color w:val="000000"/>
          <w:spacing w:val="0"/>
          <w:w w:val="100"/>
          <w:position w:val="0"/>
          <w:sz w:val="32"/>
          <w:szCs w:val="32"/>
        </w:rPr>
        <w:t>对承接知识产权战略研究（含软课题）、导航、预警、地理标志等课题项目的单位或个人，未能按期结题验收的，须写出书面报告申请延期一次，期限为一年，期满后仍不能结题的，要写出书面报告报市市场监管局。对延期后，确因客观仍原因不能结题验收的，经专家评审认定后报市市场监管局党委会议</w:t>
      </w:r>
      <w:r>
        <w:rPr>
          <w:rFonts w:hint="eastAsia" w:ascii="仿宋_GB2312" w:eastAsia="仿宋_GB2312" w:cs="仿宋_GB2312"/>
          <w:color w:val="000000"/>
          <w:spacing w:val="0"/>
          <w:w w:val="100"/>
          <w:position w:val="0"/>
          <w:sz w:val="32"/>
          <w:szCs w:val="32"/>
          <w:lang w:val="en-US" w:eastAsia="zh-CN"/>
        </w:rPr>
        <w:t>或局务会</w:t>
      </w:r>
      <w:r>
        <w:rPr>
          <w:rFonts w:hint="eastAsia" w:ascii="仿宋_GB2312" w:eastAsia="仿宋_GB2312" w:cs="仿宋_GB2312"/>
          <w:color w:val="000000"/>
          <w:spacing w:val="0"/>
          <w:w w:val="100"/>
          <w:position w:val="0"/>
          <w:sz w:val="32"/>
          <w:szCs w:val="32"/>
        </w:rPr>
        <w:t>审定后予以结题；经专家评审认定，属项目承接方主观原因的，报市市场监管局党委</w:t>
      </w:r>
      <w:r>
        <w:rPr>
          <w:rFonts w:hint="eastAsia" w:ascii="仿宋_GB2312" w:eastAsia="仿宋_GB2312" w:cs="仿宋_GB2312"/>
          <w:color w:val="000000"/>
          <w:spacing w:val="0"/>
          <w:w w:val="100"/>
          <w:position w:val="0"/>
          <w:sz w:val="32"/>
          <w:szCs w:val="32"/>
          <w:lang w:val="en-US" w:eastAsia="zh-CN"/>
        </w:rPr>
        <w:t>或局务会</w:t>
      </w:r>
      <w:r>
        <w:rPr>
          <w:rFonts w:hint="eastAsia" w:ascii="仿宋_GB2312" w:eastAsia="仿宋_GB2312" w:cs="仿宋_GB2312"/>
          <w:color w:val="000000"/>
          <w:spacing w:val="0"/>
          <w:w w:val="100"/>
          <w:position w:val="0"/>
          <w:sz w:val="32"/>
          <w:szCs w:val="32"/>
        </w:rPr>
        <w:t>会议审定后，由</w:t>
      </w:r>
      <w:r>
        <w:rPr>
          <w:rFonts w:hint="eastAsia" w:ascii="黑体" w:hAnsi="黑体" w:eastAsia="黑体" w:cs="黑体"/>
          <w:color w:val="000000"/>
          <w:spacing w:val="0"/>
          <w:w w:val="100"/>
          <w:position w:val="0"/>
          <w:sz w:val="32"/>
          <w:szCs w:val="32"/>
          <w:lang w:val="en-US" w:eastAsia="zh-CN"/>
        </w:rPr>
        <w:t>受理单位</w:t>
      </w:r>
      <w:r>
        <w:rPr>
          <w:rFonts w:hint="eastAsia" w:ascii="仿宋_GB2312" w:eastAsia="仿宋_GB2312" w:cs="仿宋_GB2312"/>
          <w:color w:val="000000"/>
          <w:spacing w:val="0"/>
          <w:w w:val="100"/>
          <w:position w:val="0"/>
          <w:sz w:val="32"/>
          <w:szCs w:val="32"/>
        </w:rPr>
        <w:t>会同审计、财政、纪检监察等相关部门对项目资金予以全额追回，取消该单位或个人今后申请项目或资助的资格，并将其纳入失信记录。</w:t>
      </w:r>
    </w:p>
    <w:p w14:paraId="66C6642E">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ascii="仿宋_GB2312" w:eastAsia="仿宋_GB2312" w:cs="仿宋_GB2312"/>
          <w:color w:val="000000"/>
          <w:spacing w:val="0"/>
          <w:w w:val="100"/>
          <w:position w:val="0"/>
          <w:sz w:val="32"/>
          <w:szCs w:val="32"/>
          <w:lang w:val="en-US" w:eastAsia="zh-CN"/>
        </w:rPr>
      </w:pPr>
      <w:r>
        <w:rPr>
          <w:rFonts w:hint="eastAsia" w:ascii="仿宋_GB2312" w:eastAsia="仿宋_GB2312" w:cs="仿宋_GB2312"/>
          <w:color w:val="000000"/>
          <w:spacing w:val="0"/>
          <w:w w:val="100"/>
          <w:position w:val="0"/>
          <w:sz w:val="32"/>
          <w:szCs w:val="32"/>
          <w:lang w:val="en-US" w:eastAsia="zh-CN"/>
        </w:rPr>
        <w:t>因不可抗力致使项目无法完成的，由项目承担单位提出终止项目合同或计划任务的书面申请，经市市场监管局批准，终止该项目。对部分探索性强的知识产权课题项目，经</w:t>
      </w:r>
      <w:r>
        <w:rPr>
          <w:rFonts w:hint="eastAsia" w:ascii="黑体" w:hAnsi="黑体" w:eastAsia="黑体" w:cs="黑体"/>
          <w:color w:val="000000"/>
          <w:spacing w:val="0"/>
          <w:w w:val="100"/>
          <w:position w:val="0"/>
          <w:sz w:val="32"/>
          <w:szCs w:val="32"/>
          <w:lang w:val="en-US" w:eastAsia="zh-CN"/>
        </w:rPr>
        <w:t>受理单位</w:t>
      </w:r>
      <w:r>
        <w:rPr>
          <w:rFonts w:hint="eastAsia" w:ascii="仿宋_GB2312" w:eastAsia="仿宋_GB2312" w:cs="仿宋_GB2312"/>
          <w:color w:val="000000"/>
          <w:spacing w:val="0"/>
          <w:w w:val="100"/>
          <w:position w:val="0"/>
          <w:sz w:val="32"/>
          <w:szCs w:val="32"/>
          <w:lang w:val="en-US" w:eastAsia="zh-CN"/>
        </w:rPr>
        <w:t>确认项目研究人员已经勤勉尽职但仍不能按期完成任务的，给予结题处理。</w:t>
      </w:r>
    </w:p>
    <w:p w14:paraId="02A0ECC0">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z w:val="32"/>
          <w:szCs w:val="32"/>
          <w:u w:val="single"/>
        </w:rPr>
      </w:pPr>
      <w:r>
        <w:rPr>
          <w:rFonts w:hint="eastAsia" w:ascii="黑体" w:hAnsi="黑体" w:eastAsia="黑体" w:cs="黑体"/>
          <w:color w:val="000000"/>
          <w:spacing w:val="0"/>
          <w:w w:val="100"/>
          <w:position w:val="0"/>
          <w:sz w:val="32"/>
          <w:szCs w:val="32"/>
          <w:u w:val="single"/>
        </w:rPr>
        <w:t>第十</w:t>
      </w:r>
      <w:r>
        <w:rPr>
          <w:rFonts w:hint="eastAsia" w:ascii="黑体" w:hAnsi="黑体" w:eastAsia="黑体" w:cs="黑体"/>
          <w:color w:val="000000"/>
          <w:spacing w:val="0"/>
          <w:w w:val="100"/>
          <w:position w:val="0"/>
          <w:sz w:val="32"/>
          <w:szCs w:val="32"/>
          <w:u w:val="single"/>
          <w:lang w:eastAsia="zh-CN"/>
        </w:rPr>
        <w:t>一</w:t>
      </w:r>
      <w:r>
        <w:rPr>
          <w:rFonts w:hint="eastAsia" w:ascii="黑体" w:hAnsi="黑体" w:eastAsia="黑体" w:cs="黑体"/>
          <w:color w:val="000000"/>
          <w:spacing w:val="0"/>
          <w:w w:val="100"/>
          <w:position w:val="0"/>
          <w:sz w:val="32"/>
          <w:szCs w:val="32"/>
          <w:u w:val="single"/>
        </w:rPr>
        <w:t>条</w:t>
      </w:r>
      <w:r>
        <w:rPr>
          <w:rFonts w:hint="eastAsia" w:ascii="黑体" w:hAnsi="黑体" w:eastAsia="黑体" w:cs="黑体"/>
          <w:color w:val="000000"/>
          <w:spacing w:val="0"/>
          <w:w w:val="100"/>
          <w:position w:val="0"/>
          <w:sz w:val="32"/>
          <w:szCs w:val="32"/>
          <w:u w:val="single"/>
          <w:lang w:val="en-US" w:eastAsia="zh-CN"/>
        </w:rPr>
        <w:t xml:space="preserve"> </w:t>
      </w:r>
      <w:r>
        <w:rPr>
          <w:rFonts w:hint="eastAsia" w:ascii="黑体" w:hAnsi="黑体" w:eastAsia="黑体" w:cs="黑体"/>
          <w:color w:val="000000"/>
          <w:sz w:val="32"/>
          <w:szCs w:val="32"/>
          <w:u w:val="single"/>
        </w:rPr>
        <w:t>资助对象知识产权权属清晰、合法有效;“有下列情形之一的，不予奖补。</w:t>
      </w:r>
    </w:p>
    <w:p w14:paraId="043F79F0">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z w:val="32"/>
          <w:szCs w:val="32"/>
          <w:u w:val="single"/>
        </w:rPr>
      </w:pPr>
      <w:r>
        <w:rPr>
          <w:rFonts w:hint="eastAsia" w:ascii="黑体" w:hAnsi="黑体" w:eastAsia="黑体" w:cs="黑体"/>
          <w:color w:val="000000"/>
          <w:sz w:val="32"/>
          <w:szCs w:val="32"/>
          <w:u w:val="single"/>
        </w:rPr>
        <w:t>（一）企业或申请人存在严重失信行为的；</w:t>
      </w:r>
    </w:p>
    <w:p w14:paraId="5C5340C5">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z w:val="32"/>
          <w:szCs w:val="32"/>
          <w:u w:val="single"/>
        </w:rPr>
      </w:pPr>
      <w:r>
        <w:rPr>
          <w:rFonts w:hint="eastAsia" w:ascii="黑体" w:hAnsi="黑体" w:eastAsia="黑体" w:cs="黑体"/>
          <w:color w:val="000000"/>
          <w:sz w:val="32"/>
          <w:szCs w:val="32"/>
          <w:u w:val="single"/>
        </w:rPr>
        <w:t>（二）企业法定代表人或申请人有严重违法违纪记录的；</w:t>
      </w:r>
    </w:p>
    <w:p w14:paraId="534800ED">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z w:val="32"/>
          <w:szCs w:val="32"/>
          <w:u w:val="single"/>
        </w:rPr>
      </w:pPr>
      <w:r>
        <w:rPr>
          <w:rFonts w:hint="eastAsia" w:ascii="黑体" w:hAnsi="黑体" w:eastAsia="黑体" w:cs="黑体"/>
          <w:color w:val="000000"/>
          <w:sz w:val="32"/>
          <w:szCs w:val="32"/>
          <w:u w:val="single"/>
        </w:rPr>
        <w:t>（三）企业或申请人存在严重违反知识产权相关法律法规行为的；</w:t>
      </w:r>
    </w:p>
    <w:p w14:paraId="6280BA81">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z w:val="32"/>
          <w:szCs w:val="32"/>
          <w:u w:val="single"/>
        </w:rPr>
      </w:pPr>
      <w:r>
        <w:rPr>
          <w:rFonts w:hint="eastAsia" w:ascii="黑体" w:hAnsi="黑体" w:eastAsia="黑体" w:cs="黑体"/>
          <w:color w:val="000000"/>
          <w:sz w:val="32"/>
          <w:szCs w:val="32"/>
          <w:u w:val="single"/>
        </w:rPr>
        <w:t>（四）其他不适合给予奖补行为的。</w:t>
      </w:r>
    </w:p>
    <w:p w14:paraId="3ECA5AF6">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z w:val="32"/>
          <w:szCs w:val="32"/>
          <w:u w:val="single"/>
          <w:lang w:eastAsia="zh-CN"/>
        </w:rPr>
      </w:pPr>
      <w:r>
        <w:rPr>
          <w:rFonts w:hint="eastAsia" w:ascii="黑体" w:hAnsi="黑体" w:eastAsia="黑体" w:cs="黑体"/>
          <w:color w:val="000000"/>
          <w:sz w:val="32"/>
          <w:szCs w:val="32"/>
          <w:u w:val="single"/>
        </w:rPr>
        <w:t>资助项目审核时</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rPr>
        <w:t>资助对象在“国家企业信用信息公示系统”</w:t>
      </w:r>
      <w:r>
        <w:rPr>
          <w:rFonts w:hint="eastAsia" w:ascii="黑体" w:hAnsi="黑体" w:eastAsia="黑体" w:cs="黑体"/>
          <w:color w:val="000000"/>
          <w:sz w:val="32"/>
          <w:szCs w:val="32"/>
          <w:u w:val="single"/>
          <w:lang w:val="en-US" w:eastAsia="zh-CN"/>
        </w:rPr>
        <w:t>存在《市场监督管理严重违法失信名单管理办法》中所指的第二条、第五条、第六条、第七条、第八条、第九条、第十条、第十二条被列入严重</w:t>
      </w:r>
      <w:r>
        <w:rPr>
          <w:rFonts w:hint="eastAsia" w:ascii="黑体" w:hAnsi="黑体" w:eastAsia="黑体" w:cs="黑体"/>
          <w:color w:val="000000"/>
          <w:sz w:val="32"/>
          <w:szCs w:val="32"/>
          <w:u w:val="single"/>
        </w:rPr>
        <w:t>违法</w:t>
      </w:r>
      <w:r>
        <w:rPr>
          <w:rFonts w:hint="eastAsia" w:ascii="黑体" w:hAnsi="黑体" w:eastAsia="黑体" w:cs="黑体"/>
          <w:color w:val="000000"/>
          <w:sz w:val="32"/>
          <w:szCs w:val="32"/>
          <w:u w:val="single"/>
          <w:lang w:val="en-US" w:eastAsia="zh-CN"/>
        </w:rPr>
        <w:t>失信名单情形的，不予资助。（</w:t>
      </w:r>
      <w:r>
        <w:rPr>
          <w:rFonts w:hint="eastAsia" w:ascii="黑体" w:hAnsi="黑体" w:eastAsia="黑体" w:cs="黑体"/>
          <w:color w:val="000000"/>
          <w:sz w:val="32"/>
          <w:szCs w:val="32"/>
          <w:u w:val="single"/>
        </w:rPr>
        <w:t>资助项目</w:t>
      </w:r>
      <w:r>
        <w:rPr>
          <w:rFonts w:hint="eastAsia" w:ascii="黑体" w:hAnsi="黑体" w:eastAsia="黑体" w:cs="黑体"/>
          <w:color w:val="000000"/>
          <w:sz w:val="32"/>
          <w:szCs w:val="32"/>
          <w:u w:val="single"/>
          <w:lang w:val="en-US" w:eastAsia="zh-CN"/>
        </w:rPr>
        <w:t>公示后</w:t>
      </w:r>
      <w:r>
        <w:rPr>
          <w:rFonts w:hint="eastAsia" w:ascii="黑体" w:hAnsi="黑体" w:eastAsia="黑体" w:cs="黑体"/>
          <w:color w:val="000000"/>
          <w:sz w:val="32"/>
          <w:szCs w:val="32"/>
          <w:u w:val="single"/>
        </w:rPr>
        <w:t>，</w:t>
      </w:r>
      <w:r>
        <w:rPr>
          <w:rFonts w:hint="eastAsia" w:ascii="黑体" w:hAnsi="黑体" w:eastAsia="黑体" w:cs="黑体"/>
          <w:color w:val="000000"/>
          <w:sz w:val="32"/>
          <w:szCs w:val="32"/>
          <w:u w:val="single"/>
          <w:lang w:val="en-US" w:eastAsia="zh-CN"/>
        </w:rPr>
        <w:t>再被纳入系统的不受资助限制</w:t>
      </w:r>
      <w:r>
        <w:rPr>
          <w:rFonts w:hint="eastAsia" w:ascii="黑体" w:hAnsi="黑体" w:eastAsia="黑体" w:cs="黑体"/>
          <w:color w:val="000000"/>
          <w:sz w:val="32"/>
          <w:szCs w:val="32"/>
          <w:u w:val="single"/>
        </w:rPr>
        <w:t>。</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lang w:val="en-US" w:eastAsia="zh-CN"/>
        </w:rPr>
        <w:t>资助对象</w:t>
      </w:r>
      <w:r>
        <w:rPr>
          <w:rFonts w:hint="eastAsia" w:ascii="黑体" w:hAnsi="黑体" w:eastAsia="黑体" w:cs="黑体"/>
          <w:color w:val="000000"/>
          <w:sz w:val="32"/>
          <w:szCs w:val="32"/>
          <w:u w:val="single"/>
        </w:rPr>
        <w:t>被列入严重违法失信名单满一年，且已经自觉履行行政处罚决定中规定的义务</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rPr>
        <w:t>已经主动消除危害后果和不良影响</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rPr>
        <w:t>未再受到市场监督管理部门较重行政处罚</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lang w:val="en-US" w:eastAsia="zh-CN"/>
        </w:rPr>
        <w:t>已完成信用修复</w:t>
      </w:r>
      <w:r>
        <w:rPr>
          <w:rFonts w:hint="eastAsia" w:ascii="黑体" w:hAnsi="黑体" w:eastAsia="黑体" w:cs="黑体"/>
          <w:color w:val="000000"/>
          <w:sz w:val="32"/>
          <w:szCs w:val="32"/>
          <w:u w:val="single"/>
        </w:rPr>
        <w:t>的</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lang w:val="en-US" w:eastAsia="zh-CN"/>
        </w:rPr>
        <w:t>不受资助限制。</w:t>
      </w:r>
    </w:p>
    <w:p w14:paraId="33068BED">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default" w:ascii="黑体" w:hAnsi="黑体" w:eastAsia="黑体" w:cs="黑体"/>
          <w:color w:val="000000"/>
          <w:sz w:val="32"/>
          <w:szCs w:val="32"/>
          <w:u w:val="single"/>
          <w:lang w:val="en-US" w:eastAsia="zh-CN"/>
        </w:rPr>
      </w:pPr>
      <w:r>
        <w:rPr>
          <w:rFonts w:hint="eastAsia" w:ascii="黑体" w:hAnsi="黑体" w:eastAsia="黑体" w:cs="黑体"/>
          <w:color w:val="000000"/>
          <w:sz w:val="32"/>
          <w:szCs w:val="32"/>
          <w:u w:val="single"/>
          <w:lang w:val="en-US" w:eastAsia="zh-CN"/>
        </w:rPr>
        <w:t>在“信用中国”</w:t>
      </w:r>
      <w:r>
        <w:rPr>
          <w:rFonts w:hint="eastAsia" w:ascii="黑体" w:hAnsi="黑体" w:eastAsia="黑体" w:cs="黑体"/>
          <w:color w:val="000000"/>
          <w:sz w:val="32"/>
          <w:szCs w:val="32"/>
          <w:u w:val="single"/>
        </w:rPr>
        <w:t>平台系统查询资助对象</w:t>
      </w:r>
      <w:r>
        <w:rPr>
          <w:rFonts w:hint="eastAsia" w:ascii="黑体" w:hAnsi="黑体" w:eastAsia="黑体" w:cs="黑体"/>
          <w:color w:val="000000"/>
          <w:sz w:val="32"/>
          <w:szCs w:val="32"/>
          <w:u w:val="single"/>
          <w:lang w:val="en-US" w:eastAsia="zh-CN"/>
        </w:rPr>
        <w:t>存在《国务院办公厅关于进一步完善失信约束制度构建诚信建设长效机制的指导意见》（国办发〔2020〕49号）中所指的：“严重危害人民群众身体健康和生命安全、严重破坏市场公平竞争秩序和社会正常秩序、拒不履行法定义务严重影响司法机关和行政机关公信力、拒不履行国防义务等严重违法失信行为的责任主体”情形的，不予资助。资助对象被列入严重违法失信名单满一年，且已经自觉履行行政处罚决定中规定的义务、已经主动消除危害后果和不良影响、未再受到相关部门较重行政处罚</w:t>
      </w:r>
      <w:r>
        <w:rPr>
          <w:rFonts w:hint="eastAsia" w:ascii="黑体" w:hAnsi="黑体" w:eastAsia="黑体" w:cs="黑体"/>
          <w:color w:val="000000"/>
          <w:sz w:val="32"/>
          <w:szCs w:val="32"/>
          <w:u w:val="single"/>
          <w:lang w:eastAsia="zh-CN"/>
        </w:rPr>
        <w:t>、</w:t>
      </w:r>
      <w:r>
        <w:rPr>
          <w:rFonts w:hint="eastAsia" w:ascii="黑体" w:hAnsi="黑体" w:eastAsia="黑体" w:cs="黑体"/>
          <w:color w:val="000000"/>
          <w:sz w:val="32"/>
          <w:szCs w:val="32"/>
          <w:u w:val="single"/>
          <w:lang w:val="en-US" w:eastAsia="zh-CN"/>
        </w:rPr>
        <w:t>已完成信用修复的，不受资助限制。</w:t>
      </w:r>
    </w:p>
    <w:p w14:paraId="449765CA">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第十</w:t>
      </w:r>
      <w:r>
        <w:rPr>
          <w:rFonts w:hint="eastAsia" w:ascii="仿宋_GB2312" w:eastAsia="仿宋_GB2312" w:cs="仿宋_GB2312"/>
          <w:color w:val="000000"/>
          <w:spacing w:val="0"/>
          <w:w w:val="100"/>
          <w:position w:val="0"/>
          <w:sz w:val="32"/>
          <w:szCs w:val="32"/>
          <w:lang w:eastAsia="zh-CN"/>
        </w:rPr>
        <w:t>二</w:t>
      </w:r>
      <w:r>
        <w:rPr>
          <w:rFonts w:hint="eastAsia" w:ascii="仿宋_GB2312" w:eastAsia="仿宋_GB2312" w:cs="仿宋_GB2312"/>
          <w:color w:val="000000"/>
          <w:spacing w:val="0"/>
          <w:w w:val="100"/>
          <w:position w:val="0"/>
          <w:sz w:val="32"/>
          <w:szCs w:val="32"/>
        </w:rPr>
        <w:t>条</w:t>
      </w:r>
      <w:r>
        <w:rPr>
          <w:rFonts w:hint="eastAsia" w:ascii="仿宋_GB2312" w:eastAsia="仿宋_GB2312" w:cs="仿宋_GB2312"/>
          <w:color w:val="000000"/>
          <w:spacing w:val="0"/>
          <w:w w:val="100"/>
          <w:position w:val="0"/>
          <w:sz w:val="32"/>
          <w:szCs w:val="32"/>
          <w:lang w:val="en-US" w:eastAsia="zh-CN"/>
        </w:rPr>
        <w:t xml:space="preserve"> </w:t>
      </w:r>
      <w:r>
        <w:rPr>
          <w:rFonts w:hint="eastAsia" w:ascii="黑体" w:hAnsi="黑体" w:eastAsia="黑体" w:cs="黑体"/>
          <w:color w:val="000000"/>
          <w:spacing w:val="0"/>
          <w:w w:val="100"/>
          <w:position w:val="0"/>
          <w:sz w:val="32"/>
          <w:szCs w:val="32"/>
          <w:lang w:val="en-US" w:eastAsia="zh-CN"/>
        </w:rPr>
        <w:t>受理单位</w:t>
      </w:r>
      <w:r>
        <w:rPr>
          <w:rFonts w:hint="eastAsia" w:ascii="仿宋_GB2312" w:eastAsia="仿宋_GB2312" w:cs="仿宋_GB2312"/>
          <w:color w:val="000000"/>
          <w:spacing w:val="0"/>
          <w:w w:val="100"/>
          <w:position w:val="0"/>
          <w:sz w:val="32"/>
          <w:szCs w:val="32"/>
        </w:rPr>
        <w:t>及其工作人员，在办理资助过程中不得滥用职权，如因此造成专项资金重大损失的，承担相应行政责任；构成犯罪的，依法追究刑事责任。</w:t>
      </w:r>
    </w:p>
    <w:p w14:paraId="48F28BBE">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pacing w:val="0"/>
          <w:w w:val="100"/>
          <w:position w:val="0"/>
          <w:sz w:val="32"/>
          <w:szCs w:val="32"/>
        </w:rPr>
      </w:pPr>
      <w:r>
        <w:rPr>
          <w:rFonts w:hint="eastAsia" w:ascii="仿宋_GB2312" w:eastAsia="仿宋_GB2312" w:cs="仿宋_GB2312"/>
          <w:color w:val="000000"/>
          <w:spacing w:val="0"/>
          <w:w w:val="100"/>
          <w:position w:val="0"/>
          <w:sz w:val="32"/>
          <w:szCs w:val="32"/>
        </w:rPr>
        <w:t>第十</w:t>
      </w:r>
      <w:r>
        <w:rPr>
          <w:rFonts w:hint="eastAsia" w:ascii="仿宋_GB2312" w:eastAsia="仿宋_GB2312" w:cs="仿宋_GB2312"/>
          <w:color w:val="000000"/>
          <w:spacing w:val="0"/>
          <w:w w:val="100"/>
          <w:position w:val="0"/>
          <w:sz w:val="32"/>
          <w:szCs w:val="32"/>
          <w:lang w:eastAsia="zh-CN"/>
        </w:rPr>
        <w:t>三</w:t>
      </w:r>
      <w:r>
        <w:rPr>
          <w:rFonts w:hint="eastAsia" w:ascii="仿宋_GB2312" w:eastAsia="仿宋_GB2312" w:cs="仿宋_GB2312"/>
          <w:color w:val="000000"/>
          <w:spacing w:val="0"/>
          <w:w w:val="100"/>
          <w:position w:val="0"/>
          <w:sz w:val="32"/>
          <w:szCs w:val="32"/>
        </w:rPr>
        <w:t>条 各区（市、县）应设立知识产权专项资金，用于本地区知识产权事业发展的专项资助。</w:t>
      </w:r>
    </w:p>
    <w:p w14:paraId="7819AED7">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黑体" w:hAnsi="黑体" w:eastAsia="黑体" w:cs="黑体"/>
          <w:color w:val="000000"/>
          <w:spacing w:val="0"/>
          <w:w w:val="100"/>
          <w:position w:val="0"/>
          <w:sz w:val="32"/>
          <w:szCs w:val="32"/>
          <w:u w:val="single"/>
        </w:rPr>
      </w:pPr>
      <w:r>
        <w:rPr>
          <w:rFonts w:hint="eastAsia" w:ascii="黑体" w:hAnsi="黑体" w:eastAsia="黑体" w:cs="黑体"/>
          <w:color w:val="000000"/>
          <w:spacing w:val="0"/>
          <w:w w:val="100"/>
          <w:position w:val="0"/>
          <w:sz w:val="32"/>
          <w:szCs w:val="32"/>
          <w:u w:val="single"/>
        </w:rPr>
        <w:t>第十</w:t>
      </w:r>
      <w:r>
        <w:rPr>
          <w:rFonts w:hint="eastAsia" w:ascii="黑体" w:hAnsi="黑体" w:eastAsia="黑体" w:cs="黑体"/>
          <w:color w:val="000000"/>
          <w:spacing w:val="0"/>
          <w:w w:val="100"/>
          <w:position w:val="0"/>
          <w:sz w:val="32"/>
          <w:szCs w:val="32"/>
          <w:u w:val="single"/>
          <w:lang w:eastAsia="zh-CN"/>
        </w:rPr>
        <w:t>四</w:t>
      </w:r>
      <w:r>
        <w:rPr>
          <w:rFonts w:hint="eastAsia" w:ascii="黑体" w:hAnsi="黑体" w:eastAsia="黑体" w:cs="黑体"/>
          <w:color w:val="000000"/>
          <w:spacing w:val="0"/>
          <w:w w:val="100"/>
          <w:position w:val="0"/>
          <w:sz w:val="32"/>
          <w:szCs w:val="32"/>
          <w:u w:val="single"/>
        </w:rPr>
        <w:t>条</w:t>
      </w:r>
      <w:r>
        <w:rPr>
          <w:rFonts w:hint="eastAsia" w:ascii="黑体" w:hAnsi="黑体" w:eastAsia="黑体" w:cs="黑体"/>
          <w:color w:val="000000"/>
          <w:spacing w:val="0"/>
          <w:w w:val="100"/>
          <w:position w:val="0"/>
          <w:sz w:val="32"/>
          <w:szCs w:val="32"/>
          <w:u w:val="single"/>
          <w:lang w:val="en-US" w:eastAsia="zh-CN"/>
        </w:rPr>
        <w:t xml:space="preserve"> </w:t>
      </w:r>
      <w:r>
        <w:rPr>
          <w:rFonts w:hint="eastAsia" w:ascii="黑体" w:hAnsi="黑体" w:eastAsia="黑体" w:cs="黑体"/>
          <w:color w:val="000000"/>
          <w:spacing w:val="0"/>
          <w:w w:val="100"/>
          <w:position w:val="0"/>
          <w:sz w:val="32"/>
          <w:szCs w:val="32"/>
          <w:u w:val="single"/>
        </w:rPr>
        <w:t>市市场监督管理局（市知识产权局）下属单位使用知识产权资金参照本办法执行。</w:t>
      </w:r>
    </w:p>
    <w:p w14:paraId="785FA091">
      <w:pPr>
        <w:pStyle w:val="5"/>
        <w:keepNext w:val="0"/>
        <w:keepLines w:val="0"/>
        <w:pageBreakBefore w:val="0"/>
        <w:widowControl w:val="0"/>
        <w:shd w:val="clear" w:color="auto" w:fill="auto"/>
        <w:kinsoku/>
        <w:wordWrap/>
        <w:overflowPunct/>
        <w:topLinePunct w:val="0"/>
        <w:autoSpaceDE/>
        <w:autoSpaceDN/>
        <w:bidi w:val="0"/>
        <w:adjustRightInd/>
        <w:snapToGrid/>
        <w:spacing w:before="0" w:line="560" w:lineRule="exact"/>
        <w:ind w:left="0" w:right="0" w:firstLine="560"/>
        <w:jc w:val="both"/>
        <w:textAlignment w:val="auto"/>
        <w:rPr>
          <w:rFonts w:hint="eastAsia" w:ascii="仿宋_GB2312" w:eastAsia="仿宋_GB2312" w:cs="仿宋_GB2312"/>
          <w:color w:val="000000"/>
          <w:sz w:val="32"/>
          <w:szCs w:val="32"/>
        </w:rPr>
      </w:pPr>
      <w:r>
        <w:rPr>
          <w:rFonts w:hint="eastAsia" w:ascii="仿宋_GB2312" w:eastAsia="仿宋_GB2312" w:cs="仿宋_GB2312"/>
          <w:color w:val="000000"/>
          <w:spacing w:val="0"/>
          <w:w w:val="100"/>
          <w:position w:val="0"/>
          <w:sz w:val="32"/>
          <w:szCs w:val="32"/>
        </w:rPr>
        <w:t>第十</w:t>
      </w:r>
      <w:r>
        <w:rPr>
          <w:rFonts w:hint="eastAsia" w:ascii="仿宋_GB2312" w:eastAsia="仿宋_GB2312" w:cs="仿宋_GB2312"/>
          <w:color w:val="000000"/>
          <w:spacing w:val="0"/>
          <w:w w:val="100"/>
          <w:position w:val="0"/>
          <w:sz w:val="32"/>
          <w:szCs w:val="32"/>
          <w:lang w:eastAsia="zh-CN"/>
        </w:rPr>
        <w:t>五</w:t>
      </w:r>
      <w:r>
        <w:rPr>
          <w:rFonts w:hint="eastAsia" w:ascii="仿宋_GB2312" w:eastAsia="仿宋_GB2312" w:cs="仿宋_GB2312"/>
          <w:color w:val="000000"/>
          <w:spacing w:val="0"/>
          <w:w w:val="100"/>
          <w:position w:val="0"/>
          <w:sz w:val="32"/>
          <w:szCs w:val="32"/>
        </w:rPr>
        <w:t>条</w:t>
      </w:r>
      <w:r>
        <w:rPr>
          <w:rFonts w:hint="eastAsia" w:ascii="仿宋_GB2312" w:eastAsia="仿宋_GB2312" w:cs="仿宋_GB2312"/>
          <w:color w:val="000000"/>
          <w:spacing w:val="0"/>
          <w:w w:val="100"/>
          <w:position w:val="0"/>
          <w:sz w:val="32"/>
          <w:szCs w:val="32"/>
          <w:lang w:val="en-US" w:eastAsia="zh-CN"/>
        </w:rPr>
        <w:t xml:space="preserve"> </w:t>
      </w:r>
      <w:r>
        <w:rPr>
          <w:rFonts w:hint="eastAsia" w:ascii="仿宋_GB2312" w:eastAsia="仿宋_GB2312" w:cs="仿宋_GB2312"/>
          <w:color w:val="000000"/>
          <w:spacing w:val="0"/>
          <w:w w:val="100"/>
          <w:position w:val="0"/>
          <w:sz w:val="32"/>
          <w:szCs w:val="32"/>
        </w:rPr>
        <w:t>本办法由市市场监督管理局（市知识产权局）、市财政局负责解释。</w:t>
      </w:r>
    </w:p>
    <w:p w14:paraId="6CC25D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小标宋简体" w:eastAsia="方正小标宋简体"/>
          <w:b w:val="0"/>
          <w:bCs w:val="0"/>
          <w:color w:val="000000"/>
          <w:sz w:val="44"/>
          <w:szCs w:val="44"/>
          <w:highlight w:val="none"/>
        </w:rPr>
      </w:pPr>
      <w:r>
        <w:rPr>
          <w:rFonts w:hint="eastAsia" w:ascii="仿宋_GB2312" w:eastAsia="仿宋_GB2312" w:cs="仿宋_GB2312"/>
          <w:color w:val="000000"/>
          <w:spacing w:val="0"/>
          <w:w w:val="100"/>
          <w:position w:val="0"/>
          <w:sz w:val="32"/>
          <w:szCs w:val="32"/>
          <w:lang w:val="en-US" w:eastAsia="zh-CN"/>
        </w:rPr>
        <w:t xml:space="preserve">第十六条 </w:t>
      </w:r>
      <w:r>
        <w:rPr>
          <w:rFonts w:hint="eastAsia" w:ascii="仿宋_GB2312" w:eastAsia="仿宋_GB2312" w:cs="仿宋_GB2312"/>
          <w:b w:val="0"/>
          <w:bCs w:val="0"/>
          <w:color w:val="000000"/>
          <w:sz w:val="32"/>
          <w:szCs w:val="32"/>
        </w:rPr>
        <w:t>本办法自</w:t>
      </w:r>
      <w:r>
        <w:rPr>
          <w:rFonts w:hint="eastAsia" w:ascii="仿宋_GB2312" w:eastAsia="仿宋_GB2312" w:cs="仿宋_GB2312"/>
          <w:b w:val="0"/>
          <w:bCs w:val="0"/>
          <w:color w:val="000000"/>
          <w:sz w:val="32"/>
          <w:szCs w:val="32"/>
          <w:lang w:val="en-US" w:eastAsia="zh-CN"/>
        </w:rPr>
        <w:t>2025年X月X</w:t>
      </w:r>
      <w:r>
        <w:rPr>
          <w:rFonts w:hint="eastAsia" w:ascii="仿宋_GB2312" w:eastAsia="仿宋_GB2312" w:cs="仿宋_GB2312"/>
          <w:b w:val="0"/>
          <w:bCs w:val="0"/>
          <w:color w:val="000000"/>
          <w:sz w:val="32"/>
          <w:szCs w:val="32"/>
        </w:rPr>
        <w:t>日起施行</w:t>
      </w:r>
      <w:r>
        <w:rPr>
          <w:rFonts w:hint="eastAsia" w:ascii="仿宋_GB2312" w:eastAsia="仿宋_GB2312" w:cs="仿宋_GB2312"/>
          <w:color w:val="000000"/>
          <w:spacing w:val="0"/>
          <w:w w:val="100"/>
          <w:position w:val="0"/>
          <w:sz w:val="32"/>
          <w:szCs w:val="32"/>
        </w:rPr>
        <w:t>。</w:t>
      </w:r>
      <w:r>
        <w:rPr>
          <w:rFonts w:hint="eastAsia" w:ascii="仿宋_GB2312" w:eastAsia="仿宋_GB2312" w:cs="仿宋_GB2312"/>
          <w:b w:val="0"/>
          <w:bCs w:val="0"/>
          <w:color w:val="000000"/>
          <w:sz w:val="32"/>
          <w:szCs w:val="32"/>
          <w:highlight w:val="none"/>
        </w:rPr>
        <w:t>原《贵阳市知识产权</w:t>
      </w:r>
      <w:r>
        <w:rPr>
          <w:rFonts w:hint="eastAsia" w:ascii="仿宋_GB2312" w:eastAsia="仿宋_GB2312" w:cs="仿宋_GB2312"/>
          <w:b w:val="0"/>
          <w:bCs w:val="0"/>
          <w:color w:val="000000"/>
          <w:sz w:val="32"/>
          <w:szCs w:val="32"/>
          <w:highlight w:val="none"/>
          <w:lang w:val="en-US" w:eastAsia="zh-CN"/>
        </w:rPr>
        <w:t>专项资金使用管理</w:t>
      </w:r>
      <w:r>
        <w:rPr>
          <w:rFonts w:hint="eastAsia" w:ascii="仿宋_GB2312" w:eastAsia="仿宋_GB2312" w:cs="仿宋_GB2312"/>
          <w:b w:val="0"/>
          <w:bCs w:val="0"/>
          <w:color w:val="000000"/>
          <w:sz w:val="32"/>
          <w:szCs w:val="32"/>
          <w:highlight w:val="none"/>
        </w:rPr>
        <w:t>管理办法（试行）》</w:t>
      </w:r>
      <w:bookmarkStart w:id="10" w:name="_GoBack"/>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筑市监通</w:t>
      </w: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50</w:t>
      </w:r>
      <w:r>
        <w:rPr>
          <w:rFonts w:hint="eastAsia" w:ascii="仿宋_GB2312" w:hAnsi="仿宋_GB2312" w:eastAsia="仿宋_GB2312" w:cs="仿宋_GB2312"/>
          <w:sz w:val="32"/>
          <w:szCs w:val="32"/>
          <w:highlight w:val="none"/>
        </w:rPr>
        <w:t>号)</w:t>
      </w:r>
      <w:bookmarkEnd w:id="10"/>
      <w:r>
        <w:rPr>
          <w:rFonts w:hint="eastAsia" w:ascii="仿宋_GB2312" w:eastAsia="仿宋_GB2312" w:cs="仿宋_GB2312"/>
          <w:b w:val="0"/>
          <w:bCs w:val="0"/>
          <w:color w:val="000000"/>
          <w:sz w:val="32"/>
          <w:szCs w:val="32"/>
          <w:highlight w:val="none"/>
        </w:rPr>
        <w:t>同时废止。</w:t>
      </w:r>
    </w:p>
    <w:p w14:paraId="6FCA959D">
      <w:pPr>
        <w:keepNext w:val="0"/>
        <w:keepLines w:val="0"/>
        <w:pageBreakBefore w:val="0"/>
        <w:widowControl w:val="0"/>
        <w:kinsoku/>
        <w:wordWrap/>
        <w:overflowPunct/>
        <w:topLinePunct w:val="0"/>
        <w:autoSpaceDE/>
        <w:autoSpaceDN/>
        <w:bidi w:val="0"/>
        <w:adjustRightInd/>
        <w:snapToGrid/>
        <w:spacing w:line="560" w:lineRule="exact"/>
        <w:textAlignment w:val="auto"/>
        <w:rPr>
          <w:highlight w:val="none"/>
        </w:rPr>
      </w:pPr>
    </w:p>
    <w:p w14:paraId="61148550"/>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CA6375-11B3-42E7-A959-1484A92CC71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1BD40E8E-525C-45D5-9D46-9F2F0D8162D6}"/>
  </w:font>
  <w:font w:name="仿宋_GB2312">
    <w:panose1 w:val="02010609030101010101"/>
    <w:charset w:val="86"/>
    <w:family w:val="modern"/>
    <w:pitch w:val="default"/>
    <w:sig w:usb0="00000001" w:usb1="080E0000" w:usb2="00000000" w:usb3="00000000" w:csb0="00040000" w:csb1="00000000"/>
    <w:embedRegular r:id="rId3" w:fontKey="{88B9A6CE-5EF0-46D0-AD25-527E822F7A7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83807"/>
    <w:rsid w:val="131E7C21"/>
    <w:rsid w:val="19243DD6"/>
    <w:rsid w:val="20693085"/>
    <w:rsid w:val="24282E0E"/>
    <w:rsid w:val="2CC43190"/>
    <w:rsid w:val="2F3D2131"/>
    <w:rsid w:val="32764F2C"/>
    <w:rsid w:val="3E583807"/>
    <w:rsid w:val="3F954604"/>
    <w:rsid w:val="444E4DE9"/>
    <w:rsid w:val="44717206"/>
    <w:rsid w:val="46BC1F6E"/>
    <w:rsid w:val="474D674C"/>
    <w:rsid w:val="4BFC1970"/>
    <w:rsid w:val="535D3873"/>
    <w:rsid w:val="56554566"/>
    <w:rsid w:val="606722F2"/>
    <w:rsid w:val="61B216CC"/>
    <w:rsid w:val="66270365"/>
    <w:rsid w:val="6C09072F"/>
    <w:rsid w:val="6EBA4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Heading #2|1"/>
    <w:basedOn w:val="1"/>
    <w:autoRedefine/>
    <w:qFormat/>
    <w:uiPriority w:val="0"/>
    <w:pPr>
      <w:widowControl w:val="0"/>
      <w:shd w:val="clear" w:color="auto" w:fill="auto"/>
      <w:spacing w:before="140" w:after="520"/>
      <w:jc w:val="center"/>
      <w:outlineLvl w:val="1"/>
    </w:pPr>
    <w:rPr>
      <w:rFonts w:ascii="宋体" w:eastAsia="宋体" w:cs="宋体"/>
      <w:sz w:val="42"/>
      <w:szCs w:val="42"/>
      <w:u w:val="none"/>
      <w:shd w:val="clear" w:color="auto" w:fill="auto"/>
      <w:lang w:val="zh-TW" w:eastAsia="zh-TW" w:bidi="zh-TW"/>
    </w:rPr>
  </w:style>
  <w:style w:type="paragraph" w:customStyle="1" w:styleId="5">
    <w:name w:val="Body text|1"/>
    <w:basedOn w:val="1"/>
    <w:autoRedefine/>
    <w:qFormat/>
    <w:uiPriority w:val="0"/>
    <w:pPr>
      <w:widowControl w:val="0"/>
      <w:shd w:val="clear" w:color="auto" w:fill="auto"/>
      <w:spacing w:line="439" w:lineRule="auto"/>
      <w:ind w:firstLine="400"/>
    </w:pPr>
    <w:rPr>
      <w:rFonts w:asci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3571</Words>
  <Characters>3583</Characters>
  <Lines>0</Lines>
  <Paragraphs>0</Paragraphs>
  <TotalTime>0</TotalTime>
  <ScaleCrop>false</ScaleCrop>
  <LinksUpToDate>false</LinksUpToDate>
  <CharactersWithSpaces>3609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2025-03-19T06:07:00Z</dcterms:created>
  <dc:creator>無</dc:creator>
  <cp:lastModifiedBy>zs031</cp:lastModifiedBy>
  <dcterms:modified xsi:type="dcterms:W3CDTF">2025-07-17T08:03:27Z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60E618B4EE7944529E8B814920EB75DB_11</vt:lpwstr>
  </property>
  <property fmtid="{D5CDD505-2E9C-101B-9397-08002B2CF9AE}" pid="4" name="KSOTemplateDocerSaveRecord">
    <vt:lpwstr>eyJoZGlkIjoiOWM2NTZkMWE2ODMxMjk2ZTliNzlkYjZkYzNlZWJlZmUifQ==</vt:lpwstr>
  </property>
</Properties>
</file>