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7A55B">
      <w:pPr>
        <w:pStyle w:val="2"/>
        <w:spacing w:line="560" w:lineRule="exact"/>
        <w:ind w:left="3300" w:hanging="3300" w:hangingChars="750"/>
        <w:jc w:val="center"/>
        <w:rPr>
          <w:rFonts w:hint="eastAsia"/>
        </w:rPr>
      </w:pPr>
      <w:r>
        <w:rPr>
          <w:rFonts w:hint="eastAsia"/>
        </w:rPr>
        <w:t>白云区关于加快工业主特产业集聚发展</w:t>
      </w:r>
    </w:p>
    <w:p w14:paraId="012F8A80">
      <w:pPr>
        <w:pStyle w:val="2"/>
        <w:spacing w:line="560" w:lineRule="exact"/>
        <w:ind w:left="3300" w:hanging="3300" w:hangingChars="750"/>
        <w:jc w:val="center"/>
        <w:rPr>
          <w:rFonts w:hint="eastAsia" w:eastAsia="方正小标宋简体"/>
          <w:lang w:eastAsia="zh-CN"/>
        </w:rPr>
      </w:pPr>
      <w:r>
        <w:rPr>
          <w:rFonts w:hint="eastAsia"/>
        </w:rPr>
        <w:t>扶持政策</w:t>
      </w:r>
    </w:p>
    <w:p w14:paraId="2A636441">
      <w:pPr>
        <w:pStyle w:val="5"/>
        <w:spacing w:line="560" w:lineRule="exact"/>
        <w:ind w:firstLine="649"/>
        <w:rPr>
          <w:rFonts w:eastAsia="仿宋_GB2312" w:asciiTheme="minorHAnsi" w:hAnsiTheme="minorHAnsi" w:cstheme="minorBidi"/>
          <w:sz w:val="32"/>
          <w:szCs w:val="24"/>
          <w:lang w:eastAsia="zh-CN"/>
        </w:rPr>
      </w:pPr>
    </w:p>
    <w:p w14:paraId="4E9ABC7D">
      <w:pPr>
        <w:spacing w:line="560" w:lineRule="exact"/>
        <w:ind w:firstLine="800" w:firstLineChars="250"/>
      </w:pPr>
      <w:r>
        <w:rPr>
          <w:rFonts w:hint="eastAsia"/>
        </w:rPr>
        <w:t>为扎实抓好我区主导产业（电子信息制造）和特色产业（生态特色食品）发展，聚力打造贵州电子元器件集成基地、西南饮品集成示范基地，推进我区工业现代化体系建设，参照贵州省财政厅《省级财政支持“六大产业基地”建设的若干政策措施》等文件精神，结合白云区实际，对在贵阳市白云区注册设立的主特产业企业，制定以下5条扶持政策。</w:t>
      </w:r>
    </w:p>
    <w:p w14:paraId="05FDC3DA">
      <w:pPr>
        <w:spacing w:line="560" w:lineRule="exact"/>
        <w:ind w:firstLine="640" w:firstLineChars="200"/>
      </w:pPr>
      <w:r>
        <w:rPr>
          <w:rFonts w:hint="eastAsia"/>
        </w:rPr>
        <w:t>1、支持企业投资扩能。对企业年度新增生产设备以及设备技改实际固定资产投资额达到1000万元（含本数）以上的，按实际固定资产投资额的5%的标准给予资金奖励。</w:t>
      </w:r>
    </w:p>
    <w:p w14:paraId="6D980FC0">
      <w:pPr>
        <w:spacing w:line="560" w:lineRule="exact"/>
        <w:ind w:firstLine="640" w:firstLineChars="200"/>
      </w:pPr>
      <w:r>
        <w:rPr>
          <w:rFonts w:hint="eastAsia"/>
        </w:rPr>
        <w:t>2、支持企业提质增效。在企业年度完成1000万元以上固定资产投资额基础上，当年度工业总产值较上年同期增长20%以上的，给予20万元奖励。</w:t>
      </w:r>
      <w:bookmarkStart w:id="0" w:name="OLE_LINK1"/>
      <w:bookmarkStart w:id="1" w:name="OLE_LINK2"/>
    </w:p>
    <w:bookmarkEnd w:id="0"/>
    <w:bookmarkEnd w:id="1"/>
    <w:p w14:paraId="6E483836">
      <w:pPr>
        <w:spacing w:line="560" w:lineRule="exact"/>
        <w:ind w:firstLine="640" w:firstLineChars="200"/>
      </w:pPr>
      <w:r>
        <w:rPr>
          <w:rFonts w:hint="eastAsia"/>
        </w:rPr>
        <w:t>3、支持企业上规入统。在省、市给予上规奖补资金的基础上，对当年注册、当年上规入统的企业，再给予企业10万元区级上规奖补资金。</w:t>
      </w:r>
    </w:p>
    <w:p w14:paraId="221DEB43">
      <w:pPr>
        <w:spacing w:line="560" w:lineRule="exact"/>
        <w:ind w:firstLine="640" w:firstLineChars="200"/>
      </w:pPr>
      <w:r>
        <w:rPr>
          <w:rFonts w:hint="eastAsia"/>
        </w:rPr>
        <w:t>4、支持企业科技创新。企业年产值2亿元以上，年度研发经费占营业收入占比超过3%的，按企业年度研发经费的1.5%给予资金奖励（研发经费以税前加计数据为准）。</w:t>
      </w:r>
    </w:p>
    <w:p w14:paraId="469CC696">
      <w:pPr>
        <w:spacing w:line="560" w:lineRule="exact"/>
        <w:ind w:firstLine="640" w:firstLineChars="200"/>
      </w:pPr>
      <w:r>
        <w:rPr>
          <w:rFonts w:hint="eastAsia"/>
        </w:rPr>
        <w:t>5、支持企业引进人才。按照有关人才政策规定，落实“卡、钱、户、房、岗”要素保障，促进主特产业人才聚集。</w:t>
      </w:r>
    </w:p>
    <w:p w14:paraId="3A643ECC">
      <w:pPr>
        <w:spacing w:line="560" w:lineRule="exact"/>
        <w:ind w:firstLine="640" w:firstLineChars="200"/>
      </w:pPr>
      <w:r>
        <w:rPr>
          <w:rFonts w:hint="eastAsia"/>
        </w:rPr>
        <w:t>本政策自印发之日起施行，有效期至2027年12月31日，在本政策实施期间，项目可享受其他有效政策并按照就高原则享受政策。其他未尽事宜，由白云区工业和信息化局会同白云经开区管委会、白云区科技局负责解释。</w:t>
      </w:r>
    </w:p>
    <w:p w14:paraId="64B3E960">
      <w:pPr>
        <w:spacing w:line="560" w:lineRule="exact"/>
        <w:ind w:firstLine="640" w:firstLineChars="200"/>
      </w:pPr>
    </w:p>
    <w:p w14:paraId="224C80D0">
      <w:pPr>
        <w:spacing w:line="560" w:lineRule="exact"/>
        <w:ind w:firstLine="640" w:firstLineChars="200"/>
      </w:pPr>
    </w:p>
    <w:p w14:paraId="73402879">
      <w:pPr>
        <w:spacing w:line="560" w:lineRule="exact"/>
        <w:ind w:firstLine="480" w:firstLineChars="150"/>
      </w:pPr>
    </w:p>
    <w:p w14:paraId="573FD8A3">
      <w:pPr>
        <w:spacing w:line="560" w:lineRule="exact"/>
        <w:ind w:firstLine="480" w:firstLineChars="150"/>
      </w:pPr>
      <w:r>
        <w:rPr>
          <w:rFonts w:hint="eastAsia"/>
        </w:rPr>
        <w:t>附件</w:t>
      </w:r>
      <w:r>
        <w:rPr>
          <w:rFonts w:hint="eastAsia"/>
          <w:lang w:eastAsia="zh-CN"/>
        </w:rPr>
        <w:t>：</w:t>
      </w:r>
      <w:r>
        <w:rPr>
          <w:rFonts w:hint="eastAsia"/>
        </w:rPr>
        <w:t>白云区主特产业集聚发展扶持资金申报指南</w:t>
      </w:r>
    </w:p>
    <w:p w14:paraId="14C48317">
      <w:pPr>
        <w:spacing w:line="560" w:lineRule="exact"/>
      </w:pPr>
    </w:p>
    <w:p w14:paraId="336BB711">
      <w:pPr>
        <w:spacing w:line="560" w:lineRule="exact"/>
      </w:pPr>
    </w:p>
    <w:p w14:paraId="5AD7C395">
      <w:pPr>
        <w:spacing w:line="560" w:lineRule="exact"/>
      </w:pPr>
    </w:p>
    <w:p w14:paraId="2168E843">
      <w:pPr>
        <w:spacing w:line="560" w:lineRule="exact"/>
        <w:ind w:firstLine="480" w:firstLineChars="150"/>
      </w:pPr>
    </w:p>
    <w:p w14:paraId="2C64B58F">
      <w:pPr>
        <w:spacing w:line="560" w:lineRule="exact"/>
        <w:ind w:firstLine="480" w:firstLineChars="150"/>
      </w:pPr>
    </w:p>
    <w:p w14:paraId="754484C0">
      <w:pPr>
        <w:spacing w:line="560" w:lineRule="exact"/>
        <w:ind w:firstLine="480" w:firstLineChars="150"/>
      </w:pPr>
    </w:p>
    <w:p w14:paraId="3385DA62">
      <w:pPr>
        <w:spacing w:line="560" w:lineRule="exact"/>
        <w:ind w:firstLine="480" w:firstLineChars="150"/>
      </w:pPr>
    </w:p>
    <w:p w14:paraId="3FE4B855">
      <w:pPr>
        <w:spacing w:line="560" w:lineRule="exact"/>
        <w:ind w:firstLine="480" w:firstLineChars="150"/>
      </w:pPr>
    </w:p>
    <w:p w14:paraId="71C5749D">
      <w:pPr>
        <w:spacing w:line="560" w:lineRule="exact"/>
        <w:ind w:firstLine="480" w:firstLineChars="150"/>
      </w:pPr>
    </w:p>
    <w:p w14:paraId="026CC7FF">
      <w:pPr>
        <w:spacing w:line="560" w:lineRule="exact"/>
        <w:ind w:firstLine="480" w:firstLineChars="150"/>
      </w:pPr>
    </w:p>
    <w:p w14:paraId="6A6ED55F">
      <w:pPr>
        <w:spacing w:line="560" w:lineRule="exact"/>
        <w:ind w:firstLine="480" w:firstLineChars="150"/>
      </w:pPr>
    </w:p>
    <w:p w14:paraId="25E3BDBC">
      <w:pPr>
        <w:spacing w:line="560" w:lineRule="exact"/>
        <w:ind w:firstLine="480" w:firstLineChars="150"/>
      </w:pPr>
    </w:p>
    <w:p w14:paraId="4126B080">
      <w:pPr>
        <w:spacing w:line="560" w:lineRule="exact"/>
        <w:ind w:firstLine="480" w:firstLineChars="150"/>
      </w:pPr>
    </w:p>
    <w:p w14:paraId="21EEB61B">
      <w:pPr>
        <w:spacing w:line="560" w:lineRule="exact"/>
        <w:ind w:firstLine="480" w:firstLineChars="150"/>
      </w:pPr>
    </w:p>
    <w:p w14:paraId="12924750">
      <w:pPr>
        <w:spacing w:line="560" w:lineRule="exact"/>
        <w:ind w:firstLine="480" w:firstLineChars="150"/>
      </w:pPr>
    </w:p>
    <w:p w14:paraId="416E97B7">
      <w:pPr>
        <w:spacing w:line="560" w:lineRule="exact"/>
        <w:ind w:firstLine="1080" w:firstLineChars="300"/>
        <w:rPr>
          <w:rFonts w:ascii="方正小标宋简体" w:hAnsi="方正小标宋简体" w:cs="方正小标宋简体"/>
          <w:sz w:val="36"/>
          <w:szCs w:val="36"/>
        </w:rPr>
      </w:pPr>
    </w:p>
    <w:p w14:paraId="212BF3B5">
      <w:pPr>
        <w:spacing w:line="560" w:lineRule="exact"/>
        <w:ind w:firstLine="1080" w:firstLineChars="300"/>
        <w:rPr>
          <w:rFonts w:ascii="方正小标宋简体" w:hAnsi="方正小标宋简体" w:cs="方正小标宋简体"/>
          <w:sz w:val="36"/>
          <w:szCs w:val="36"/>
        </w:rPr>
      </w:pPr>
    </w:p>
    <w:p w14:paraId="69339B1C">
      <w:pPr>
        <w:spacing w:line="560" w:lineRule="exac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附件：</w:t>
      </w:r>
    </w:p>
    <w:p w14:paraId="27DFC9E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</w:p>
    <w:p w14:paraId="58448E2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FF0000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  <w:t>白云区主特产业集聚发展扶持资金申报指南</w:t>
      </w:r>
    </w:p>
    <w:p w14:paraId="2F79A1BB">
      <w:pPr>
        <w:spacing w:line="560" w:lineRule="exact"/>
        <w:ind w:firstLine="640" w:firstLineChars="200"/>
      </w:pPr>
    </w:p>
    <w:p w14:paraId="5D040A2A"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申报资料</w:t>
      </w:r>
    </w:p>
    <w:p w14:paraId="1C4E44F8">
      <w:pPr>
        <w:spacing w:line="560" w:lineRule="exact"/>
        <w:ind w:firstLine="640" w:firstLineChars="200"/>
      </w:pPr>
      <w:r>
        <w:rPr>
          <w:rFonts w:hint="eastAsia"/>
        </w:rPr>
        <w:t xml:space="preserve"> 申报企业按要求准备申报资料</w:t>
      </w:r>
      <w:bookmarkStart w:id="3" w:name="_GoBack"/>
      <w:bookmarkEnd w:id="3"/>
      <w:r>
        <w:rPr>
          <w:rFonts w:hint="eastAsia"/>
        </w:rPr>
        <w:t>，申报材料需加盖企业公章。</w:t>
      </w:r>
    </w:p>
    <w:p w14:paraId="2238EF77">
      <w:pPr>
        <w:spacing w:line="560" w:lineRule="exact"/>
        <w:ind w:firstLine="640" w:firstLineChars="200"/>
      </w:pPr>
      <w:r>
        <w:rPr>
          <w:rFonts w:hint="eastAsia"/>
        </w:rPr>
        <w:t>（一）资金申报报告</w:t>
      </w:r>
    </w:p>
    <w:p w14:paraId="6FE4A4B0">
      <w:pPr>
        <w:spacing w:line="560" w:lineRule="exact"/>
        <w:ind w:firstLine="640" w:firstLineChars="200"/>
        <w:rPr>
          <w:color w:val="FF0000"/>
        </w:rPr>
      </w:pPr>
      <w:r>
        <w:rPr>
          <w:rFonts w:hint="eastAsia"/>
        </w:rPr>
        <w:t>（二）项目审批、核准或备案文件复印件。项目实际完成投资明细和已投入项目建设的有效凭证（以发票为准）。</w:t>
      </w:r>
    </w:p>
    <w:p w14:paraId="5889EB06">
      <w:pPr>
        <w:spacing w:line="560" w:lineRule="exact"/>
        <w:ind w:firstLine="640" w:firstLineChars="200"/>
      </w:pPr>
      <w:r>
        <w:rPr>
          <w:rFonts w:hint="eastAsia"/>
        </w:rPr>
        <w:t>（三）企业年度会计报表</w:t>
      </w:r>
    </w:p>
    <w:p w14:paraId="1C9A07C8">
      <w:pPr>
        <w:spacing w:line="560" w:lineRule="exact"/>
        <w:ind w:firstLine="640" w:firstLineChars="200"/>
      </w:pPr>
      <w:r>
        <w:rPr>
          <w:rFonts w:hint="eastAsia"/>
        </w:rPr>
        <w:t>（四）企业年度产值增长情况由企业自行提供申报国家统计云相关数据，截图并加盖企业公章确认。</w:t>
      </w:r>
    </w:p>
    <w:p w14:paraId="6803B723">
      <w:pPr>
        <w:spacing w:line="560" w:lineRule="exact"/>
        <w:ind w:firstLine="640" w:firstLineChars="200"/>
      </w:pPr>
      <w:r>
        <w:rPr>
          <w:rFonts w:hint="eastAsia"/>
        </w:rPr>
        <w:t>（五）纳税申报表中的研发费用加计扣除优惠明细表</w:t>
      </w:r>
    </w:p>
    <w:p w14:paraId="130DCD75">
      <w:pPr>
        <w:spacing w:line="560" w:lineRule="exact"/>
        <w:ind w:firstLine="640" w:firstLineChars="200"/>
      </w:pPr>
      <w:r>
        <w:rPr>
          <w:rFonts w:hint="eastAsia"/>
        </w:rPr>
        <w:t>（六）企业主要生产图片、企业生产场地外部及内部图片</w:t>
      </w:r>
    </w:p>
    <w:p w14:paraId="0948BD89">
      <w:pPr>
        <w:spacing w:line="560" w:lineRule="exact"/>
        <w:ind w:firstLine="640" w:firstLineChars="200"/>
      </w:pPr>
      <w:r>
        <w:rPr>
          <w:rFonts w:hint="eastAsia"/>
        </w:rPr>
        <w:t>（七）生产许可证等必要提供的材料</w:t>
      </w:r>
    </w:p>
    <w:p w14:paraId="46980AA1">
      <w:pPr>
        <w:spacing w:line="560" w:lineRule="exact"/>
        <w:ind w:firstLine="640" w:firstLineChars="200"/>
      </w:pPr>
      <w:r>
        <w:rPr>
          <w:rFonts w:hint="eastAsia"/>
        </w:rPr>
        <w:t>（八）企业近三年未发生重大安全、质量、环境污染等事故及偷税漏税、拖欠农民工工资等违法违规行为（信用中国下载报告）</w:t>
      </w:r>
    </w:p>
    <w:p w14:paraId="48F57183">
      <w:pPr>
        <w:spacing w:line="560" w:lineRule="exact"/>
        <w:ind w:firstLine="640" w:firstLineChars="200"/>
      </w:pPr>
      <w:r>
        <w:rPr>
          <w:rFonts w:hint="eastAsia"/>
        </w:rPr>
        <w:t>（九）材料真实性合法性声明（法人签字后加盖企业公章）</w:t>
      </w:r>
    </w:p>
    <w:p w14:paraId="7CFBBEFE"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申报流程</w:t>
      </w:r>
    </w:p>
    <w:p w14:paraId="41FA7313">
      <w:pPr>
        <w:spacing w:line="560" w:lineRule="exact"/>
        <w:ind w:firstLine="640" w:firstLineChars="200"/>
      </w:pPr>
      <w:r>
        <w:rPr>
          <w:rFonts w:hint="eastAsia"/>
        </w:rPr>
        <w:t>申报企业按要求报送申报材料，扶持资金项目专家评审和综合评定相结合方式，确保公开、公平、公正。申报程序如下：</w:t>
      </w:r>
    </w:p>
    <w:p w14:paraId="5DB67025">
      <w:pPr>
        <w:spacing w:line="560" w:lineRule="exact"/>
        <w:ind w:firstLine="640" w:firstLineChars="200"/>
      </w:pPr>
      <w:r>
        <w:rPr>
          <w:rFonts w:hint="eastAsia"/>
        </w:rPr>
        <w:t>（一）申报。区工信局会同白云经开区组织辖区内主特产业企业提交扶持政策1-3条的申报材料、区科技局组织提交扶持政策4条申报材料。</w:t>
      </w:r>
    </w:p>
    <w:p w14:paraId="363819F5">
      <w:pPr>
        <w:spacing w:line="560" w:lineRule="exact"/>
        <w:ind w:firstLine="640" w:firstLineChars="200"/>
      </w:pPr>
      <w:r>
        <w:rPr>
          <w:rFonts w:hint="eastAsia"/>
        </w:rPr>
        <w:t>（二）初审。区工信局</w:t>
      </w:r>
      <w:bookmarkStart w:id="2" w:name="OLE_LINK3"/>
      <w:r>
        <w:rPr>
          <w:rFonts w:hint="eastAsia"/>
        </w:rPr>
        <w:t>会同白云经开区</w:t>
      </w:r>
      <w:bookmarkEnd w:id="2"/>
      <w:r>
        <w:rPr>
          <w:rFonts w:hint="eastAsia"/>
        </w:rPr>
        <w:t>对对扶持政策1-3条，区科技局对扶持政策4条申报项目进行初审，重点审查申报企业是否具备申请资格、申报文件材料是否齐全、是否真实有效等，审核无异议后出具推荐意见。</w:t>
      </w:r>
    </w:p>
    <w:p w14:paraId="500B59C4">
      <w:pPr>
        <w:spacing w:line="560" w:lineRule="exact"/>
        <w:ind w:firstLine="640" w:firstLineChars="200"/>
      </w:pPr>
      <w:r>
        <w:rPr>
          <w:rFonts w:hint="eastAsia"/>
        </w:rPr>
        <w:t>（三）审核及公示。区工信局、白云经开区对扶持政策1-3条、区科技局对扶持政策4条按照申报情况，汇同区税务局、区发改局、区市场监督管理局等职能部门对申报主体及相关材料进行复核，对申报企业的申报资料的完整性、真实性严格把关，并按有关规定进行公示，公示期不少于5个工作日。</w:t>
      </w:r>
    </w:p>
    <w:p w14:paraId="4800B7B5">
      <w:pPr>
        <w:spacing w:line="560" w:lineRule="exact"/>
        <w:ind w:firstLine="640" w:firstLineChars="200"/>
      </w:pPr>
      <w:r>
        <w:rPr>
          <w:rFonts w:hint="eastAsia"/>
        </w:rPr>
        <w:t>公示无异议的，由区工信局负责对扶持政策1-3条、区科技局负责对扶持政策4条根据企业（项目）情况申报预算，区财政局做好资金保障，区工信局负责将扶持政策1-3条、区科技局负责扶持政策4条资金拨付给企业。</w:t>
      </w:r>
    </w:p>
    <w:p w14:paraId="101C05B8">
      <w:pPr>
        <w:spacing w:line="560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三、扶持资金不支持有下列情形之一的企业及项目</w:t>
      </w:r>
    </w:p>
    <w:p w14:paraId="2D968A7B">
      <w:pPr>
        <w:spacing w:line="560" w:lineRule="exact"/>
        <w:ind w:firstLine="640" w:firstLineChars="200"/>
      </w:pPr>
      <w:r>
        <w:rPr>
          <w:rFonts w:hint="eastAsia"/>
        </w:rPr>
        <w:t>（一）近三年内存在严重失信行为、严重违法违规行为。</w:t>
      </w:r>
    </w:p>
    <w:p w14:paraId="32BE7212">
      <w:pPr>
        <w:spacing w:line="560" w:lineRule="exact"/>
        <w:ind w:firstLine="640" w:firstLineChars="200"/>
      </w:pPr>
      <w:r>
        <w:rPr>
          <w:rFonts w:hint="eastAsia"/>
        </w:rPr>
        <w:t>（二）使用政府财政扶持资金有严重违约行为，正在接受有关部门调查。</w:t>
      </w:r>
    </w:p>
    <w:p w14:paraId="55747862">
      <w:pPr>
        <w:spacing w:line="560" w:lineRule="exact"/>
        <w:ind w:firstLine="640" w:firstLineChars="200"/>
      </w:pPr>
      <w:r>
        <w:rPr>
          <w:rFonts w:hint="eastAsia"/>
        </w:rPr>
        <w:t>（三）正在进行有可能影响正常经营活动的重大诉讼、仲裁或其他相关情形。</w:t>
      </w:r>
    </w:p>
    <w:p w14:paraId="7CA673CF">
      <w:pPr>
        <w:spacing w:line="560" w:lineRule="exact"/>
        <w:ind w:firstLine="640" w:firstLineChars="200"/>
      </w:pPr>
      <w:r>
        <w:rPr>
          <w:rFonts w:hint="eastAsia"/>
        </w:rPr>
        <w:t>（四）其他政府部门不予支持的情形。</w:t>
      </w:r>
    </w:p>
    <w:p w14:paraId="6A40C9E3">
      <w:pPr>
        <w:pStyle w:val="3"/>
        <w:spacing w:line="560" w:lineRule="exact"/>
        <w:ind w:firstLine="640" w:firstLineChars="200"/>
        <w:jc w:val="left"/>
      </w:pPr>
      <w:r>
        <w:rPr>
          <w:rFonts w:hint="eastAsia"/>
        </w:rPr>
        <w:t>四、监督管理与法律责任</w:t>
      </w:r>
    </w:p>
    <w:p w14:paraId="301C25DF">
      <w:pPr>
        <w:spacing w:line="560" w:lineRule="exact"/>
        <w:ind w:firstLine="640" w:firstLineChars="200"/>
      </w:pPr>
      <w:r>
        <w:rPr>
          <w:rFonts w:hint="eastAsia"/>
        </w:rPr>
        <w:t>区工信局、白云经开区、区科技局、区财政局按照职责分工、各司其职，协同做好专项资金管理工作。</w:t>
      </w:r>
    </w:p>
    <w:p w14:paraId="1A7F4448">
      <w:pPr>
        <w:spacing w:line="560" w:lineRule="exact"/>
        <w:ind w:firstLine="640" w:firstLineChars="200"/>
      </w:pPr>
      <w:r>
        <w:rPr>
          <w:rFonts w:hint="eastAsia"/>
        </w:rPr>
        <w:t>（一）区财政局负责安排专项资金预算，根据区工信局、区科技局会同职能部门审核结果下达资金。推动扶持资金及早发力，按照能快则快、能早则早的原则进行拨付。</w:t>
      </w:r>
    </w:p>
    <w:p w14:paraId="595622AF">
      <w:pPr>
        <w:spacing w:line="560" w:lineRule="exact"/>
        <w:ind w:firstLine="640" w:firstLineChars="200"/>
      </w:pPr>
      <w:r>
        <w:rPr>
          <w:rFonts w:hint="eastAsia"/>
        </w:rPr>
        <w:t>（二）区工信局会同白云经开区对扶持政策1-3条、区科技局对扶持政策4条开展企业（项目）绩效评价工作。加强对企业经营（项目实施）的监督指导，加强资金日常的管理和检查，指导企业尽早投产达产满产，发挥效益。</w:t>
      </w:r>
    </w:p>
    <w:p w14:paraId="206DE583">
      <w:pPr>
        <w:spacing w:line="560" w:lineRule="exact"/>
        <w:ind w:firstLine="640" w:firstLineChars="200"/>
        <w:rPr>
          <w:rFonts w:ascii="Arial" w:hAnsi="Arial" w:eastAsia="黑体"/>
        </w:rPr>
      </w:pPr>
      <w:r>
        <w:rPr>
          <w:rFonts w:hint="eastAsia" w:ascii="Arial" w:hAnsi="Arial" w:eastAsia="黑体"/>
        </w:rPr>
        <w:t>五、附则</w:t>
      </w:r>
    </w:p>
    <w:p w14:paraId="4D7EA4E4">
      <w:pPr>
        <w:spacing w:line="560" w:lineRule="exact"/>
        <w:ind w:firstLine="640" w:firstLineChars="200"/>
      </w:pPr>
      <w:r>
        <w:rPr>
          <w:rFonts w:hint="eastAsia"/>
        </w:rPr>
        <w:t>（一）申请扶持资金的企业，如存在弄虚作假等方式骗取资金，或未按规定用途使用的，一经发现，由资金兑现单位依法追回，今后不再受理该企业的申报，并将该企业列入失信名单。任何单位、企业及个人非法骗取、冒领、截留、挤占、挪用、套用、滥用本政策扶持、补助、奖励的，由有关部门依法依规追回扶持资金，涉嫌犯罪的，移交司法机关依法追究相关法律责任。</w:t>
      </w:r>
    </w:p>
    <w:p w14:paraId="7E367A39">
      <w:pPr>
        <w:spacing w:line="560" w:lineRule="exact"/>
        <w:ind w:firstLine="640" w:firstLineChars="200"/>
      </w:pPr>
      <w:r>
        <w:rPr>
          <w:rFonts w:hint="eastAsia"/>
        </w:rPr>
        <w:t>（二）企业收到扶持资金后，应严格按规定使用，并按现行财务会计制度进行账务处理。专项资金主要用于与企业（项目）相关的研发创新、技术（设备、工艺）更新改造、原材料采购和运输、扩大再生产、品牌建设、产品市场推广、员工培训、偿还企业贷款（含利息）等方面。</w:t>
      </w:r>
    </w:p>
    <w:p w14:paraId="730E0903">
      <w:pPr>
        <w:spacing w:line="560" w:lineRule="exact"/>
        <w:ind w:firstLine="640" w:firstLineChars="200"/>
      </w:pPr>
      <w:r>
        <w:rPr>
          <w:rFonts w:hint="eastAsia"/>
        </w:rPr>
        <w:t>（三）本政策相关条款如与法律法规相关精神不符的，以法律法规规定为准。本政策实施期间，如中央、省、市出台新的规定，将根据具体规定及执行情况对本政策进行及时调整。</w:t>
      </w:r>
    </w:p>
    <w:p w14:paraId="4AFD07DF">
      <w:pPr>
        <w:spacing w:line="560" w:lineRule="exact"/>
        <w:ind w:firstLine="640" w:firstLineChars="20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80289">
    <w:pPr>
      <w:pStyle w:val="6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4A768A6"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D5612B"/>
    <w:multiLevelType w:val="singleLevel"/>
    <w:tmpl w:val="14D5612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c1ZjFiMDNjYjVhNmI2MTEyYzI2MDczYjMyMWM3NjMifQ=="/>
  </w:docVars>
  <w:rsids>
    <w:rsidRoot w:val="00F23100"/>
    <w:rsid w:val="00042F00"/>
    <w:rsid w:val="00046176"/>
    <w:rsid w:val="000833F9"/>
    <w:rsid w:val="000A089F"/>
    <w:rsid w:val="00174A91"/>
    <w:rsid w:val="00252019"/>
    <w:rsid w:val="00291F6D"/>
    <w:rsid w:val="00374C06"/>
    <w:rsid w:val="00376885"/>
    <w:rsid w:val="003C5CAD"/>
    <w:rsid w:val="00405979"/>
    <w:rsid w:val="00432110"/>
    <w:rsid w:val="004620DF"/>
    <w:rsid w:val="004F01F5"/>
    <w:rsid w:val="0054214B"/>
    <w:rsid w:val="005B179B"/>
    <w:rsid w:val="005C316C"/>
    <w:rsid w:val="0065120C"/>
    <w:rsid w:val="006A1F50"/>
    <w:rsid w:val="006E0BE6"/>
    <w:rsid w:val="006F5ECA"/>
    <w:rsid w:val="00743730"/>
    <w:rsid w:val="007D408D"/>
    <w:rsid w:val="007E7089"/>
    <w:rsid w:val="007F6E50"/>
    <w:rsid w:val="00805415"/>
    <w:rsid w:val="00845367"/>
    <w:rsid w:val="008565F4"/>
    <w:rsid w:val="00897C11"/>
    <w:rsid w:val="008B139A"/>
    <w:rsid w:val="008E0701"/>
    <w:rsid w:val="00924F72"/>
    <w:rsid w:val="00944637"/>
    <w:rsid w:val="00992EA3"/>
    <w:rsid w:val="009D4AFF"/>
    <w:rsid w:val="00A43F3B"/>
    <w:rsid w:val="00A76FF8"/>
    <w:rsid w:val="00AF0CE4"/>
    <w:rsid w:val="00DE4260"/>
    <w:rsid w:val="00DF02EE"/>
    <w:rsid w:val="00E04596"/>
    <w:rsid w:val="00E94D3A"/>
    <w:rsid w:val="00F23100"/>
    <w:rsid w:val="00F63BE9"/>
    <w:rsid w:val="00F67AC5"/>
    <w:rsid w:val="00F87071"/>
    <w:rsid w:val="027F6D57"/>
    <w:rsid w:val="02A227A1"/>
    <w:rsid w:val="0396194E"/>
    <w:rsid w:val="0773573F"/>
    <w:rsid w:val="081B54CF"/>
    <w:rsid w:val="084A2E08"/>
    <w:rsid w:val="0A186A74"/>
    <w:rsid w:val="0A9A0D5B"/>
    <w:rsid w:val="0B1D461D"/>
    <w:rsid w:val="0B907F82"/>
    <w:rsid w:val="0C3059A7"/>
    <w:rsid w:val="0F8A68F3"/>
    <w:rsid w:val="0FD83CA6"/>
    <w:rsid w:val="11B06097"/>
    <w:rsid w:val="11C91AF8"/>
    <w:rsid w:val="136715C8"/>
    <w:rsid w:val="14423DE3"/>
    <w:rsid w:val="15472462"/>
    <w:rsid w:val="155713D3"/>
    <w:rsid w:val="16404BF0"/>
    <w:rsid w:val="17936E30"/>
    <w:rsid w:val="18654B66"/>
    <w:rsid w:val="18B76B4E"/>
    <w:rsid w:val="18ED07C2"/>
    <w:rsid w:val="1917300C"/>
    <w:rsid w:val="198A015E"/>
    <w:rsid w:val="199476C8"/>
    <w:rsid w:val="19D159ED"/>
    <w:rsid w:val="1A01758D"/>
    <w:rsid w:val="1A845156"/>
    <w:rsid w:val="1B5D4464"/>
    <w:rsid w:val="1BF9747E"/>
    <w:rsid w:val="1DD261D8"/>
    <w:rsid w:val="1F4849A4"/>
    <w:rsid w:val="206770AC"/>
    <w:rsid w:val="22124DF5"/>
    <w:rsid w:val="22186BBD"/>
    <w:rsid w:val="23EB1CD2"/>
    <w:rsid w:val="2547125A"/>
    <w:rsid w:val="273852FE"/>
    <w:rsid w:val="27EE1F46"/>
    <w:rsid w:val="29F319B0"/>
    <w:rsid w:val="2D8C63A3"/>
    <w:rsid w:val="2E972735"/>
    <w:rsid w:val="2E9B6172"/>
    <w:rsid w:val="2ED753FC"/>
    <w:rsid w:val="2F177EEF"/>
    <w:rsid w:val="30702187"/>
    <w:rsid w:val="31FB3AF8"/>
    <w:rsid w:val="35337105"/>
    <w:rsid w:val="36561233"/>
    <w:rsid w:val="370451FC"/>
    <w:rsid w:val="37B00EE0"/>
    <w:rsid w:val="39561614"/>
    <w:rsid w:val="397A17A6"/>
    <w:rsid w:val="3A3E0A25"/>
    <w:rsid w:val="3C01177E"/>
    <w:rsid w:val="3E9B4424"/>
    <w:rsid w:val="3EBA43F3"/>
    <w:rsid w:val="41E40104"/>
    <w:rsid w:val="42A95947"/>
    <w:rsid w:val="461E4E80"/>
    <w:rsid w:val="47095A88"/>
    <w:rsid w:val="48853CC3"/>
    <w:rsid w:val="49CF51F6"/>
    <w:rsid w:val="4A062BE2"/>
    <w:rsid w:val="4D38239B"/>
    <w:rsid w:val="4EC85950"/>
    <w:rsid w:val="4F9A464E"/>
    <w:rsid w:val="508D7BB9"/>
    <w:rsid w:val="50CF5EEA"/>
    <w:rsid w:val="52FC5C9E"/>
    <w:rsid w:val="542D63C3"/>
    <w:rsid w:val="566775D0"/>
    <w:rsid w:val="576645CF"/>
    <w:rsid w:val="5785783C"/>
    <w:rsid w:val="57A52C26"/>
    <w:rsid w:val="58BF6D7E"/>
    <w:rsid w:val="58E701E7"/>
    <w:rsid w:val="5A335284"/>
    <w:rsid w:val="5B3D0A3D"/>
    <w:rsid w:val="5CA4492F"/>
    <w:rsid w:val="5E4F3785"/>
    <w:rsid w:val="5F1C6CD8"/>
    <w:rsid w:val="5FBF0F0E"/>
    <w:rsid w:val="609C4405"/>
    <w:rsid w:val="63DA2F33"/>
    <w:rsid w:val="66287D10"/>
    <w:rsid w:val="66A3383B"/>
    <w:rsid w:val="67825B46"/>
    <w:rsid w:val="67BC4303"/>
    <w:rsid w:val="687A4A6F"/>
    <w:rsid w:val="6AE508C6"/>
    <w:rsid w:val="6B6C069F"/>
    <w:rsid w:val="6BF30DC0"/>
    <w:rsid w:val="6C262F44"/>
    <w:rsid w:val="6C3167E1"/>
    <w:rsid w:val="6C8E0AE9"/>
    <w:rsid w:val="6D7B2E1B"/>
    <w:rsid w:val="6E851852"/>
    <w:rsid w:val="6EEC1689"/>
    <w:rsid w:val="6F3D018E"/>
    <w:rsid w:val="739369E5"/>
    <w:rsid w:val="759E0E03"/>
    <w:rsid w:val="75F406CA"/>
    <w:rsid w:val="76796366"/>
    <w:rsid w:val="76D87530"/>
    <w:rsid w:val="77BA69B4"/>
    <w:rsid w:val="7A8C48BA"/>
    <w:rsid w:val="7BAC4F88"/>
    <w:rsid w:val="7C6043DA"/>
    <w:rsid w:val="7DC41F1A"/>
    <w:rsid w:val="7E9207CA"/>
    <w:rsid w:val="7F4137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spacing w:line="413" w:lineRule="auto"/>
      <w:jc w:val="center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line="413" w:lineRule="auto"/>
      <w:outlineLvl w:val="2"/>
    </w:pPr>
    <w:rPr>
      <w:rFonts w:eastAsia="楷体_GB231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3 Char"/>
    <w:link w:val="4"/>
    <w:qFormat/>
    <w:uiPriority w:val="0"/>
    <w:rPr>
      <w:rFonts w:eastAsia="楷体_GB2312" w:asciiTheme="minorHAnsi" w:hAnsiTheme="minorHAnsi"/>
      <w:sz w:val="32"/>
    </w:rPr>
  </w:style>
  <w:style w:type="character" w:customStyle="1" w:styleId="11">
    <w:name w:val="标题 2 Char"/>
    <w:link w:val="3"/>
    <w:qFormat/>
    <w:uiPriority w:val="0"/>
    <w:rPr>
      <w:rFonts w:ascii="Arial" w:hAnsi="Arial" w:eastAsia="黑体"/>
      <w:sz w:val="32"/>
    </w:rPr>
  </w:style>
  <w:style w:type="character" w:customStyle="1" w:styleId="12">
    <w:name w:val="页眉 Char"/>
    <w:basedOn w:val="9"/>
    <w:link w:val="7"/>
    <w:qFormat/>
    <w:uiPriority w:val="0"/>
    <w:rPr>
      <w:rFonts w:eastAsia="仿宋_GB2312" w:asciiTheme="minorHAnsi" w:hAnsiTheme="minorHAnsi" w:cstheme="minorBidi"/>
      <w:kern w:val="2"/>
      <w:sz w:val="18"/>
      <w:szCs w:val="18"/>
    </w:rPr>
  </w:style>
  <w:style w:type="character" w:customStyle="1" w:styleId="13">
    <w:name w:val="页脚 Char"/>
    <w:basedOn w:val="9"/>
    <w:link w:val="6"/>
    <w:qFormat/>
    <w:uiPriority w:val="0"/>
    <w:rPr>
      <w:rFonts w:eastAsia="仿宋_GB2312"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2088</Words>
  <Characters>2120</Characters>
  <Lines>15</Lines>
  <Paragraphs>4</Paragraphs>
  <TotalTime>113</TotalTime>
  <ScaleCrop>false</ScaleCrop>
  <LinksUpToDate>false</LinksUpToDate>
  <CharactersWithSpaces>2124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2025-07-15T01:30:00Z</dcterms:created>
  <dc:creator>1</dc:creator>
  <cp:lastModifiedBy>代从祥</cp:lastModifiedBy>
  <cp:lastPrinted>2025-07-15T02:02:07Z</cp:lastPrinted>
  <dcterms:modified xsi:type="dcterms:W3CDTF">2025-07-15T03:51:35Z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D7336C96DE4C450DA2C3F7D9993D5CDC_13</vt:lpwstr>
  </property>
  <property fmtid="{D5CDD505-2E9C-101B-9397-08002B2CF9AE}" pid="4" name="KSOTemplateDocerSaveRecord">
    <vt:lpwstr>eyJoZGlkIjoiNDIxYWJmMzMyNDMyZjc2Nzc5YWY2YTE4NDgyNzEzNDEiLCJ1c2VySWQiOiIxOTczMjIzNTQifQ==</vt:lpwstr>
  </property>
</Properties>
</file>