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A6A54">
      <w:pPr>
        <w:pStyle w:val="3"/>
        <w:jc w:val="both"/>
        <w:rPr>
          <w:rFonts w:hint="eastAsia" w:ascii="宋体" w:hAnsi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1"/>
          <w:szCs w:val="21"/>
        </w:rPr>
        <w:t>附件</w:t>
      </w:r>
      <w:r>
        <w:rPr>
          <w:rFonts w:hint="eastAsia" w:ascii="宋体" w:hAnsi="宋体" w:cs="宋体"/>
          <w:b/>
          <w:bCs/>
          <w:color w:val="000000"/>
          <w:sz w:val="21"/>
          <w:szCs w:val="21"/>
          <w:lang w:val="en-US" w:eastAsia="zh-CN"/>
        </w:rPr>
        <w:t xml:space="preserve">:                             </w:t>
      </w:r>
    </w:p>
    <w:p w14:paraId="27A94646">
      <w:pPr>
        <w:pStyle w:val="3"/>
        <w:ind w:firstLine="5903" w:firstLineChars="2800"/>
        <w:jc w:val="both"/>
        <w:rPr>
          <w:rFonts w:hint="eastAsia" w:ascii="宋体" w:hAnsi="宋体" w:cs="宋体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sz w:val="21"/>
          <w:szCs w:val="21"/>
          <w:lang w:eastAsia="zh-CN"/>
        </w:rPr>
        <w:t>南明区永乐乡</w:t>
      </w:r>
      <w:r>
        <w:rPr>
          <w:rFonts w:hint="eastAsia" w:ascii="宋体" w:hAnsi="宋体" w:cs="宋体"/>
          <w:b/>
          <w:bCs/>
          <w:color w:val="000000"/>
          <w:sz w:val="21"/>
          <w:szCs w:val="21"/>
          <w:lang w:val="en-US" w:eastAsia="zh-CN"/>
        </w:rPr>
        <w:t>2025年</w:t>
      </w:r>
      <w:r>
        <w:rPr>
          <w:rFonts w:hint="eastAsia" w:ascii="宋体" w:hAnsi="宋体" w:cs="宋体"/>
          <w:b/>
          <w:bCs/>
          <w:color w:val="000000"/>
          <w:sz w:val="21"/>
          <w:szCs w:val="21"/>
          <w:lang w:eastAsia="zh-CN"/>
        </w:rPr>
        <w:t>农业产业强镇项目建设方案相关内容</w:t>
      </w:r>
      <w:r>
        <w:rPr>
          <w:rFonts w:hint="eastAsia" w:ascii="宋体" w:hAnsi="宋体" w:cs="宋体"/>
          <w:b/>
          <w:bCs/>
          <w:color w:val="000000"/>
          <w:sz w:val="21"/>
          <w:szCs w:val="21"/>
          <w:lang w:val="en-US" w:eastAsia="zh-CN"/>
        </w:rPr>
        <w:t xml:space="preserve">                                                    </w:t>
      </w:r>
    </w:p>
    <w:p w14:paraId="46C7995A">
      <w:pPr>
        <w:pStyle w:val="3"/>
        <w:jc w:val="both"/>
        <w:rPr>
          <w:rFonts w:hint="eastAsia" w:ascii="宋体" w:hAnsi="宋体" w:cs="宋体"/>
          <w:b/>
          <w:bCs/>
          <w:color w:val="000000"/>
          <w:sz w:val="21"/>
          <w:szCs w:val="21"/>
          <w:lang w:val="en-US" w:eastAsia="zh-CN"/>
        </w:rPr>
      </w:pPr>
    </w:p>
    <w:p w14:paraId="0FE950DE">
      <w:pPr>
        <w:pStyle w:val="3"/>
        <w:ind w:firstLine="6114" w:firstLineChars="2900"/>
        <w:jc w:val="both"/>
        <w:rPr>
          <w:rFonts w:hint="eastAsia" w:ascii="宋体" w:hAnsi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cs="宋体"/>
          <w:b/>
          <w:bCs/>
          <w:color w:val="00000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cs="宋体"/>
          <w:b/>
          <w:bCs/>
          <w:color w:val="000000"/>
          <w:sz w:val="21"/>
          <w:szCs w:val="21"/>
        </w:rPr>
        <w:t xml:space="preserve">表1 </w:t>
      </w:r>
      <w:r>
        <w:rPr>
          <w:rFonts w:hint="eastAsia" w:ascii="宋体" w:hAnsi="宋体" w:cs="宋体"/>
          <w:b/>
          <w:bCs/>
          <w:color w:val="000000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cs="宋体"/>
          <w:b/>
          <w:bCs/>
          <w:color w:val="000000"/>
          <w:sz w:val="21"/>
          <w:szCs w:val="21"/>
        </w:rPr>
        <w:t>300万中央财政奖补资金使用情况</w:t>
      </w:r>
    </w:p>
    <w:tbl>
      <w:tblPr>
        <w:tblStyle w:val="4"/>
        <w:tblW w:w="0" w:type="auto"/>
        <w:tblInd w:w="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249"/>
        <w:gridCol w:w="1067"/>
        <w:gridCol w:w="798"/>
        <w:gridCol w:w="2014"/>
        <w:gridCol w:w="1350"/>
        <w:gridCol w:w="2781"/>
        <w:gridCol w:w="2863"/>
        <w:gridCol w:w="1500"/>
        <w:gridCol w:w="2752"/>
        <w:gridCol w:w="728"/>
        <w:gridCol w:w="900"/>
        <w:gridCol w:w="694"/>
        <w:gridCol w:w="746"/>
        <w:gridCol w:w="985"/>
      </w:tblGrid>
      <w:tr w14:paraId="3B4E0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18" w:type="dxa"/>
            <w:vMerge w:val="restart"/>
            <w:shd w:val="clear" w:color="auto" w:fill="FFFFFF"/>
            <w:noWrap w:val="0"/>
            <w:vAlign w:val="center"/>
          </w:tcPr>
          <w:p w14:paraId="2B52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49" w:type="dxa"/>
            <w:vMerge w:val="restart"/>
            <w:shd w:val="clear" w:color="auto" w:fill="FFFFFF"/>
            <w:noWrap w:val="0"/>
            <w:vAlign w:val="center"/>
          </w:tcPr>
          <w:p w14:paraId="7B2C5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建设项目名称</w:t>
            </w:r>
          </w:p>
        </w:tc>
        <w:tc>
          <w:tcPr>
            <w:tcW w:w="1067" w:type="dxa"/>
            <w:vMerge w:val="restart"/>
            <w:shd w:val="clear" w:color="auto" w:fill="FFFFFF"/>
            <w:noWrap w:val="0"/>
            <w:vAlign w:val="center"/>
          </w:tcPr>
          <w:p w14:paraId="544E8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建设承担主体</w:t>
            </w:r>
          </w:p>
        </w:tc>
        <w:tc>
          <w:tcPr>
            <w:tcW w:w="798" w:type="dxa"/>
            <w:vMerge w:val="restart"/>
            <w:shd w:val="clear" w:color="auto" w:fill="FFFFFF"/>
            <w:noWrap w:val="0"/>
            <w:vAlign w:val="center"/>
          </w:tcPr>
          <w:p w14:paraId="642E2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建设地点</w:t>
            </w:r>
          </w:p>
        </w:tc>
        <w:tc>
          <w:tcPr>
            <w:tcW w:w="10508" w:type="dxa"/>
            <w:gridSpan w:val="5"/>
            <w:vMerge w:val="restart"/>
            <w:shd w:val="clear" w:color="auto" w:fill="FFFFFF"/>
            <w:noWrap w:val="0"/>
            <w:vAlign w:val="center"/>
          </w:tcPr>
          <w:p w14:paraId="12D3C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建设内容</w:t>
            </w:r>
          </w:p>
        </w:tc>
        <w:tc>
          <w:tcPr>
            <w:tcW w:w="2752" w:type="dxa"/>
            <w:vMerge w:val="restart"/>
            <w:shd w:val="clear" w:color="auto" w:fill="FFFFFF"/>
            <w:noWrap w:val="0"/>
            <w:vAlign w:val="center"/>
          </w:tcPr>
          <w:p w14:paraId="4A642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预期建设成效</w:t>
            </w:r>
          </w:p>
        </w:tc>
        <w:tc>
          <w:tcPr>
            <w:tcW w:w="3068" w:type="dxa"/>
            <w:gridSpan w:val="4"/>
            <w:vMerge w:val="restart"/>
            <w:shd w:val="clear" w:color="auto" w:fill="FFFFFF"/>
            <w:noWrap w:val="0"/>
            <w:vAlign w:val="center"/>
          </w:tcPr>
          <w:p w14:paraId="5A939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总投资</w:t>
            </w:r>
          </w:p>
        </w:tc>
        <w:tc>
          <w:tcPr>
            <w:tcW w:w="985" w:type="dxa"/>
            <w:vMerge w:val="restart"/>
            <w:shd w:val="clear" w:color="auto" w:fill="FFFFFF"/>
            <w:noWrap w:val="0"/>
            <w:vAlign w:val="center"/>
          </w:tcPr>
          <w:p w14:paraId="35953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是否属于产业强村建设项目</w:t>
            </w:r>
          </w:p>
        </w:tc>
      </w:tr>
      <w:tr w14:paraId="0503A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276BA0E3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7F8EF32F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467FA495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4FB182E5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508" w:type="dxa"/>
            <w:gridSpan w:val="5"/>
            <w:vMerge w:val="continue"/>
            <w:shd w:val="clear" w:color="auto" w:fill="FFFFFF"/>
            <w:noWrap w:val="0"/>
            <w:vAlign w:val="center"/>
          </w:tcPr>
          <w:p w14:paraId="64CEA7B3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00C0FDF8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68" w:type="dxa"/>
            <w:gridSpan w:val="4"/>
            <w:vMerge w:val="continue"/>
            <w:shd w:val="clear" w:color="auto" w:fill="FFFFFF"/>
            <w:noWrap w:val="0"/>
            <w:vAlign w:val="center"/>
          </w:tcPr>
          <w:p w14:paraId="1ACD8E2A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shd w:val="clear" w:color="auto" w:fill="FFFFFF"/>
            <w:noWrap w:val="0"/>
            <w:vAlign w:val="center"/>
          </w:tcPr>
          <w:p w14:paraId="07642C50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12D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418F8F8D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4F7DE6EA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137983C3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228FB1B2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restart"/>
            <w:shd w:val="clear" w:color="auto" w:fill="FFFFFF"/>
            <w:noWrap w:val="0"/>
            <w:vAlign w:val="center"/>
          </w:tcPr>
          <w:p w14:paraId="5CB9B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主要建设内容</w:t>
            </w:r>
          </w:p>
        </w:tc>
        <w:tc>
          <w:tcPr>
            <w:tcW w:w="8494" w:type="dxa"/>
            <w:gridSpan w:val="4"/>
            <w:shd w:val="clear" w:color="auto" w:fill="FFFFFF"/>
            <w:noWrap w:val="0"/>
            <w:vAlign w:val="center"/>
          </w:tcPr>
          <w:p w14:paraId="4712E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中央财政奖补资金支持建设内容（万元）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033C1FE8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restart"/>
            <w:shd w:val="clear" w:color="auto" w:fill="FFFFFF"/>
            <w:noWrap w:val="0"/>
            <w:vAlign w:val="center"/>
          </w:tcPr>
          <w:p w14:paraId="65904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900" w:type="dxa"/>
            <w:vMerge w:val="restart"/>
            <w:shd w:val="clear" w:color="auto" w:fill="FFFFFF"/>
            <w:noWrap w:val="0"/>
            <w:vAlign w:val="center"/>
          </w:tcPr>
          <w:p w14:paraId="6894F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中央财政奖补资金</w:t>
            </w:r>
          </w:p>
        </w:tc>
        <w:tc>
          <w:tcPr>
            <w:tcW w:w="694" w:type="dxa"/>
            <w:vMerge w:val="restart"/>
            <w:shd w:val="clear" w:color="auto" w:fill="FFFFFF"/>
            <w:noWrap w:val="0"/>
            <w:vAlign w:val="center"/>
          </w:tcPr>
          <w:p w14:paraId="33E8F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撬动地方财政资金</w:t>
            </w:r>
          </w:p>
        </w:tc>
        <w:tc>
          <w:tcPr>
            <w:tcW w:w="746" w:type="dxa"/>
            <w:vMerge w:val="restart"/>
            <w:shd w:val="clear" w:color="auto" w:fill="FFFFFF"/>
            <w:noWrap w:val="0"/>
            <w:vAlign w:val="center"/>
          </w:tcPr>
          <w:p w14:paraId="5B7C9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撬动自筹资金</w:t>
            </w:r>
          </w:p>
        </w:tc>
        <w:tc>
          <w:tcPr>
            <w:tcW w:w="985" w:type="dxa"/>
            <w:vMerge w:val="continue"/>
            <w:shd w:val="clear" w:color="auto" w:fill="FFFFFF"/>
            <w:noWrap w:val="0"/>
            <w:vAlign w:val="center"/>
          </w:tcPr>
          <w:p w14:paraId="5324E388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54E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07C93291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43970FAA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1102E341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1FB9AD09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6F7B1433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15124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设备名称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5AED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功能参数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3EB0B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数量（个）*单价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05941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2B92BDE5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6C167733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68B8CAEC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7E29EB2C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shd w:val="clear" w:color="auto" w:fill="FFFFFF"/>
            <w:noWrap w:val="0"/>
            <w:vAlign w:val="center"/>
          </w:tcPr>
          <w:p w14:paraId="79256320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shd w:val="clear" w:color="auto" w:fill="FFFFFF"/>
            <w:noWrap w:val="0"/>
            <w:vAlign w:val="center"/>
          </w:tcPr>
          <w:p w14:paraId="3D6EC092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149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exact"/>
        </w:trPr>
        <w:tc>
          <w:tcPr>
            <w:tcW w:w="618" w:type="dxa"/>
            <w:vMerge w:val="restart"/>
            <w:shd w:val="clear" w:color="auto" w:fill="FFFFFF"/>
            <w:noWrap w:val="0"/>
            <w:vAlign w:val="center"/>
          </w:tcPr>
          <w:p w14:paraId="49779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49" w:type="dxa"/>
            <w:vMerge w:val="restart"/>
            <w:shd w:val="clear" w:color="auto" w:fill="FFFFFF"/>
            <w:noWrap w:val="0"/>
            <w:vAlign w:val="center"/>
          </w:tcPr>
          <w:p w14:paraId="55EF3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老桃园提质增效项目</w:t>
            </w:r>
          </w:p>
        </w:tc>
        <w:tc>
          <w:tcPr>
            <w:tcW w:w="1067" w:type="dxa"/>
            <w:vMerge w:val="restart"/>
            <w:shd w:val="clear" w:color="auto" w:fill="FFFFFF"/>
            <w:noWrap w:val="0"/>
            <w:vAlign w:val="center"/>
          </w:tcPr>
          <w:p w14:paraId="4D743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干井村股份经济合作社、水塘村股份经济合作社</w:t>
            </w:r>
          </w:p>
        </w:tc>
        <w:tc>
          <w:tcPr>
            <w:tcW w:w="798" w:type="dxa"/>
            <w:vMerge w:val="restart"/>
            <w:shd w:val="clear" w:color="auto" w:fill="FFFFFF"/>
            <w:noWrap w:val="0"/>
            <w:vAlign w:val="center"/>
          </w:tcPr>
          <w:p w14:paraId="739E2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干井村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水塘村</w:t>
            </w:r>
          </w:p>
        </w:tc>
        <w:tc>
          <w:tcPr>
            <w:tcW w:w="2014" w:type="dxa"/>
            <w:vMerge w:val="restart"/>
            <w:shd w:val="clear" w:color="auto" w:fill="FFFFFF"/>
            <w:noWrap w:val="0"/>
            <w:vAlign w:val="center"/>
          </w:tcPr>
          <w:p w14:paraId="60ECD6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开展老桃园提质增效，重点围绕山地桃园机械化技术推广，实现桃园管理节本增效，通过项目配置安装太阳能杀虫灯、土壤深翻机具、遥控除草机、园区运输机械等机械设备，覆盖果园1000亩，提高农户生产积极性，有助于实现农村稳步发展，促农增收。</w:t>
            </w:r>
          </w:p>
        </w:tc>
        <w:tc>
          <w:tcPr>
            <w:tcW w:w="1350" w:type="dxa"/>
            <w:vMerge w:val="restart"/>
            <w:shd w:val="clear" w:color="auto" w:fill="FFFFFF"/>
            <w:noWrap w:val="0"/>
            <w:vAlign w:val="center"/>
          </w:tcPr>
          <w:p w14:paraId="050A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挖掘机</w:t>
            </w:r>
          </w:p>
        </w:tc>
        <w:tc>
          <w:tcPr>
            <w:tcW w:w="2781" w:type="dxa"/>
            <w:vMerge w:val="restart"/>
            <w:shd w:val="clear" w:color="auto" w:fill="FFFFFF"/>
            <w:noWrap w:val="0"/>
            <w:vAlign w:val="center"/>
          </w:tcPr>
          <w:p w14:paraId="27AA7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深翻土地</w:t>
            </w:r>
          </w:p>
        </w:tc>
        <w:tc>
          <w:tcPr>
            <w:tcW w:w="2863" w:type="dxa"/>
            <w:vMerge w:val="restart"/>
            <w:shd w:val="clear" w:color="auto" w:fill="FFFFFF"/>
            <w:noWrap w:val="0"/>
            <w:vAlign w:val="center"/>
          </w:tcPr>
          <w:p w14:paraId="2BA5A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1*31.33</w:t>
            </w:r>
          </w:p>
        </w:tc>
        <w:tc>
          <w:tcPr>
            <w:tcW w:w="1500" w:type="dxa"/>
            <w:vMerge w:val="restart"/>
            <w:shd w:val="clear" w:color="auto" w:fill="FFFFFF"/>
            <w:noWrap w:val="0"/>
            <w:vAlign w:val="center"/>
          </w:tcPr>
          <w:p w14:paraId="637D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31.33</w:t>
            </w:r>
          </w:p>
        </w:tc>
        <w:tc>
          <w:tcPr>
            <w:tcW w:w="2752" w:type="dxa"/>
            <w:vMerge w:val="restart"/>
            <w:shd w:val="clear" w:color="auto" w:fill="FFFFFF"/>
            <w:noWrap w:val="0"/>
            <w:vAlign w:val="center"/>
          </w:tcPr>
          <w:p w14:paraId="6EA9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聚焦桃产业提质增效，通过“四改四提”技术集成应用，实现老桃园产量与品质双突破。重点围绕山地桃园宜机化，推广太阳能杀虫灯虫害绿色防控、土壤机械化深翻改土、遥控机械除草、园区施肥机械化等机械化，实现节本增效，覆盖桃园区域内亩均增产10%以上、农残检测合格率100%。依托“合作社+示范基地+农户”联农机制，开展技术培训、交流座谈等5场次，覆盖农户100户。项目同步完善果园基础设施，提升果园生产条件</w:t>
            </w:r>
            <w:r>
              <w:rPr>
                <w:rStyle w:val="6"/>
                <w:color w:val="000000" w:themeColor="text1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728" w:type="dxa"/>
            <w:vMerge w:val="restart"/>
            <w:shd w:val="clear" w:color="auto" w:fill="FFFFFF"/>
            <w:noWrap w:val="0"/>
            <w:vAlign w:val="center"/>
          </w:tcPr>
          <w:p w14:paraId="4C9B6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900" w:type="dxa"/>
            <w:vMerge w:val="restart"/>
            <w:shd w:val="clear" w:color="auto" w:fill="FFFFFF"/>
            <w:noWrap w:val="0"/>
            <w:vAlign w:val="center"/>
          </w:tcPr>
          <w:p w14:paraId="531E3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694" w:type="dxa"/>
            <w:vMerge w:val="restart"/>
            <w:shd w:val="clear" w:color="auto" w:fill="FFFFFF"/>
            <w:noWrap w:val="0"/>
            <w:vAlign w:val="center"/>
          </w:tcPr>
          <w:p w14:paraId="62B1881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restart"/>
            <w:shd w:val="clear" w:color="auto" w:fill="FFFFFF"/>
            <w:noWrap w:val="0"/>
            <w:vAlign w:val="center"/>
          </w:tcPr>
          <w:p w14:paraId="501F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restart"/>
            <w:shd w:val="clear" w:color="auto" w:fill="FFFFFF"/>
            <w:noWrap w:val="0"/>
            <w:vAlign w:val="center"/>
          </w:tcPr>
          <w:p w14:paraId="68C3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 w14:paraId="0A2DE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0747CE68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4CA224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507FAF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347D668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61ADFED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Merge w:val="continue"/>
            <w:shd w:val="clear" w:color="auto" w:fill="FFFFFF"/>
            <w:noWrap w:val="0"/>
            <w:vAlign w:val="center"/>
          </w:tcPr>
          <w:p w14:paraId="0CDFE2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1" w:type="dxa"/>
            <w:vMerge w:val="continue"/>
            <w:shd w:val="clear" w:color="auto" w:fill="FFFFFF"/>
            <w:noWrap w:val="0"/>
            <w:vAlign w:val="center"/>
          </w:tcPr>
          <w:p w14:paraId="7AB576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3" w:type="dxa"/>
            <w:vMerge w:val="continue"/>
            <w:shd w:val="clear" w:color="auto" w:fill="FFFFFF"/>
            <w:noWrap w:val="0"/>
            <w:vAlign w:val="center"/>
          </w:tcPr>
          <w:p w14:paraId="26B9AC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continue"/>
            <w:shd w:val="clear" w:color="auto" w:fill="FFFFFF"/>
            <w:noWrap w:val="0"/>
            <w:vAlign w:val="center"/>
          </w:tcPr>
          <w:p w14:paraId="727A0F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3E7A3F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4D105D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727654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7A2770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shd w:val="clear" w:color="auto" w:fill="FFFFFF"/>
            <w:noWrap w:val="0"/>
            <w:vAlign w:val="center"/>
          </w:tcPr>
          <w:p w14:paraId="18915E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shd w:val="clear" w:color="auto" w:fill="FFFFFF"/>
            <w:noWrap w:val="0"/>
            <w:vAlign w:val="center"/>
          </w:tcPr>
          <w:p w14:paraId="6604DBC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C52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06076685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084A9D8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45B13A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5BD8F6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1FF01F3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Merge w:val="continue"/>
            <w:shd w:val="clear" w:color="auto" w:fill="FFFFFF"/>
            <w:noWrap w:val="0"/>
            <w:vAlign w:val="center"/>
          </w:tcPr>
          <w:p w14:paraId="77AC14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1" w:type="dxa"/>
            <w:vMerge w:val="continue"/>
            <w:shd w:val="clear" w:color="auto" w:fill="FFFFFF"/>
            <w:noWrap w:val="0"/>
            <w:vAlign w:val="center"/>
          </w:tcPr>
          <w:p w14:paraId="009E01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3" w:type="dxa"/>
            <w:vMerge w:val="continue"/>
            <w:shd w:val="clear" w:color="auto" w:fill="FFFFFF"/>
            <w:noWrap w:val="0"/>
            <w:vAlign w:val="center"/>
          </w:tcPr>
          <w:p w14:paraId="6AB536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continue"/>
            <w:shd w:val="clear" w:color="auto" w:fill="FFFFFF"/>
            <w:noWrap w:val="0"/>
            <w:vAlign w:val="center"/>
          </w:tcPr>
          <w:p w14:paraId="5F3455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0FF0EBD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3A0774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1C233C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475C177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shd w:val="clear" w:color="auto" w:fill="FFFFFF"/>
            <w:noWrap w:val="0"/>
            <w:vAlign w:val="center"/>
          </w:tcPr>
          <w:p w14:paraId="532FAD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shd w:val="clear" w:color="auto" w:fill="FFFFFF"/>
            <w:noWrap w:val="0"/>
            <w:vAlign w:val="center"/>
          </w:tcPr>
          <w:p w14:paraId="2985ED8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332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2EA98DCF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10B3F45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6F6ED34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0BA5E1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4229CD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Merge w:val="continue"/>
            <w:shd w:val="clear" w:color="auto" w:fill="FFFFFF"/>
            <w:noWrap w:val="0"/>
            <w:vAlign w:val="center"/>
          </w:tcPr>
          <w:p w14:paraId="31060C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1" w:type="dxa"/>
            <w:vMerge w:val="continue"/>
            <w:shd w:val="clear" w:color="auto" w:fill="FFFFFF"/>
            <w:noWrap w:val="0"/>
            <w:vAlign w:val="center"/>
          </w:tcPr>
          <w:p w14:paraId="52A714B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3" w:type="dxa"/>
            <w:vMerge w:val="continue"/>
            <w:shd w:val="clear" w:color="auto" w:fill="FFFFFF"/>
            <w:noWrap w:val="0"/>
            <w:vAlign w:val="center"/>
          </w:tcPr>
          <w:p w14:paraId="02E52B6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continue"/>
            <w:shd w:val="clear" w:color="auto" w:fill="FFFFFF"/>
            <w:noWrap w:val="0"/>
            <w:vAlign w:val="center"/>
          </w:tcPr>
          <w:p w14:paraId="7FA105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5DD1B1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50A286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2E9D25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7387670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shd w:val="clear" w:color="auto" w:fill="FFFFFF"/>
            <w:noWrap w:val="0"/>
            <w:vAlign w:val="center"/>
          </w:tcPr>
          <w:p w14:paraId="1C8593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shd w:val="clear" w:color="auto" w:fill="FFFFFF"/>
            <w:noWrap w:val="0"/>
            <w:vAlign w:val="center"/>
          </w:tcPr>
          <w:p w14:paraId="62A89A0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610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74F6A74F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3C586B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5B1E52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5A9775A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44E436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76A9F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太阳能灭虫灯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66EA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虫体处理致死率达10-98%，虫体完整率不小于95%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736B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27*0.4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157BB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10.8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14DCAF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0E4D9E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6B5F5B3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29827D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shd w:val="clear" w:color="auto" w:fill="FFFFFF"/>
            <w:noWrap w:val="0"/>
            <w:vAlign w:val="center"/>
          </w:tcPr>
          <w:p w14:paraId="3C78E0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shd w:val="clear" w:color="auto" w:fill="FFFFFF"/>
            <w:noWrap w:val="0"/>
            <w:vAlign w:val="center"/>
          </w:tcPr>
          <w:p w14:paraId="27EDD4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833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6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03509D11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25D598E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5FA427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7D8733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453CA2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2C309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桃园开沟机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38DA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农田的开沟作畦、培土、施肥作业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3949A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6*0.41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4205E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2.46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5870239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03EC4A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15725D8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340DB2F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shd w:val="clear" w:color="auto" w:fill="FFFFFF"/>
            <w:noWrap w:val="0"/>
            <w:vAlign w:val="center"/>
          </w:tcPr>
          <w:p w14:paraId="463B790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shd w:val="clear" w:color="auto" w:fill="FFFFFF"/>
            <w:noWrap w:val="0"/>
            <w:vAlign w:val="center"/>
          </w:tcPr>
          <w:p w14:paraId="3F9334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792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39EFF5C4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3D64EB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5C7EC57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57D907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1AF9462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5E476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遥控割草机（550mm)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08BE1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无线遥控，有效控制距离可达200米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0BD3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3*0.88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15475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2.64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382E15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1F65015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792C76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3A4A68D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shd w:val="clear" w:color="auto" w:fill="FFFFFF"/>
            <w:noWrap w:val="0"/>
            <w:vAlign w:val="center"/>
          </w:tcPr>
          <w:p w14:paraId="576D7AB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shd w:val="clear" w:color="auto" w:fill="FFFFFF"/>
            <w:noWrap w:val="0"/>
            <w:vAlign w:val="center"/>
          </w:tcPr>
          <w:p w14:paraId="0F0EC9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C2C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44A32E21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196A8F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010FA88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5AEA891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5187BD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Merge w:val="restart"/>
            <w:shd w:val="clear" w:color="auto" w:fill="FFFFFF"/>
            <w:noWrap w:val="0"/>
            <w:vAlign w:val="center"/>
          </w:tcPr>
          <w:p w14:paraId="01717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爬山王运输机</w:t>
            </w:r>
          </w:p>
        </w:tc>
        <w:tc>
          <w:tcPr>
            <w:tcW w:w="2781" w:type="dxa"/>
            <w:vMerge w:val="restart"/>
            <w:shd w:val="clear" w:color="auto" w:fill="FFFFFF"/>
            <w:noWrap w:val="0"/>
            <w:vAlign w:val="center"/>
          </w:tcPr>
          <w:p w14:paraId="77075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满足桃园施肥、运输需求</w:t>
            </w:r>
          </w:p>
        </w:tc>
        <w:tc>
          <w:tcPr>
            <w:tcW w:w="2863" w:type="dxa"/>
            <w:vMerge w:val="restart"/>
            <w:shd w:val="clear" w:color="auto" w:fill="FFFFFF"/>
            <w:noWrap w:val="0"/>
            <w:vAlign w:val="center"/>
          </w:tcPr>
          <w:p w14:paraId="1683A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1*0.65</w:t>
            </w:r>
          </w:p>
        </w:tc>
        <w:tc>
          <w:tcPr>
            <w:tcW w:w="1500" w:type="dxa"/>
            <w:vMerge w:val="restart"/>
            <w:shd w:val="clear" w:color="auto" w:fill="FFFFFF"/>
            <w:noWrap w:val="0"/>
            <w:vAlign w:val="center"/>
          </w:tcPr>
          <w:p w14:paraId="524ED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0.65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2559C4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50A451B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782E4E4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20786E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shd w:val="clear" w:color="auto" w:fill="FFFFFF"/>
            <w:noWrap w:val="0"/>
            <w:vAlign w:val="center"/>
          </w:tcPr>
          <w:p w14:paraId="17F928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shd w:val="clear" w:color="auto" w:fill="FFFFFF"/>
            <w:noWrap w:val="0"/>
            <w:vAlign w:val="center"/>
          </w:tcPr>
          <w:p w14:paraId="5878184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5E1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17C45EF0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247E0F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167D6F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6F19EAA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786421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Merge w:val="continue"/>
            <w:shd w:val="clear" w:color="auto" w:fill="FFFFFF"/>
            <w:noWrap w:val="0"/>
            <w:vAlign w:val="center"/>
          </w:tcPr>
          <w:p w14:paraId="7C990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1" w:type="dxa"/>
            <w:vMerge w:val="continue"/>
            <w:shd w:val="clear" w:color="auto" w:fill="FFFFFF"/>
            <w:noWrap w:val="0"/>
            <w:vAlign w:val="center"/>
          </w:tcPr>
          <w:p w14:paraId="000D39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3" w:type="dxa"/>
            <w:vMerge w:val="continue"/>
            <w:shd w:val="clear" w:color="auto" w:fill="FFFFFF"/>
            <w:noWrap w:val="0"/>
            <w:vAlign w:val="center"/>
          </w:tcPr>
          <w:p w14:paraId="62229A2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continue"/>
            <w:shd w:val="clear" w:color="auto" w:fill="FFFFFF"/>
            <w:noWrap w:val="0"/>
            <w:vAlign w:val="center"/>
          </w:tcPr>
          <w:p w14:paraId="4372A5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5768BD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5CF6159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1562075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5F6CF23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shd w:val="clear" w:color="auto" w:fill="FFFFFF"/>
            <w:noWrap w:val="0"/>
            <w:vAlign w:val="center"/>
          </w:tcPr>
          <w:p w14:paraId="0B4CE2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shd w:val="clear" w:color="auto" w:fill="FFFFFF"/>
            <w:noWrap w:val="0"/>
            <w:vAlign w:val="center"/>
          </w:tcPr>
          <w:p w14:paraId="7228DCF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46E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582961C2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1596249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5A8EBB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62229C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7A025E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652C9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坐式微耕机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725CA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满足桃园作业需求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7BA96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2*1.06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1FDB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2.12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6D4E2F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3C413D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1B599A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436F1BA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shd w:val="clear" w:color="auto" w:fill="FFFFFF"/>
            <w:noWrap w:val="0"/>
            <w:vAlign w:val="center"/>
          </w:tcPr>
          <w:p w14:paraId="4EAB8B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shd w:val="clear" w:color="auto" w:fill="FFFFFF"/>
            <w:noWrap w:val="0"/>
            <w:vAlign w:val="center"/>
          </w:tcPr>
          <w:p w14:paraId="2EE26C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CDE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618" w:type="dxa"/>
            <w:vMerge w:val="restart"/>
            <w:shd w:val="clear" w:color="auto" w:fill="FFFFFF"/>
            <w:noWrap w:val="0"/>
            <w:vAlign w:val="center"/>
          </w:tcPr>
          <w:p w14:paraId="6EF2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49" w:type="dxa"/>
            <w:vMerge w:val="restart"/>
            <w:shd w:val="clear" w:color="auto" w:fill="FFFFFF"/>
            <w:noWrap w:val="0"/>
            <w:vAlign w:val="center"/>
          </w:tcPr>
          <w:p w14:paraId="346E5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永乐桃新品种开发及更新换代项目</w:t>
            </w:r>
          </w:p>
        </w:tc>
        <w:tc>
          <w:tcPr>
            <w:tcW w:w="1067" w:type="dxa"/>
            <w:vMerge w:val="restart"/>
            <w:shd w:val="clear" w:color="auto" w:fill="FFFFFF"/>
            <w:noWrap w:val="0"/>
            <w:vAlign w:val="center"/>
          </w:tcPr>
          <w:p w14:paraId="23BEF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干井村股份经济合作社、水塘村股份经济合作社</w:t>
            </w:r>
          </w:p>
        </w:tc>
        <w:tc>
          <w:tcPr>
            <w:tcW w:w="798" w:type="dxa"/>
            <w:vMerge w:val="restart"/>
            <w:shd w:val="clear" w:color="auto" w:fill="FFFFFF"/>
            <w:noWrap w:val="0"/>
            <w:vAlign w:val="center"/>
          </w:tcPr>
          <w:p w14:paraId="6E156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水塘村</w:t>
            </w:r>
          </w:p>
        </w:tc>
        <w:tc>
          <w:tcPr>
            <w:tcW w:w="2014" w:type="dxa"/>
            <w:vMerge w:val="restart"/>
            <w:shd w:val="clear" w:color="auto" w:fill="FFFFFF"/>
            <w:noWrap w:val="0"/>
            <w:vAlign w:val="center"/>
          </w:tcPr>
          <w:p w14:paraId="55D39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推进老桃园品种更新换代，在桃生产核心区，迎合市场消费需求、错季成熟上市的原则，上市时段从5月拉长至10月。以合作社+农户的模式，利用好抗重茬技术，对部分老弱桃园进行彻底深翻改土改种，围绕“新品种、新技术、新设备”三新技术，项目重点配置老桃园改种及管护所需机械化设备，开展实施100亩老桃园品种改良。</w:t>
            </w: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4D8C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挖掘机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0B682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清除桃园树枝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4038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1*31.46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37E61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31.46</w:t>
            </w:r>
          </w:p>
        </w:tc>
        <w:tc>
          <w:tcPr>
            <w:tcW w:w="2752" w:type="dxa"/>
            <w:vMerge w:val="restart"/>
            <w:shd w:val="clear" w:color="auto" w:fill="FFFFFF"/>
            <w:noWrap w:val="0"/>
            <w:vAlign w:val="center"/>
          </w:tcPr>
          <w:p w14:paraId="5DFE5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过科技赋能与示范推广双轮驱动，推动永乐桃产业迈入高质量发展新阶段。聚焦桃种质资源开发，持续开展老桃园品种改良示范，错季选择新品种、Y字型与“自然开心型”相结合的整形模式、宜机化作业完成改良面积100亩，实现桃品上市期从5月延伸至10月，有效破解集中上市导致的产销压力。</w:t>
            </w:r>
          </w:p>
        </w:tc>
        <w:tc>
          <w:tcPr>
            <w:tcW w:w="728" w:type="dxa"/>
            <w:vMerge w:val="restart"/>
            <w:shd w:val="clear" w:color="auto" w:fill="FFFFFF"/>
            <w:noWrap w:val="0"/>
            <w:vAlign w:val="center"/>
          </w:tcPr>
          <w:p w14:paraId="26215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900" w:type="dxa"/>
            <w:vMerge w:val="restart"/>
            <w:shd w:val="clear" w:color="auto" w:fill="FFFFFF"/>
            <w:noWrap w:val="0"/>
            <w:vAlign w:val="center"/>
          </w:tcPr>
          <w:p w14:paraId="2DF1E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694" w:type="dxa"/>
            <w:vMerge w:val="restart"/>
            <w:shd w:val="clear" w:color="auto" w:fill="FFFFFF"/>
            <w:noWrap w:val="0"/>
            <w:vAlign w:val="center"/>
          </w:tcPr>
          <w:p w14:paraId="0023B5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restart"/>
            <w:noWrap w:val="0"/>
            <w:vAlign w:val="center"/>
          </w:tcPr>
          <w:p w14:paraId="64CAD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85" w:type="dxa"/>
            <w:vMerge w:val="restart"/>
            <w:noWrap w:val="0"/>
            <w:vAlign w:val="center"/>
          </w:tcPr>
          <w:p w14:paraId="4C41C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 w14:paraId="3D259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1546D5D5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41B945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0B22F9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06976CF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2F27685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31557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爬山王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47143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满足桃园施肥、运输需求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27898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2*0.65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668C6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1.3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046C43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4FFF9F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58CFDA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43A7AC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 w:val="0"/>
            <w:vAlign w:val="center"/>
          </w:tcPr>
          <w:p w14:paraId="6134B6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 w:val="0"/>
            <w:vAlign w:val="center"/>
          </w:tcPr>
          <w:p w14:paraId="512F9F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8B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00015AD0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016B549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4C9ED4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220BC4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0CAC37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29AC2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坐式微耕机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58075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满足桃园作业需求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490A3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4*1.06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57CD2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4.24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31DF51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38552D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5608E8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18ACA7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 w:val="0"/>
            <w:vAlign w:val="center"/>
          </w:tcPr>
          <w:p w14:paraId="2DF363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 w:val="0"/>
            <w:vAlign w:val="center"/>
          </w:tcPr>
          <w:p w14:paraId="188808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9DD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41618139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10DA52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6D410F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479877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667BFF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655A7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柴油抽水机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2D460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满足浇水、抗旱需求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0F605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2*0.3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1F78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0.6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3FE7202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5DA2EE1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6C757B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1350716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 w:val="0"/>
            <w:vAlign w:val="center"/>
          </w:tcPr>
          <w:p w14:paraId="4ABDDB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 w:val="0"/>
            <w:vAlign w:val="center"/>
          </w:tcPr>
          <w:p w14:paraId="267B080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E25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3B4C2A48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53A2E97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3F7748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662B1B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2FBCBD0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Merge w:val="restart"/>
            <w:shd w:val="clear" w:color="auto" w:fill="FFFFFF"/>
            <w:noWrap w:val="0"/>
            <w:vAlign w:val="center"/>
          </w:tcPr>
          <w:p w14:paraId="672CC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太阳能灭虫灯</w:t>
            </w:r>
          </w:p>
        </w:tc>
        <w:tc>
          <w:tcPr>
            <w:tcW w:w="2781" w:type="dxa"/>
            <w:vMerge w:val="restart"/>
            <w:shd w:val="clear" w:color="auto" w:fill="FFFFFF"/>
            <w:noWrap w:val="0"/>
            <w:vAlign w:val="center"/>
          </w:tcPr>
          <w:p w14:paraId="7CBF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虫体处理致死率达10%-98%，虫体完整率不小于95%</w:t>
            </w:r>
          </w:p>
        </w:tc>
        <w:tc>
          <w:tcPr>
            <w:tcW w:w="2863" w:type="dxa"/>
            <w:vMerge w:val="restart"/>
            <w:shd w:val="clear" w:color="auto" w:fill="FFFFFF"/>
            <w:noWrap w:val="0"/>
            <w:vAlign w:val="center"/>
          </w:tcPr>
          <w:p w14:paraId="168D7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6*0.4</w:t>
            </w:r>
          </w:p>
        </w:tc>
        <w:tc>
          <w:tcPr>
            <w:tcW w:w="1500" w:type="dxa"/>
            <w:vMerge w:val="restart"/>
            <w:shd w:val="clear" w:color="auto" w:fill="FFFFFF"/>
            <w:noWrap w:val="0"/>
            <w:vAlign w:val="center"/>
          </w:tcPr>
          <w:p w14:paraId="6F273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2.4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12BF845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19FA73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2C03D1B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3E8D51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 w:val="0"/>
            <w:vAlign w:val="center"/>
          </w:tcPr>
          <w:p w14:paraId="3C1A9C0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 w:val="0"/>
            <w:vAlign w:val="center"/>
          </w:tcPr>
          <w:p w14:paraId="4A0AA7D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289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19F8B699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580435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7350D2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50500F6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5782D9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Merge w:val="continue"/>
            <w:shd w:val="clear" w:color="auto" w:fill="FFFFFF"/>
            <w:noWrap w:val="0"/>
            <w:vAlign w:val="center"/>
          </w:tcPr>
          <w:p w14:paraId="1F7FAB2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1" w:type="dxa"/>
            <w:vMerge w:val="continue"/>
            <w:shd w:val="clear" w:color="auto" w:fill="FFFFFF"/>
            <w:noWrap w:val="0"/>
            <w:vAlign w:val="center"/>
          </w:tcPr>
          <w:p w14:paraId="2298DE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3" w:type="dxa"/>
            <w:vMerge w:val="continue"/>
            <w:shd w:val="clear" w:color="auto" w:fill="FFFFFF"/>
            <w:noWrap w:val="0"/>
            <w:vAlign w:val="center"/>
          </w:tcPr>
          <w:p w14:paraId="7C6BD6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continue"/>
            <w:shd w:val="clear" w:color="auto" w:fill="FFFFFF"/>
            <w:noWrap w:val="0"/>
            <w:vAlign w:val="center"/>
          </w:tcPr>
          <w:p w14:paraId="43F567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0EDAC0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452BD77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28E2DA5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623078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 w:val="0"/>
            <w:vAlign w:val="center"/>
          </w:tcPr>
          <w:p w14:paraId="349360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 w:val="0"/>
            <w:vAlign w:val="center"/>
          </w:tcPr>
          <w:p w14:paraId="654497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CC3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56E59780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58AB696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2984B1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10FBE8A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66EA7CC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vMerge w:val="continue"/>
            <w:shd w:val="clear" w:color="auto" w:fill="FFFFFF"/>
            <w:noWrap w:val="0"/>
            <w:vAlign w:val="center"/>
          </w:tcPr>
          <w:p w14:paraId="6C226DB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81" w:type="dxa"/>
            <w:vMerge w:val="continue"/>
            <w:shd w:val="clear" w:color="auto" w:fill="FFFFFF"/>
            <w:noWrap w:val="0"/>
            <w:vAlign w:val="center"/>
          </w:tcPr>
          <w:p w14:paraId="154360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3" w:type="dxa"/>
            <w:vMerge w:val="continue"/>
            <w:shd w:val="clear" w:color="auto" w:fill="FFFFFF"/>
            <w:noWrap w:val="0"/>
            <w:vAlign w:val="center"/>
          </w:tcPr>
          <w:p w14:paraId="0344682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vMerge w:val="continue"/>
            <w:shd w:val="clear" w:color="auto" w:fill="FFFFFF"/>
            <w:noWrap w:val="0"/>
            <w:vAlign w:val="center"/>
          </w:tcPr>
          <w:p w14:paraId="04B9A2D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4A8CCA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1E06440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6FBBF8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1DD1B4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 w:val="0"/>
            <w:vAlign w:val="center"/>
          </w:tcPr>
          <w:p w14:paraId="3748BA8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 w:val="0"/>
            <w:vAlign w:val="center"/>
          </w:tcPr>
          <w:p w14:paraId="329DEC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6C8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618" w:type="dxa"/>
            <w:vMerge w:val="restart"/>
            <w:shd w:val="clear" w:color="auto" w:fill="FFFFFF"/>
            <w:noWrap w:val="0"/>
            <w:vAlign w:val="center"/>
          </w:tcPr>
          <w:p w14:paraId="59B35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49" w:type="dxa"/>
            <w:vMerge w:val="restart"/>
            <w:shd w:val="clear" w:color="auto" w:fill="auto"/>
            <w:noWrap w:val="0"/>
            <w:vAlign w:val="center"/>
          </w:tcPr>
          <w:p w14:paraId="6E729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智慧桃园数字管理体系建设项目</w:t>
            </w:r>
          </w:p>
        </w:tc>
        <w:tc>
          <w:tcPr>
            <w:tcW w:w="1067" w:type="dxa"/>
            <w:vMerge w:val="restart"/>
            <w:shd w:val="clear" w:color="auto" w:fill="FFFFFF"/>
            <w:noWrap w:val="0"/>
            <w:vAlign w:val="center"/>
          </w:tcPr>
          <w:p w14:paraId="5C69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南明区乐桃农业投资有限公司</w:t>
            </w:r>
          </w:p>
        </w:tc>
        <w:tc>
          <w:tcPr>
            <w:tcW w:w="798" w:type="dxa"/>
            <w:vMerge w:val="restart"/>
            <w:shd w:val="clear" w:color="auto" w:fill="FFFFFF"/>
            <w:noWrap w:val="0"/>
            <w:vAlign w:val="center"/>
          </w:tcPr>
          <w:p w14:paraId="0F68AD0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restart"/>
            <w:shd w:val="clear" w:color="auto" w:fill="FFFFFF"/>
            <w:noWrap w:val="0"/>
            <w:vAlign w:val="center"/>
          </w:tcPr>
          <w:p w14:paraId="70D9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标准化开展300亩桃园管理，使用机械化设施开展日常管护和果品筛选，搭建桃园数字化管理平台，涵盖环境在线监测、桃产业园土地永久流转、水肥一体化远程灌溉控制、虫控设备管理、溯源管理、智慧设施防雹大棚、农事作业管理等功能；搭建桃园物联网监测采集终端，实时监测和采集桃树植株的病虫害实时图像、土壤墒情、雨势等指标，采取一体化理念设计开发，连接软件平台的传感软硬件智能终端；同时打造视频监控系统，针对桃园环境监控、果树生长以及安全防范的要求，获取桃树生长情况的实时画面，监测桃树的生长状况和果园管理，保障桃园的生产活动与设施的正常运转</w:t>
            </w:r>
            <w:r>
              <w:rPr>
                <w:rStyle w:val="6"/>
                <w:color w:val="000000" w:themeColor="text1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5B959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多参数气象站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447A4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监测风、气、湿、光等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参数：太阳能供电/4G数据传输/0.1℃温度精度/±5℃准确度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03BF5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1*2.5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27D3E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2.5</w:t>
            </w:r>
          </w:p>
        </w:tc>
        <w:tc>
          <w:tcPr>
            <w:tcW w:w="2752" w:type="dxa"/>
            <w:vMerge w:val="restart"/>
            <w:shd w:val="clear" w:color="auto" w:fill="FFFFFF"/>
            <w:noWrap w:val="0"/>
            <w:vAlign w:val="center"/>
          </w:tcPr>
          <w:p w14:paraId="0186E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提升全周期的桃园管护品质和工作效率，以数字技术赋能桃产业转型升级，构建“天空地”一体化智慧管理体系，率先实现永乐桃园生产管理全流程数字化、智能化。通过建设数字化管理平台，集成环境监测、水肥精准调控、病虫害智能预警等功能，搭配常态化的机械化设备作业，共同推动桃园管理和水肥利用效率提升，为山地都市农业精细化种植树立标杆</w:t>
            </w:r>
            <w:r>
              <w:rPr>
                <w:rStyle w:val="6"/>
                <w:color w:val="000000" w:themeColor="text1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728" w:type="dxa"/>
            <w:vMerge w:val="restart"/>
            <w:shd w:val="clear" w:color="auto" w:fill="FFFFFF"/>
            <w:noWrap w:val="0"/>
            <w:vAlign w:val="center"/>
          </w:tcPr>
          <w:p w14:paraId="17959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723</w:t>
            </w:r>
          </w:p>
        </w:tc>
        <w:tc>
          <w:tcPr>
            <w:tcW w:w="900" w:type="dxa"/>
            <w:vMerge w:val="restart"/>
            <w:shd w:val="clear" w:color="auto" w:fill="FFFFFF"/>
            <w:noWrap w:val="0"/>
            <w:vAlign w:val="center"/>
          </w:tcPr>
          <w:p w14:paraId="617DD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</w:t>
            </w:r>
          </w:p>
        </w:tc>
        <w:tc>
          <w:tcPr>
            <w:tcW w:w="694" w:type="dxa"/>
            <w:vMerge w:val="restart"/>
            <w:shd w:val="clear" w:color="auto" w:fill="FFFFFF"/>
            <w:noWrap w:val="0"/>
            <w:vAlign w:val="center"/>
          </w:tcPr>
          <w:p w14:paraId="210E45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restart"/>
            <w:noWrap/>
            <w:vAlign w:val="center"/>
          </w:tcPr>
          <w:p w14:paraId="45F69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543</w:t>
            </w:r>
          </w:p>
        </w:tc>
        <w:tc>
          <w:tcPr>
            <w:tcW w:w="985" w:type="dxa"/>
            <w:vMerge w:val="restart"/>
            <w:noWrap/>
            <w:vAlign w:val="center"/>
          </w:tcPr>
          <w:p w14:paraId="7237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 w14:paraId="75476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5D8AF7A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auto"/>
            <w:noWrap w:val="0"/>
            <w:vAlign w:val="center"/>
          </w:tcPr>
          <w:p w14:paraId="17CC66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1B5B2B2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19FA97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20720F9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5857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土壤墒情传感器阵列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1C04C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埋深0-100cm,可调/太阳能供电/±2%湿度精度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3E06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10*0.18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33C46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1.8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5F192C8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1A82FB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5C652A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0B5DE4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/>
            <w:vAlign w:val="center"/>
          </w:tcPr>
          <w:p w14:paraId="6DE9C0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/>
            <w:vAlign w:val="center"/>
          </w:tcPr>
          <w:p w14:paraId="0C09EC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6FC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165D743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auto"/>
            <w:noWrap w:val="0"/>
            <w:vAlign w:val="center"/>
          </w:tcPr>
          <w:p w14:paraId="002613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6704D6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4E54E0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7330A43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40B27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水肥一体化控制系统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4C981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远程控制滴灌/喷灌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2B00D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2*24.7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57C87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49.4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41A00F8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1C036D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527F8F3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031ABD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/>
            <w:vAlign w:val="center"/>
          </w:tcPr>
          <w:p w14:paraId="308A14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/>
            <w:vAlign w:val="center"/>
          </w:tcPr>
          <w:p w14:paraId="02C05F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819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0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14629D5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auto"/>
            <w:noWrap w:val="0"/>
            <w:vAlign w:val="center"/>
          </w:tcPr>
          <w:p w14:paraId="151CA5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5702998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51B3739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7B0D0D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4B91C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物联网虫情测报系统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529ED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自动诱捕、识别鳞翅目/鞘翅目害虫，日处理5000+样本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363E1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2*1.68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340DD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3.36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281165A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0A9D0C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464A76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397BAD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/>
            <w:vAlign w:val="center"/>
          </w:tcPr>
          <w:p w14:paraId="5E26F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/>
            <w:vAlign w:val="center"/>
          </w:tcPr>
          <w:p w14:paraId="01A25D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6E8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8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061E466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auto"/>
            <w:noWrap w:val="0"/>
            <w:vAlign w:val="center"/>
          </w:tcPr>
          <w:p w14:paraId="14860E8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30854CD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6F44A6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112E5ED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5FC73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智能防雹大棚控制系统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360BD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支持冰雹预警联动，电动卷膜器/亩均部署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4D49F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40*1.2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3EC8B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5657484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621F83B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304596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5032EC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/>
            <w:vAlign w:val="center"/>
          </w:tcPr>
          <w:p w14:paraId="2468B1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/>
            <w:vAlign w:val="center"/>
          </w:tcPr>
          <w:p w14:paraId="7247A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E07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7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4D0C782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auto"/>
            <w:noWrap w:val="0"/>
            <w:vAlign w:val="center"/>
          </w:tcPr>
          <w:p w14:paraId="544CBA5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0F742F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301C919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2912D81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5D86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全景视频监控系统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41EAC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360°夜视监控，高清分辨率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001B7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10*0.9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0492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486C8C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15399DE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4B7356C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40ADBD2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/>
            <w:vAlign w:val="center"/>
          </w:tcPr>
          <w:p w14:paraId="02061A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/>
            <w:vAlign w:val="center"/>
          </w:tcPr>
          <w:p w14:paraId="3B74F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E35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0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22CCDD7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auto"/>
            <w:noWrap w:val="0"/>
            <w:vAlign w:val="center"/>
          </w:tcPr>
          <w:p w14:paraId="255FF2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7BE58C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1678EC4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7B6221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79D15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智慧农业数字平台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30075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设备集中控制/生产决策支持/灾情模拟及电路改造，云端数据存储、移动端管理APP（含GIS地图）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69D0B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1*30.74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26169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30.74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256303B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0E012DD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063A61A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5BD5171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/>
            <w:vAlign w:val="center"/>
          </w:tcPr>
          <w:p w14:paraId="1C19B0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/>
            <w:vAlign w:val="center"/>
          </w:tcPr>
          <w:p w14:paraId="01E4E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F93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38B4DFF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auto"/>
            <w:noWrap w:val="0"/>
            <w:vAlign w:val="center"/>
          </w:tcPr>
          <w:p w14:paraId="02E6088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061E4AC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67E433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5830B6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3909D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智能电路改造系统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1CE1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供电网络重构：适配气象站、传感器、水肥系统等高功率设备/安全防护：防雷、漏电保护、过载预警/智能管理：远程能耗监测、分区域电路控制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608F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1*21.00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1FA75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2A4D4F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24E55F1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1FF1DDC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1D2F91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/>
            <w:vAlign w:val="center"/>
          </w:tcPr>
          <w:p w14:paraId="6970F3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/>
            <w:vAlign w:val="center"/>
          </w:tcPr>
          <w:p w14:paraId="55CEDA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023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2B0B7B0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auto"/>
            <w:noWrap w:val="0"/>
            <w:vAlign w:val="center"/>
          </w:tcPr>
          <w:p w14:paraId="3D04FF1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5FA5A2F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38620B6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143547F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6CEE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水果自动分拣机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6828C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食品级橡胶轨道/分拣效率＞1吨/小时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6B83F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1*11.5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4636B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11.5</w:t>
            </w:r>
          </w:p>
        </w:tc>
        <w:tc>
          <w:tcPr>
            <w:tcW w:w="2752" w:type="dxa"/>
            <w:shd w:val="clear" w:color="auto" w:fill="FFFFFF"/>
            <w:noWrap w:val="0"/>
            <w:vAlign w:val="center"/>
          </w:tcPr>
          <w:p w14:paraId="43DB66C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restart"/>
            <w:shd w:val="clear" w:color="auto" w:fill="FFFFFF"/>
            <w:noWrap w:val="0"/>
            <w:vAlign w:val="center"/>
          </w:tcPr>
          <w:p w14:paraId="3DDB4C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restart"/>
            <w:shd w:val="clear" w:color="auto" w:fill="FFFFFF"/>
            <w:noWrap w:val="0"/>
            <w:vAlign w:val="center"/>
          </w:tcPr>
          <w:p w14:paraId="1BFA97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restart"/>
            <w:shd w:val="clear" w:color="auto" w:fill="FFFFFF"/>
            <w:noWrap w:val="0"/>
            <w:vAlign w:val="center"/>
          </w:tcPr>
          <w:p w14:paraId="525139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restart"/>
            <w:noWrap/>
            <w:vAlign w:val="center"/>
          </w:tcPr>
          <w:p w14:paraId="1B5A0B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restart"/>
            <w:noWrap/>
            <w:vAlign w:val="center"/>
          </w:tcPr>
          <w:p w14:paraId="344FA1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039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6676C09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auto"/>
            <w:noWrap w:val="0"/>
            <w:vAlign w:val="center"/>
          </w:tcPr>
          <w:p w14:paraId="402AB0B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17EDC53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44DC67F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6D2FEE9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14799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柴油抽水机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074F9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满足浇水、抗旱需求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7744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1*0.5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507C7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</w:t>
            </w:r>
          </w:p>
        </w:tc>
        <w:tc>
          <w:tcPr>
            <w:tcW w:w="2752" w:type="dxa"/>
            <w:shd w:val="clear" w:color="auto" w:fill="FFFFFF"/>
            <w:noWrap w:val="0"/>
            <w:vAlign w:val="center"/>
          </w:tcPr>
          <w:p w14:paraId="2E7E22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5FCBF5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23BC020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7A4DC3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/>
            <w:vAlign w:val="center"/>
          </w:tcPr>
          <w:p w14:paraId="68CF43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/>
            <w:vAlign w:val="center"/>
          </w:tcPr>
          <w:p w14:paraId="01CCF2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7DD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5C9698F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auto"/>
            <w:noWrap w:val="0"/>
            <w:vAlign w:val="center"/>
          </w:tcPr>
          <w:p w14:paraId="658A46B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42C864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061B024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513CC32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018B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果园遥控割草机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1949D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割草高度5-230厘米/遥控升降/柴油动力/适应坡度大于50度作业场景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4A1DA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1*2.2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4E353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2.2</w:t>
            </w:r>
          </w:p>
        </w:tc>
        <w:tc>
          <w:tcPr>
            <w:tcW w:w="2752" w:type="dxa"/>
            <w:shd w:val="clear" w:color="auto" w:fill="FFFFFF"/>
            <w:noWrap w:val="0"/>
            <w:vAlign w:val="center"/>
          </w:tcPr>
          <w:p w14:paraId="3F17B0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1CCA3D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19EB1A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44F21C0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/>
            <w:vAlign w:val="center"/>
          </w:tcPr>
          <w:p w14:paraId="4E8389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/>
            <w:vAlign w:val="center"/>
          </w:tcPr>
          <w:p w14:paraId="26ACDC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A1F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618" w:type="dxa"/>
            <w:vMerge w:val="restart"/>
            <w:shd w:val="clear" w:color="auto" w:fill="FFFFFF"/>
            <w:noWrap w:val="0"/>
            <w:vAlign w:val="center"/>
          </w:tcPr>
          <w:p w14:paraId="2F5BA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49" w:type="dxa"/>
            <w:vMerge w:val="restart"/>
            <w:shd w:val="clear" w:color="auto" w:fill="FFFFFF"/>
            <w:noWrap w:val="0"/>
            <w:vAlign w:val="center"/>
          </w:tcPr>
          <w:p w14:paraId="67F38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南明区永乐乡果干（桃干）加工公司建设项目</w:t>
            </w:r>
          </w:p>
        </w:tc>
        <w:tc>
          <w:tcPr>
            <w:tcW w:w="1067" w:type="dxa"/>
            <w:vMerge w:val="restart"/>
            <w:shd w:val="clear" w:color="auto" w:fill="FFFFFF"/>
            <w:noWrap w:val="0"/>
            <w:vAlign w:val="center"/>
          </w:tcPr>
          <w:p w14:paraId="1382B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干井村股份经济合作社、</w:t>
            </w:r>
          </w:p>
        </w:tc>
        <w:tc>
          <w:tcPr>
            <w:tcW w:w="798" w:type="dxa"/>
            <w:vMerge w:val="restart"/>
            <w:shd w:val="clear" w:color="auto" w:fill="FFFFFF"/>
            <w:noWrap w:val="0"/>
            <w:vAlign w:val="center"/>
          </w:tcPr>
          <w:p w14:paraId="33D10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永乐乡</w:t>
            </w:r>
          </w:p>
        </w:tc>
        <w:tc>
          <w:tcPr>
            <w:tcW w:w="2014" w:type="dxa"/>
            <w:vMerge w:val="restart"/>
            <w:shd w:val="clear" w:color="auto" w:fill="FFFFFF"/>
            <w:noWrap w:val="0"/>
            <w:vAlign w:val="center"/>
          </w:tcPr>
          <w:p w14:paraId="6B4ED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永乐乡建设无添加果干（桃干）的食品加工坊，发展永乐乡第二产业，原料精选当季新鲜有机桃子，采取传统与现代相结合的制作工艺，经过清洗、多频温烘干、包装后出售；加工坊产能2吨/天。</w:t>
            </w: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3ADD0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热风智能烘干设备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01AF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空气能热泵/产量300斤/次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75042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1*9.5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2D0B7F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9.5</w:t>
            </w:r>
          </w:p>
        </w:tc>
        <w:tc>
          <w:tcPr>
            <w:tcW w:w="2752" w:type="dxa"/>
            <w:vMerge w:val="restart"/>
            <w:shd w:val="clear" w:color="auto" w:fill="FFFFFF"/>
            <w:noWrap w:val="0"/>
            <w:vAlign w:val="center"/>
          </w:tcPr>
          <w:p w14:paraId="120DD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通过建设无添加果干加工坊，推动永乐乡从传统种植向“产加销”一体化转型，实现一二三产业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深度融合。以“企业+合作社”模式联动农户，聚焦绿色健康消费趋势，创新融合传统工艺与现代加工技术，建立从鲜桃精选、清洁加工到低温烘干的标准化生产体系，有效提升桃果附加值，弥补本地深加工产业短板。</w:t>
            </w:r>
          </w:p>
        </w:tc>
        <w:tc>
          <w:tcPr>
            <w:tcW w:w="728" w:type="dxa"/>
            <w:vMerge w:val="restart"/>
            <w:shd w:val="clear" w:color="auto" w:fill="FFFFFF"/>
            <w:noWrap w:val="0"/>
            <w:vAlign w:val="center"/>
          </w:tcPr>
          <w:p w14:paraId="07A00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900" w:type="dxa"/>
            <w:vMerge w:val="restart"/>
            <w:shd w:val="clear" w:color="auto" w:fill="FFFFFF"/>
            <w:noWrap w:val="0"/>
            <w:vAlign w:val="center"/>
          </w:tcPr>
          <w:p w14:paraId="27DCD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694" w:type="dxa"/>
            <w:vMerge w:val="restart"/>
            <w:shd w:val="clear" w:color="auto" w:fill="FFFFFF"/>
            <w:noWrap w:val="0"/>
            <w:vAlign w:val="center"/>
          </w:tcPr>
          <w:p w14:paraId="3FD05DD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restart"/>
            <w:noWrap/>
            <w:vAlign w:val="center"/>
          </w:tcPr>
          <w:p w14:paraId="1F7DB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985" w:type="dxa"/>
            <w:vMerge w:val="restart"/>
            <w:noWrap/>
            <w:vAlign w:val="center"/>
          </w:tcPr>
          <w:p w14:paraId="445E8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</w:tc>
      </w:tr>
      <w:tr w14:paraId="57889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6D6C368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654FC3C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2D21F0F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1BD1DF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1CF0FB5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499C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万能洗菜机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2F03A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700*700*700cm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53EC8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1*4.5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0A394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4.5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0BE344D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0C5A5F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36A0AE3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0067E6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/>
            <w:vAlign w:val="center"/>
          </w:tcPr>
          <w:p w14:paraId="1336DD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/>
            <w:vAlign w:val="center"/>
          </w:tcPr>
          <w:p w14:paraId="56E820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5D7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7EB6749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56AE5CF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0C6415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1B0316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2983E9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7BF8B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水果去皮去核分拣机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3A365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DK/1000</w:t>
            </w: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1CA2F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1*4.5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67C40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4.5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7DA49A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1B3E923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23BD500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2CE854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/>
            <w:vAlign w:val="center"/>
          </w:tcPr>
          <w:p w14:paraId="5518E6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/>
            <w:vAlign w:val="center"/>
          </w:tcPr>
          <w:p w14:paraId="79B4FC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7AA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618" w:type="dxa"/>
            <w:vMerge w:val="continue"/>
            <w:shd w:val="clear" w:color="auto" w:fill="FFFFFF"/>
            <w:noWrap w:val="0"/>
            <w:vAlign w:val="center"/>
          </w:tcPr>
          <w:p w14:paraId="2191710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9" w:type="dxa"/>
            <w:vMerge w:val="continue"/>
            <w:shd w:val="clear" w:color="auto" w:fill="FFFFFF"/>
            <w:noWrap w:val="0"/>
            <w:vAlign w:val="center"/>
          </w:tcPr>
          <w:p w14:paraId="769C91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7" w:type="dxa"/>
            <w:vMerge w:val="continue"/>
            <w:shd w:val="clear" w:color="auto" w:fill="FFFFFF"/>
            <w:noWrap w:val="0"/>
            <w:vAlign w:val="center"/>
          </w:tcPr>
          <w:p w14:paraId="4FF7339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vMerge w:val="continue"/>
            <w:shd w:val="clear" w:color="auto" w:fill="FFFFFF"/>
            <w:noWrap w:val="0"/>
            <w:vAlign w:val="center"/>
          </w:tcPr>
          <w:p w14:paraId="2C1C63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14" w:type="dxa"/>
            <w:vMerge w:val="continue"/>
            <w:shd w:val="clear" w:color="auto" w:fill="FFFFFF"/>
            <w:noWrap w:val="0"/>
            <w:vAlign w:val="center"/>
          </w:tcPr>
          <w:p w14:paraId="7B8441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0" w:type="dxa"/>
            <w:shd w:val="clear" w:color="auto" w:fill="FFFFFF"/>
            <w:noWrap w:val="0"/>
            <w:vAlign w:val="center"/>
          </w:tcPr>
          <w:p w14:paraId="2116C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水果智能分选机</w:t>
            </w:r>
          </w:p>
        </w:tc>
        <w:tc>
          <w:tcPr>
            <w:tcW w:w="2781" w:type="dxa"/>
            <w:shd w:val="clear" w:color="auto" w:fill="FFFFFF"/>
            <w:noWrap w:val="0"/>
            <w:vAlign w:val="center"/>
          </w:tcPr>
          <w:p w14:paraId="7DB01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配套动力：3KW</w:t>
            </w:r>
          </w:p>
          <w:p w14:paraId="53B20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  <w:t>分选速度：2.6万/小时</w:t>
            </w:r>
          </w:p>
          <w:p w14:paraId="78337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63" w:type="dxa"/>
            <w:shd w:val="clear" w:color="auto" w:fill="FFFFFF"/>
            <w:noWrap w:val="0"/>
            <w:vAlign w:val="center"/>
          </w:tcPr>
          <w:p w14:paraId="6C80C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1*11.5</w:t>
            </w:r>
          </w:p>
        </w:tc>
        <w:tc>
          <w:tcPr>
            <w:tcW w:w="1500" w:type="dxa"/>
            <w:shd w:val="clear" w:color="auto" w:fill="FFFFFF"/>
            <w:noWrap w:val="0"/>
            <w:vAlign w:val="center"/>
          </w:tcPr>
          <w:p w14:paraId="5A751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0"/>
                <w:szCs w:val="2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11.5</w:t>
            </w:r>
          </w:p>
        </w:tc>
        <w:tc>
          <w:tcPr>
            <w:tcW w:w="2752" w:type="dxa"/>
            <w:vMerge w:val="continue"/>
            <w:shd w:val="clear" w:color="auto" w:fill="FFFFFF"/>
            <w:noWrap w:val="0"/>
            <w:vAlign w:val="center"/>
          </w:tcPr>
          <w:p w14:paraId="6CDB6F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28" w:type="dxa"/>
            <w:vMerge w:val="continue"/>
            <w:shd w:val="clear" w:color="auto" w:fill="FFFFFF"/>
            <w:noWrap w:val="0"/>
            <w:vAlign w:val="center"/>
          </w:tcPr>
          <w:p w14:paraId="420B896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vMerge w:val="continue"/>
            <w:shd w:val="clear" w:color="auto" w:fill="FFFFFF"/>
            <w:noWrap w:val="0"/>
            <w:vAlign w:val="center"/>
          </w:tcPr>
          <w:p w14:paraId="02197A8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4" w:type="dxa"/>
            <w:vMerge w:val="continue"/>
            <w:shd w:val="clear" w:color="auto" w:fill="FFFFFF"/>
            <w:noWrap w:val="0"/>
            <w:vAlign w:val="center"/>
          </w:tcPr>
          <w:p w14:paraId="65D6FE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vMerge w:val="continue"/>
            <w:noWrap/>
            <w:vAlign w:val="center"/>
          </w:tcPr>
          <w:p w14:paraId="3A44A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85" w:type="dxa"/>
            <w:vMerge w:val="continue"/>
            <w:noWrap/>
            <w:vAlign w:val="center"/>
          </w:tcPr>
          <w:p w14:paraId="233CD0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70C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16992" w:type="dxa"/>
            <w:gridSpan w:val="10"/>
            <w:noWrap/>
            <w:vAlign w:val="center"/>
          </w:tcPr>
          <w:p w14:paraId="0D24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728" w:type="dxa"/>
            <w:noWrap/>
            <w:vAlign w:val="center"/>
          </w:tcPr>
          <w:p w14:paraId="0EF4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843</w:t>
            </w:r>
          </w:p>
        </w:tc>
        <w:tc>
          <w:tcPr>
            <w:tcW w:w="900" w:type="dxa"/>
            <w:noWrap/>
            <w:vAlign w:val="center"/>
          </w:tcPr>
          <w:p w14:paraId="281C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694" w:type="dxa"/>
            <w:noWrap/>
            <w:vAlign w:val="center"/>
          </w:tcPr>
          <w:p w14:paraId="676579CB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6" w:type="dxa"/>
            <w:noWrap/>
            <w:vAlign w:val="center"/>
          </w:tcPr>
          <w:p w14:paraId="7A891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543</w:t>
            </w:r>
          </w:p>
        </w:tc>
        <w:tc>
          <w:tcPr>
            <w:tcW w:w="985" w:type="dxa"/>
            <w:noWrap/>
            <w:vAlign w:val="center"/>
          </w:tcPr>
          <w:p w14:paraId="063D9B50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62BAF19">
      <w:pPr>
        <w:pStyle w:val="3"/>
        <w:jc w:val="center"/>
        <w:rPr>
          <w:rFonts w:hint="eastAsia" w:ascii="宋体" w:hAnsi="宋体" w:cs="宋体"/>
          <w:b/>
          <w:bCs/>
          <w:color w:val="000000"/>
          <w:sz w:val="21"/>
          <w:szCs w:val="21"/>
        </w:rPr>
      </w:pPr>
    </w:p>
    <w:p w14:paraId="39409D52">
      <w:pPr>
        <w:pStyle w:val="3"/>
        <w:jc w:val="center"/>
        <w:rPr>
          <w:rFonts w:hint="eastAsia" w:ascii="宋体" w:hAnsi="宋体" w:cs="宋体"/>
          <w:b/>
          <w:bCs/>
          <w:color w:val="000000"/>
          <w:sz w:val="21"/>
          <w:szCs w:val="21"/>
        </w:rPr>
        <w:sectPr>
          <w:pgSz w:w="23811" w:h="16838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6D5C8D2A">
      <w:pPr>
        <w:pStyle w:val="3"/>
        <w:jc w:val="center"/>
        <w:rPr>
          <w:rFonts w:hint="eastAsia" w:ascii="宋体" w:hAnsi="宋体" w:cs="宋体"/>
          <w:b/>
          <w:bCs/>
          <w:color w:val="000000"/>
          <w:sz w:val="21"/>
          <w:szCs w:val="21"/>
        </w:rPr>
      </w:pPr>
      <w:r>
        <w:rPr>
          <w:rFonts w:hint="eastAsia" w:ascii="宋体" w:hAnsi="宋体" w:cs="宋体"/>
          <w:b/>
          <w:bCs/>
          <w:color w:val="000000"/>
          <w:sz w:val="21"/>
          <w:szCs w:val="21"/>
        </w:rPr>
        <w:t>表2 700万中央财政奖补资金使用情况表</w:t>
      </w:r>
    </w:p>
    <w:tbl>
      <w:tblPr>
        <w:tblStyle w:val="4"/>
        <w:tblW w:w="4979" w:type="pct"/>
        <w:tblInd w:w="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4"/>
        <w:gridCol w:w="3020"/>
        <w:gridCol w:w="11129"/>
        <w:gridCol w:w="4285"/>
      </w:tblGrid>
      <w:tr w14:paraId="13365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623" w:type="pct"/>
            <w:noWrap w:val="0"/>
            <w:vAlign w:val="center"/>
          </w:tcPr>
          <w:p w14:paraId="75CC77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资金来源</w:t>
            </w:r>
          </w:p>
        </w:tc>
        <w:tc>
          <w:tcPr>
            <w:tcW w:w="3359" w:type="pct"/>
            <w:gridSpan w:val="2"/>
            <w:noWrap w:val="0"/>
            <w:vAlign w:val="center"/>
          </w:tcPr>
          <w:p w14:paraId="7FE016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主要用途</w:t>
            </w:r>
          </w:p>
        </w:tc>
        <w:tc>
          <w:tcPr>
            <w:tcW w:w="1017" w:type="pct"/>
            <w:noWrap w:val="0"/>
            <w:vAlign w:val="center"/>
          </w:tcPr>
          <w:p w14:paraId="7F11FA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中央财政奖补资金（万元）</w:t>
            </w:r>
          </w:p>
        </w:tc>
      </w:tr>
      <w:tr w14:paraId="2C1AD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623" w:type="pct"/>
            <w:vMerge w:val="restart"/>
            <w:noWrap w:val="0"/>
            <w:vAlign w:val="center"/>
          </w:tcPr>
          <w:p w14:paraId="7CF6E3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国家农业产业强镇中央财政补贴资金</w:t>
            </w:r>
          </w:p>
        </w:tc>
        <w:tc>
          <w:tcPr>
            <w:tcW w:w="717" w:type="pct"/>
            <w:noWrap w:val="0"/>
            <w:vAlign w:val="center"/>
          </w:tcPr>
          <w:p w14:paraId="28A3284B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生产能力提质升级</w:t>
            </w:r>
          </w:p>
        </w:tc>
        <w:tc>
          <w:tcPr>
            <w:tcW w:w="2641" w:type="pct"/>
            <w:noWrap w:val="0"/>
            <w:vAlign w:val="center"/>
          </w:tcPr>
          <w:p w14:paraId="1028695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永乐桃产业品种更新、果园现代化管理及种质资源保护等项目建设</w:t>
            </w:r>
          </w:p>
        </w:tc>
        <w:tc>
          <w:tcPr>
            <w:tcW w:w="1017" w:type="pct"/>
            <w:noWrap w:val="0"/>
            <w:vAlign w:val="center"/>
          </w:tcPr>
          <w:p w14:paraId="0575CE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250</w:t>
            </w:r>
          </w:p>
        </w:tc>
      </w:tr>
      <w:tr w14:paraId="12D62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623" w:type="pct"/>
            <w:vMerge w:val="continue"/>
            <w:noWrap w:val="0"/>
            <w:vAlign w:val="center"/>
          </w:tcPr>
          <w:p w14:paraId="4FA00C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17" w:type="pct"/>
            <w:noWrap w:val="0"/>
            <w:vAlign w:val="center"/>
          </w:tcPr>
          <w:p w14:paraId="404A2E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科技创新驱动提升</w:t>
            </w:r>
          </w:p>
        </w:tc>
        <w:tc>
          <w:tcPr>
            <w:tcW w:w="2641" w:type="pct"/>
            <w:noWrap w:val="0"/>
            <w:vAlign w:val="center"/>
          </w:tcPr>
          <w:p w14:paraId="6081FA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标准化生产线优化升级，果肉、果汁等衍生品精深加工，仓储冷链物流设施等项目建设</w:t>
            </w:r>
          </w:p>
        </w:tc>
        <w:tc>
          <w:tcPr>
            <w:tcW w:w="1017" w:type="pct"/>
            <w:noWrap w:val="0"/>
            <w:vAlign w:val="center"/>
          </w:tcPr>
          <w:p w14:paraId="29FFD1D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100</w:t>
            </w:r>
          </w:p>
        </w:tc>
      </w:tr>
      <w:tr w14:paraId="3D529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623" w:type="pct"/>
            <w:vMerge w:val="continue"/>
            <w:noWrap w:val="0"/>
            <w:vAlign w:val="center"/>
          </w:tcPr>
          <w:p w14:paraId="7F8142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17" w:type="pct"/>
            <w:noWrap w:val="0"/>
            <w:vAlign w:val="center"/>
          </w:tcPr>
          <w:p w14:paraId="17DACC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桃产品品牌推广</w:t>
            </w:r>
          </w:p>
        </w:tc>
        <w:tc>
          <w:tcPr>
            <w:tcW w:w="2641" w:type="pct"/>
            <w:noWrap w:val="0"/>
            <w:vAlign w:val="center"/>
          </w:tcPr>
          <w:p w14:paraId="44CB620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永乐桃品牌创建、产品宣传推广等项目建设</w:t>
            </w:r>
          </w:p>
        </w:tc>
        <w:tc>
          <w:tcPr>
            <w:tcW w:w="1017" w:type="pct"/>
            <w:noWrap w:val="0"/>
            <w:vAlign w:val="center"/>
          </w:tcPr>
          <w:p w14:paraId="1C551D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50</w:t>
            </w:r>
          </w:p>
        </w:tc>
      </w:tr>
      <w:tr w14:paraId="399BB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623" w:type="pct"/>
            <w:vMerge w:val="continue"/>
            <w:noWrap w:val="0"/>
            <w:vAlign w:val="center"/>
          </w:tcPr>
          <w:p w14:paraId="20289F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17" w:type="pct"/>
            <w:noWrap w:val="0"/>
            <w:vAlign w:val="center"/>
          </w:tcPr>
          <w:p w14:paraId="5968F1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产业强村新产业新业态培育</w:t>
            </w:r>
          </w:p>
        </w:tc>
        <w:tc>
          <w:tcPr>
            <w:tcW w:w="2641" w:type="pct"/>
            <w:noWrap w:val="0"/>
            <w:vAlign w:val="center"/>
          </w:tcPr>
          <w:p w14:paraId="066001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干井村乡村旅居产业、农业研学基地、非遗苗绣等新产业新业态培育</w:t>
            </w:r>
          </w:p>
          <w:p w14:paraId="0FA991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水塘村乡村旅居、垂直农业、最美果园、村咖等新产业新业态培育</w:t>
            </w:r>
          </w:p>
        </w:tc>
        <w:tc>
          <w:tcPr>
            <w:tcW w:w="1017" w:type="pct"/>
            <w:noWrap w:val="0"/>
            <w:vAlign w:val="center"/>
          </w:tcPr>
          <w:p w14:paraId="266DFB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  <w:t>300</w:t>
            </w:r>
          </w:p>
        </w:tc>
      </w:tr>
      <w:tr w14:paraId="6C9AB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623" w:type="pct"/>
            <w:tcBorders>
              <w:right w:val="nil"/>
            </w:tcBorders>
            <w:noWrap w:val="0"/>
            <w:vAlign w:val="center"/>
          </w:tcPr>
          <w:p w14:paraId="6A8220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717" w:type="pct"/>
            <w:tcBorders>
              <w:left w:val="nil"/>
              <w:right w:val="nil"/>
            </w:tcBorders>
            <w:noWrap w:val="0"/>
            <w:vAlign w:val="center"/>
          </w:tcPr>
          <w:p w14:paraId="575DEC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641" w:type="pct"/>
            <w:tcBorders>
              <w:left w:val="nil"/>
            </w:tcBorders>
            <w:noWrap w:val="0"/>
            <w:vAlign w:val="center"/>
          </w:tcPr>
          <w:p w14:paraId="450C8C09">
            <w:pPr>
              <w:widowControl/>
              <w:ind w:firstLine="2530" w:firstLineChars="1200"/>
              <w:jc w:val="both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017" w:type="pct"/>
            <w:noWrap w:val="0"/>
            <w:vAlign w:val="center"/>
          </w:tcPr>
          <w:p w14:paraId="428A7A3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 w:bidi="ar"/>
              </w:rPr>
              <w:t>700</w:t>
            </w:r>
          </w:p>
        </w:tc>
      </w:tr>
    </w:tbl>
    <w:p w14:paraId="2FA0A46A">
      <w:pPr>
        <w:pStyle w:val="2"/>
        <w:rPr>
          <w:rFonts w:hint="eastAsia" w:ascii="楷体" w:hAnsi="楷体" w:eastAsia="楷体" w:cs="楷体"/>
          <w:color w:val="000000"/>
        </w:rPr>
        <w:sectPr>
          <w:pgSz w:w="23811" w:h="16838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 w14:paraId="45A4B6E4">
      <w:pPr>
        <w:rPr>
          <w:rFonts w:hint="eastAsia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4E2A21"/>
    <w:rsid w:val="6CAF4428"/>
    <w:rsid w:val="75A9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customStyle="1" w:styleId="6">
    <w:name w:val="font41"/>
    <w:basedOn w:val="5"/>
    <w:qFormat/>
    <w:uiPriority w:val="0"/>
    <w:rPr>
      <w:rFonts w:hint="eastAsia" w:ascii="仿宋" w:hAnsi="仿宋" w:eastAsia="仿宋" w:cs="仿宋"/>
      <w:color w:val="000000"/>
      <w:sz w:val="40"/>
      <w:szCs w:val="4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2435</Words>
  <Characters>2750</Characters>
  <Lines>0</Lines>
  <Paragraphs>0</Paragraphs>
  <TotalTime>7</TotalTime>
  <ScaleCrop>false</ScaleCrop>
  <LinksUpToDate>false</LinksUpToDate>
  <CharactersWithSpaces>2843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2025-07-30T02:28:00Z</dcterms:created>
  <dc:creator>Administrator</dc:creator>
  <cp:lastModifiedBy>L</cp:lastModifiedBy>
  <dcterms:modified xsi:type="dcterms:W3CDTF">2025-07-30T03:15:38Z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eyJoZGlkIjoiYzgxNDIyNDMyZTFmNWEyNWQ1NTI5NWNjMWU2NTI2MWIiLCJ1c2VySWQiOiI1MzQxMjU4MDgifQ==</vt:lpwstr>
  </property>
  <property fmtid="{D5CDD505-2E9C-101B-9397-08002B2CF9AE}" pid="4" name="ICV">
    <vt:lpwstr>889B50729A6547E9AEBAB54A95B51BF0_13</vt:lpwstr>
  </property>
</Properties>
</file>