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附件5</w:t>
      </w:r>
    </w:p>
    <w:p>
      <w:pPr>
        <w:pStyle w:val="2"/>
        <w:rPr>
          <w:rFonts w:hint="eastAsia"/>
          <w:lang w:val="en-US" w:eastAsia="zh-CN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600" w:lineRule="exact"/>
        <w:ind w:right="0" w:rightChars="0"/>
        <w:jc w:val="center"/>
        <w:textAlignment w:val="auto"/>
        <w:outlineLvl w:val="9"/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spacing w:val="-11"/>
          <w:sz w:val="44"/>
          <w:szCs w:val="44"/>
          <w:lang w:val="en-US" w:eastAsia="zh-CN"/>
        </w:rPr>
        <w:t>确定为</w:t>
      </w:r>
      <w:r>
        <w:rPr>
          <w:rFonts w:hint="eastAsia" w:ascii="Times New Roman" w:hAnsi="Times New Roman" w:eastAsia="方正小标宋简体" w:cs="Times New Roman"/>
          <w:kern w:val="2"/>
          <w:sz w:val="44"/>
          <w:szCs w:val="44"/>
          <w:lang w:val="en-US" w:eastAsia="zh-CN" w:bidi="ar-SA"/>
        </w:rPr>
        <w:t>贵州省畜禽核心育种场名单</w:t>
      </w:r>
    </w:p>
    <w:tbl>
      <w:tblPr>
        <w:tblStyle w:val="5"/>
        <w:tblpPr w:leftFromText="180" w:rightFromText="180" w:vertAnchor="text" w:horzAnchor="page" w:tblpX="1415" w:tblpY="619"/>
        <w:tblOverlap w:val="never"/>
        <w:tblW w:w="8650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9"/>
        <w:gridCol w:w="2542"/>
        <w:gridCol w:w="2232"/>
        <w:gridCol w:w="1241"/>
        <w:gridCol w:w="178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849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依托单位</w:t>
            </w:r>
          </w:p>
        </w:tc>
        <w:tc>
          <w:tcPr>
            <w:tcW w:w="223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品种名称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贵州嘉农种猪养殖有限公司</w:t>
            </w:r>
          </w:p>
        </w:tc>
        <w:tc>
          <w:tcPr>
            <w:tcW w:w="223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贵州省生猪核心育种场</w:t>
            </w: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修文县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大白猪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贵州永诚育种有限公司</w:t>
            </w:r>
          </w:p>
        </w:tc>
        <w:tc>
          <w:tcPr>
            <w:tcW w:w="223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贵州省生猪核心育种场</w:t>
            </w: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锦屏县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杜洛克猪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贵州温氏种猪科技有限公司</w:t>
            </w:r>
          </w:p>
        </w:tc>
        <w:tc>
          <w:tcPr>
            <w:tcW w:w="223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贵州省生猪核心育种场</w:t>
            </w: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播州区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大白猪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贵州黄牛产业集团黔西市有限责任公司</w:t>
            </w:r>
          </w:p>
        </w:tc>
        <w:tc>
          <w:tcPr>
            <w:tcW w:w="223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FF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贵州省肉牛核心育种场</w:t>
            </w: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黔西市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安格斯牛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</w:trPr>
        <w:tc>
          <w:tcPr>
            <w:tcW w:w="849" w:type="dxa"/>
            <w:tcBorders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54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贵州广济堂大健康产业有限公司</w:t>
            </w:r>
          </w:p>
        </w:tc>
        <w:tc>
          <w:tcPr>
            <w:tcW w:w="223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贵州省梅花鹿核心育种场</w:t>
            </w:r>
          </w:p>
        </w:tc>
        <w:tc>
          <w:tcPr>
            <w:tcW w:w="124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惠水县</w:t>
            </w:r>
          </w:p>
        </w:tc>
        <w:tc>
          <w:tcPr>
            <w:tcW w:w="178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东大梅花鹿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470D8"/>
    <w:rsid w:val="67F470D8"/>
    <w:rsid w:val="7CAF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A正文"/>
    <w:basedOn w:val="1"/>
    <w:qFormat/>
    <w:uiPriority w:val="0"/>
    <w:pPr>
      <w:ind w:firstLine="200" w:firstLineChars="200"/>
    </w:pPr>
  </w:style>
  <w:style w:type="paragraph" w:styleId="3">
    <w:name w:val="caption"/>
    <w:basedOn w:val="1"/>
    <w:next w:val="1"/>
    <w:qFormat/>
    <w:uiPriority w:val="0"/>
    <w:pPr>
      <w:widowControl w:val="0"/>
      <w:suppressLineNumbers/>
      <w:suppressAutoHyphens/>
      <w:spacing w:before="120" w:after="120"/>
    </w:pPr>
    <w:rPr>
      <w:i/>
      <w:iCs/>
      <w:sz w:val="24"/>
      <w:szCs w:val="24"/>
    </w:rPr>
  </w:style>
  <w:style w:type="paragraph" w:styleId="4">
    <w:name w:val="Normal (Web)"/>
    <w:basedOn w:val="1"/>
    <w:next w:val="3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122</TotalTime>
  <ScaleCrop>false</ScaleCrop>
  <LinksUpToDate>false</LinksUpToDate>
  <CharactersWithSpaces>0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2025-07-01T02:18:00Z</dcterms:created>
  <dc:creator>ysgz</dc:creator>
  <cp:lastModifiedBy>White涛</cp:lastModifiedBy>
  <cp:lastPrinted>2025-07-07T11:07:28Z</cp:lastPrinted>
  <dcterms:modified xsi:type="dcterms:W3CDTF">2025-07-07T13:10:04Z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</Properties>
</file>