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color w:val="auto"/>
          <w:sz w:val="44"/>
          <w:szCs w:val="44"/>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color w:val="auto"/>
          <w:sz w:val="44"/>
          <w:szCs w:val="44"/>
          <w:u w:val="none"/>
          <w:lang w:val="en-US" w:eastAsia="zh-CN"/>
        </w:rPr>
      </w:pPr>
      <w:r>
        <w:rPr>
          <w:rFonts w:hint="eastAsia" w:ascii="方正小标宋_GBK" w:hAnsi="方正小标宋_GBK" w:eastAsia="方正小标宋_GBK" w:cs="方正小标宋_GBK"/>
          <w:b w:val="0"/>
          <w:bCs w:val="0"/>
          <w:color w:val="auto"/>
          <w:sz w:val="44"/>
          <w:szCs w:val="44"/>
          <w:u w:val="none"/>
          <w:lang w:val="en-US" w:eastAsia="zh-CN"/>
        </w:rPr>
        <w:t>2025贵阳贵安酒车联动促销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color w:val="auto"/>
          <w:sz w:val="44"/>
          <w:szCs w:val="44"/>
          <w:u w:val="none"/>
          <w:lang w:val="en-US" w:eastAsia="zh-CN"/>
        </w:rPr>
      </w:pPr>
      <w:r>
        <w:rPr>
          <w:rFonts w:hint="eastAsia" w:ascii="方正小标宋_GBK" w:hAnsi="方正小标宋_GBK" w:eastAsia="方正小标宋_GBK" w:cs="方正小标宋_GBK"/>
          <w:b w:val="0"/>
          <w:bCs w:val="0"/>
          <w:color w:val="auto"/>
          <w:sz w:val="44"/>
          <w:szCs w:val="44"/>
          <w:u w:val="none"/>
          <w:lang w:val="en-US" w:eastAsia="zh-CN"/>
        </w:rPr>
        <w:t>专项消费券发放方案</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val="0"/>
          <w:bCs w:val="0"/>
          <w:color w:val="auto"/>
          <w:sz w:val="36"/>
          <w:szCs w:val="36"/>
          <w:u w:val="none"/>
          <w:lang w:val="en-US" w:eastAsia="zh-CN"/>
        </w:rPr>
      </w:pPr>
      <w:r>
        <w:rPr>
          <w:rFonts w:hint="eastAsia" w:ascii="仿宋" w:hAnsi="仿宋" w:eastAsia="仿宋" w:cs="仿宋"/>
          <w:b w:val="0"/>
          <w:bCs w:val="0"/>
          <w:color w:val="auto"/>
          <w:sz w:val="36"/>
          <w:szCs w:val="36"/>
          <w:u w:val="none"/>
          <w:lang w:val="en-US" w:eastAsia="zh-CN"/>
        </w:rPr>
        <w:t>（征求意见稿）</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黑体_GBK" w:hAnsi="方正黑体_GBK" w:eastAsia="方正黑体_GBK" w:cs="方正黑体_GBK"/>
          <w:b w:val="0"/>
          <w:bCs w:val="0"/>
          <w:color w:val="auto"/>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黑体" w:hAnsi="黑体" w:eastAsia="黑体" w:cs="黑体"/>
          <w:b w:val="0"/>
          <w:bCs w:val="0"/>
          <w:color w:val="auto"/>
          <w:sz w:val="36"/>
          <w:szCs w:val="36"/>
          <w:u w:val="none"/>
          <w:lang w:val="en-US" w:eastAsia="zh-CN"/>
        </w:rPr>
      </w:pPr>
      <w:r>
        <w:rPr>
          <w:rFonts w:hint="eastAsia" w:ascii="黑体" w:hAnsi="黑体" w:eastAsia="黑体" w:cs="黑体"/>
          <w:b w:val="0"/>
          <w:bCs w:val="0"/>
          <w:color w:val="auto"/>
          <w:sz w:val="36"/>
          <w:szCs w:val="36"/>
          <w:u w:val="none"/>
          <w:lang w:val="en-US" w:eastAsia="zh-CN"/>
        </w:rPr>
        <w:t>一、活动目标</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仿宋_GB2312" w:hAnsi="仿宋_GB2312" w:eastAsia="仿宋_GB2312" w:cs="仿宋_GB2312"/>
          <w:color w:val="auto"/>
          <w:sz w:val="36"/>
          <w:szCs w:val="36"/>
          <w:u w:val="none"/>
          <w:lang w:val="en-US" w:eastAsia="zh-CN"/>
        </w:rPr>
        <w:t>深入推进“酒车联动”促销活动，进一步扩大汽车销售，支持全市汽车消费稳定增长，</w:t>
      </w:r>
      <w:r>
        <w:rPr>
          <w:rFonts w:hint="eastAsia" w:ascii="仿宋_GB2312" w:hAnsi="仿宋_GB2312" w:eastAsia="仿宋_GB2312" w:cs="仿宋_GB2312"/>
          <w:b w:val="0"/>
          <w:bCs w:val="0"/>
          <w:color w:val="auto"/>
          <w:sz w:val="36"/>
          <w:szCs w:val="36"/>
          <w:u w:val="none"/>
          <w:lang w:val="en-US" w:eastAsia="zh-CN"/>
        </w:rPr>
        <w:t>满足消费者对高品质汽车的需求，提高市民生活质量。</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黑体" w:hAnsi="黑体" w:eastAsia="黑体" w:cs="黑体"/>
          <w:b w:val="0"/>
          <w:bCs w:val="0"/>
          <w:color w:val="auto"/>
          <w:sz w:val="36"/>
          <w:szCs w:val="36"/>
          <w:u w:val="none"/>
          <w:lang w:val="en-US" w:eastAsia="zh-CN"/>
        </w:rPr>
      </w:pPr>
      <w:r>
        <w:rPr>
          <w:rFonts w:hint="eastAsia" w:ascii="黑体" w:hAnsi="黑体" w:eastAsia="黑体" w:cs="黑体"/>
          <w:b w:val="0"/>
          <w:bCs w:val="0"/>
          <w:color w:val="auto"/>
          <w:sz w:val="36"/>
          <w:szCs w:val="36"/>
          <w:u w:val="none"/>
          <w:lang w:val="en-US" w:eastAsia="zh-CN"/>
        </w:rPr>
        <w:t>二、参与对象</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楷体" w:hAnsi="楷体" w:eastAsia="楷体" w:cs="楷体"/>
          <w:b w:val="0"/>
          <w:bCs w:val="0"/>
          <w:color w:val="auto"/>
          <w:sz w:val="36"/>
          <w:szCs w:val="36"/>
          <w:u w:val="none"/>
          <w:lang w:val="en-US" w:eastAsia="zh-CN"/>
        </w:rPr>
        <w:t>（一）汽车销售企业</w:t>
      </w:r>
      <w:r>
        <w:rPr>
          <w:rFonts w:hint="eastAsia" w:ascii="仿宋_GB2312" w:hAnsi="仿宋_GB2312" w:eastAsia="仿宋_GB2312" w:cs="仿宋_GB2312"/>
          <w:b w:val="0"/>
          <w:bCs w:val="0"/>
          <w:color w:val="auto"/>
          <w:sz w:val="36"/>
          <w:szCs w:val="36"/>
          <w:u w:val="none"/>
          <w:lang w:val="en-US" w:eastAsia="zh-CN"/>
        </w:rPr>
        <w:t>。贵阳贵安范围内的参加“酒车联动”的汽车零售企业，需具备合法经营资质。</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楷体" w:hAnsi="楷体" w:eastAsia="楷体" w:cs="楷体"/>
          <w:b w:val="0"/>
          <w:bCs w:val="0"/>
          <w:color w:val="auto"/>
          <w:sz w:val="36"/>
          <w:szCs w:val="36"/>
          <w:u w:val="none"/>
          <w:lang w:val="en-US" w:eastAsia="zh-CN"/>
        </w:rPr>
        <w:t>（二）消费者</w:t>
      </w:r>
      <w:r>
        <w:rPr>
          <w:rFonts w:hint="eastAsia" w:ascii="仿宋_GB2312" w:hAnsi="仿宋_GB2312" w:eastAsia="仿宋_GB2312" w:cs="仿宋_GB2312"/>
          <w:b w:val="0"/>
          <w:bCs w:val="0"/>
          <w:color w:val="auto"/>
          <w:sz w:val="36"/>
          <w:szCs w:val="36"/>
          <w:u w:val="none"/>
          <w:lang w:val="en-US" w:eastAsia="zh-CN"/>
        </w:rPr>
        <w:t>。在活动时间内、在参加活动汽车零售企业购买7座及以下燃油或新能源乘用新车的消费者。</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楷体" w:hAnsi="楷体" w:eastAsia="楷体" w:cs="楷体"/>
          <w:b w:val="0"/>
          <w:bCs w:val="0"/>
          <w:color w:val="auto"/>
          <w:sz w:val="36"/>
          <w:szCs w:val="36"/>
          <w:u w:val="none"/>
          <w:lang w:val="en-US" w:eastAsia="zh-CN"/>
        </w:rPr>
        <w:t>（三）核销企业</w:t>
      </w:r>
      <w:r>
        <w:rPr>
          <w:rFonts w:hint="eastAsia" w:ascii="仿宋_GB2312" w:hAnsi="仿宋_GB2312" w:eastAsia="仿宋_GB2312" w:cs="仿宋_GB2312"/>
          <w:b w:val="0"/>
          <w:bCs w:val="0"/>
          <w:color w:val="auto"/>
          <w:sz w:val="36"/>
          <w:szCs w:val="36"/>
          <w:u w:val="none"/>
          <w:lang w:val="en-US" w:eastAsia="zh-CN"/>
        </w:rPr>
        <w:t>。本次活动属于发放给购车消费者专项福利，在贵阳贵安</w:t>
      </w:r>
      <w:r>
        <w:rPr>
          <w:rFonts w:hint="eastAsia" w:ascii="仿宋_GB2312" w:hAnsi="仿宋_GB2312" w:eastAsia="仿宋_GB2312" w:cs="仿宋_GB2312"/>
          <w:b w:val="0"/>
          <w:bCs w:val="0"/>
          <w:color w:val="auto"/>
          <w:sz w:val="36"/>
          <w:szCs w:val="36"/>
          <w:u w:val="none"/>
          <w:lang w:val="en-US" w:eastAsia="zh-CN"/>
        </w:rPr>
        <w:t>参加活动的</w:t>
      </w:r>
      <w:r>
        <w:rPr>
          <w:rFonts w:hint="eastAsia" w:ascii="仿宋_GB2312" w:hAnsi="仿宋_GB2312" w:eastAsia="仿宋_GB2312" w:cs="仿宋_GB2312"/>
          <w:b w:val="0"/>
          <w:bCs w:val="0"/>
          <w:color w:val="auto"/>
          <w:sz w:val="36"/>
          <w:szCs w:val="36"/>
          <w:u w:val="none"/>
          <w:lang w:val="en-US" w:eastAsia="zh-CN"/>
        </w:rPr>
        <w:t>成品油销售企业核销使用。</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黑体" w:hAnsi="黑体" w:eastAsia="黑体" w:cs="黑体"/>
          <w:b w:val="0"/>
          <w:bCs w:val="0"/>
          <w:color w:val="auto"/>
          <w:sz w:val="36"/>
          <w:szCs w:val="36"/>
          <w:u w:val="none"/>
          <w:lang w:val="en-US" w:eastAsia="zh-CN"/>
        </w:rPr>
      </w:pPr>
      <w:r>
        <w:rPr>
          <w:rFonts w:hint="eastAsia" w:ascii="黑体" w:hAnsi="黑体" w:eastAsia="黑体" w:cs="黑体"/>
          <w:b w:val="0"/>
          <w:bCs w:val="0"/>
          <w:color w:val="auto"/>
          <w:sz w:val="36"/>
          <w:szCs w:val="36"/>
          <w:u w:val="none"/>
          <w:lang w:val="en-US" w:eastAsia="zh-CN"/>
        </w:rPr>
        <w:t>三、活动时间</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楷体" w:hAnsi="楷体" w:eastAsia="楷体" w:cs="楷体"/>
          <w:b w:val="0"/>
          <w:bCs w:val="0"/>
          <w:color w:val="auto"/>
          <w:sz w:val="36"/>
          <w:szCs w:val="36"/>
          <w:u w:val="none"/>
          <w:lang w:val="en-US" w:eastAsia="zh-CN"/>
        </w:rPr>
        <w:t>（一）申请时间</w:t>
      </w:r>
      <w:r>
        <w:rPr>
          <w:rFonts w:hint="eastAsia" w:ascii="仿宋_GB2312" w:hAnsi="仿宋_GB2312" w:eastAsia="仿宋_GB2312" w:cs="仿宋_GB2312"/>
          <w:b w:val="0"/>
          <w:bCs w:val="0"/>
          <w:color w:val="auto"/>
          <w:sz w:val="36"/>
          <w:szCs w:val="36"/>
          <w:u w:val="none"/>
          <w:lang w:val="en-US" w:eastAsia="zh-CN"/>
        </w:rPr>
        <w:t>。2025年10月XX日-XX</w:t>
      </w:r>
      <w:r>
        <w:rPr>
          <w:rFonts w:hint="eastAsia" w:ascii="仿宋_GB2312" w:hAnsi="仿宋_GB2312" w:eastAsia="仿宋_GB2312" w:cs="仿宋_GB2312"/>
          <w:b w:val="0"/>
          <w:bCs w:val="0"/>
          <w:color w:val="auto"/>
          <w:sz w:val="36"/>
          <w:szCs w:val="36"/>
          <w:highlight w:val="none"/>
          <w:u w:val="none"/>
          <w:lang w:val="en-US" w:eastAsia="zh-CN"/>
        </w:rPr>
        <w:t>日</w:t>
      </w:r>
      <w:r>
        <w:rPr>
          <w:rFonts w:hint="eastAsia" w:ascii="仿宋_GB2312" w:hAnsi="仿宋_GB2312" w:eastAsia="仿宋_GB2312" w:cs="仿宋_GB2312"/>
          <w:b w:val="0"/>
          <w:bCs w:val="0"/>
          <w:color w:val="auto"/>
          <w:sz w:val="36"/>
          <w:szCs w:val="36"/>
          <w:u w:val="none"/>
          <w:lang w:val="en-US" w:eastAsia="zh-CN"/>
        </w:rPr>
        <w:t>（</w:t>
      </w:r>
      <w:r>
        <w:rPr>
          <w:rFonts w:hint="eastAsia" w:ascii="仿宋_GB2312" w:hAnsi="仿宋_GB2312" w:eastAsia="仿宋_GB2312" w:cs="仿宋_GB2312"/>
          <w:b w:val="0"/>
          <w:bCs w:val="0"/>
          <w:color w:val="auto"/>
          <w:sz w:val="36"/>
          <w:szCs w:val="36"/>
          <w:highlight w:val="none"/>
          <w:u w:val="none"/>
          <w:lang w:val="en-US" w:eastAsia="zh-CN"/>
        </w:rPr>
        <w:t>活动期限内</w:t>
      </w:r>
      <w:r>
        <w:rPr>
          <w:rFonts w:hint="eastAsia" w:ascii="仿宋_GB2312" w:hAnsi="仿宋_GB2312" w:eastAsia="仿宋_GB2312" w:cs="仿宋_GB2312"/>
          <w:b w:val="0"/>
          <w:bCs w:val="0"/>
          <w:color w:val="auto"/>
          <w:sz w:val="36"/>
          <w:szCs w:val="36"/>
          <w:highlight w:val="none"/>
          <w:u w:val="none"/>
          <w:lang w:val="en-US" w:eastAsia="zh-CN"/>
        </w:rPr>
        <w:t>资金用完即止）</w:t>
      </w:r>
      <w:r>
        <w:rPr>
          <w:rFonts w:hint="eastAsia" w:ascii="仿宋_GB2312" w:hAnsi="仿宋_GB2312" w:eastAsia="仿宋_GB2312" w:cs="仿宋_GB2312"/>
          <w:b w:val="0"/>
          <w:bCs w:val="0"/>
          <w:color w:val="auto"/>
          <w:sz w:val="36"/>
          <w:szCs w:val="36"/>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楷体" w:hAnsi="楷体" w:eastAsia="楷体" w:cs="楷体"/>
          <w:b w:val="0"/>
          <w:bCs w:val="0"/>
          <w:color w:val="auto"/>
          <w:sz w:val="36"/>
          <w:szCs w:val="36"/>
          <w:u w:val="none"/>
          <w:lang w:val="en-US" w:eastAsia="zh-CN"/>
        </w:rPr>
        <w:t>（二）发放时间</w:t>
      </w:r>
      <w:r>
        <w:rPr>
          <w:rFonts w:hint="eastAsia" w:ascii="仿宋_GB2312" w:hAnsi="仿宋_GB2312" w:eastAsia="仿宋_GB2312" w:cs="仿宋_GB2312"/>
          <w:b w:val="0"/>
          <w:bCs w:val="0"/>
          <w:color w:val="auto"/>
          <w:sz w:val="36"/>
          <w:szCs w:val="36"/>
          <w:u w:val="none"/>
          <w:lang w:val="en-US" w:eastAsia="zh-CN"/>
        </w:rPr>
        <w:t>。2025年10月XX日-XX</w:t>
      </w:r>
      <w:r>
        <w:rPr>
          <w:rFonts w:hint="eastAsia" w:ascii="仿宋_GB2312" w:hAnsi="仿宋_GB2312" w:eastAsia="仿宋_GB2312" w:cs="仿宋_GB2312"/>
          <w:b w:val="0"/>
          <w:bCs w:val="0"/>
          <w:color w:val="auto"/>
          <w:sz w:val="36"/>
          <w:szCs w:val="36"/>
          <w:highlight w:val="none"/>
          <w:u w:val="none"/>
          <w:lang w:val="en-US" w:eastAsia="zh-CN"/>
        </w:rPr>
        <w:t>日</w:t>
      </w:r>
      <w:r>
        <w:rPr>
          <w:rFonts w:hint="eastAsia" w:ascii="仿宋_GB2312" w:hAnsi="仿宋_GB2312" w:eastAsia="仿宋_GB2312" w:cs="仿宋_GB2312"/>
          <w:b w:val="0"/>
          <w:bCs w:val="0"/>
          <w:color w:val="auto"/>
          <w:sz w:val="36"/>
          <w:szCs w:val="36"/>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楷体" w:hAnsi="楷体" w:eastAsia="楷体" w:cs="楷体"/>
          <w:b w:val="0"/>
          <w:bCs w:val="0"/>
          <w:color w:val="auto"/>
          <w:sz w:val="36"/>
          <w:szCs w:val="36"/>
          <w:u w:val="none"/>
          <w:lang w:val="en-US" w:eastAsia="zh-CN"/>
        </w:rPr>
        <w:t>（三）核销时间</w:t>
      </w:r>
      <w:r>
        <w:rPr>
          <w:rFonts w:hint="eastAsia" w:ascii="仿宋_GB2312" w:hAnsi="仿宋_GB2312" w:eastAsia="仿宋_GB2312" w:cs="仿宋_GB2312"/>
          <w:b w:val="0"/>
          <w:bCs w:val="0"/>
          <w:color w:val="auto"/>
          <w:sz w:val="36"/>
          <w:szCs w:val="36"/>
          <w:u w:val="none"/>
          <w:lang w:val="en-US" w:eastAsia="zh-CN"/>
        </w:rPr>
        <w:t>。消费券核销最晚截止时间为2025年12月30日23:59:59，逾期自动失效。</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黑体" w:hAnsi="黑体" w:eastAsia="黑体" w:cs="黑体"/>
          <w:b w:val="0"/>
          <w:bCs w:val="0"/>
          <w:color w:val="auto"/>
          <w:sz w:val="36"/>
          <w:szCs w:val="36"/>
          <w:highlight w:val="none"/>
          <w:u w:val="none"/>
          <w:lang w:val="en-US" w:eastAsia="zh-CN"/>
        </w:rPr>
      </w:pPr>
      <w:r>
        <w:rPr>
          <w:rFonts w:hint="eastAsia" w:ascii="黑体" w:hAnsi="黑体" w:eastAsia="黑体" w:cs="黑体"/>
          <w:b w:val="0"/>
          <w:bCs w:val="0"/>
          <w:color w:val="auto"/>
          <w:sz w:val="36"/>
          <w:szCs w:val="36"/>
          <w:highlight w:val="none"/>
          <w:u w:val="none"/>
          <w:lang w:val="en-US" w:eastAsia="zh-CN"/>
        </w:rPr>
        <w:t>四、活动平台</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highlight w:val="none"/>
          <w:u w:val="none"/>
          <w:lang w:val="en-US" w:eastAsia="zh-CN"/>
        </w:rPr>
      </w:pPr>
      <w:r>
        <w:rPr>
          <w:rFonts w:hint="eastAsia" w:ascii="仿宋_GB2312" w:hAnsi="仿宋_GB2312" w:eastAsia="仿宋_GB2312" w:cs="仿宋_GB2312"/>
          <w:b w:val="0"/>
          <w:bCs w:val="0"/>
          <w:color w:val="auto"/>
          <w:sz w:val="36"/>
          <w:szCs w:val="36"/>
          <w:highlight w:val="none"/>
          <w:u w:val="none"/>
          <w:lang w:val="en-US" w:eastAsia="zh-CN"/>
        </w:rPr>
        <w:t>贵州银联作为本次活动的实施平台，负责提供安全、便捷的消费券发放与核销服务。</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highlight w:val="none"/>
          <w:u w:val="none"/>
          <w:lang w:val="en-US" w:eastAsia="zh-CN"/>
        </w:rPr>
      </w:pPr>
      <w:r>
        <w:rPr>
          <w:rFonts w:hint="eastAsia" w:ascii="仿宋_GB2312" w:hAnsi="仿宋_GB2312" w:eastAsia="仿宋_GB2312" w:cs="仿宋_GB2312"/>
          <w:b w:val="0"/>
          <w:bCs w:val="0"/>
          <w:color w:val="auto"/>
          <w:sz w:val="36"/>
          <w:szCs w:val="36"/>
          <w:highlight w:val="none"/>
          <w:u w:val="none"/>
          <w:lang w:val="en-US" w:eastAsia="zh-CN"/>
        </w:rPr>
        <w:t>用户资料上传入口为云闪付“贵阳‘酒车联动”促销专项消费券”小程序。</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黑体" w:hAnsi="黑体" w:eastAsia="黑体" w:cs="黑体"/>
          <w:b w:val="0"/>
          <w:bCs w:val="0"/>
          <w:color w:val="auto"/>
          <w:sz w:val="36"/>
          <w:szCs w:val="36"/>
          <w:u w:val="none"/>
          <w:lang w:val="en-US" w:eastAsia="zh-CN"/>
        </w:rPr>
      </w:pPr>
      <w:r>
        <w:rPr>
          <w:rFonts w:hint="eastAsia" w:ascii="黑体" w:hAnsi="黑体" w:eastAsia="黑体" w:cs="黑体"/>
          <w:b w:val="0"/>
          <w:bCs w:val="0"/>
          <w:color w:val="auto"/>
          <w:sz w:val="36"/>
          <w:szCs w:val="36"/>
          <w:u w:val="none"/>
          <w:lang w:val="en-US" w:eastAsia="zh-CN"/>
        </w:rPr>
        <w:t>五、消费券发放</w:t>
      </w:r>
    </w:p>
    <w:p>
      <w:pPr>
        <w:keepNext w:val="0"/>
        <w:keepLines w:val="0"/>
        <w:pageBreakBefore w:val="0"/>
        <w:widowControl w:val="0"/>
        <w:kinsoku/>
        <w:wordWrap/>
        <w:overflowPunct/>
        <w:topLinePunct w:val="0"/>
        <w:autoSpaceDE/>
        <w:autoSpaceDN/>
        <w:bidi w:val="0"/>
        <w:adjustRightInd/>
        <w:snapToGrid/>
        <w:spacing w:line="560" w:lineRule="exact"/>
        <w:ind w:firstLine="360" w:firstLineChars="100"/>
        <w:textAlignment w:val="auto"/>
        <w:rPr>
          <w:rFonts w:hint="eastAsia" w:ascii="楷体_GB2312" w:hAnsi="楷体_GB2312" w:eastAsia="楷体_GB2312" w:cs="楷体_GB2312"/>
          <w:b w:val="0"/>
          <w:bCs w:val="0"/>
          <w:color w:val="auto"/>
          <w:sz w:val="36"/>
          <w:szCs w:val="36"/>
          <w:u w:val="none"/>
          <w:lang w:val="en-US" w:eastAsia="zh-CN"/>
        </w:rPr>
      </w:pPr>
      <w:r>
        <w:rPr>
          <w:rFonts w:hint="eastAsia" w:ascii="方正楷体_GBK" w:hAnsi="方正楷体_GBK" w:eastAsia="方正楷体_GBK" w:cs="方正楷体_GBK"/>
          <w:b w:val="0"/>
          <w:bCs w:val="0"/>
          <w:color w:val="auto"/>
          <w:sz w:val="36"/>
          <w:szCs w:val="36"/>
          <w:u w:val="none"/>
          <w:lang w:val="en-US" w:eastAsia="zh-CN"/>
        </w:rPr>
        <w:t xml:space="preserve"> </w:t>
      </w:r>
      <w:r>
        <w:rPr>
          <w:rFonts w:hint="eastAsia" w:ascii="楷体_GB2312" w:hAnsi="楷体_GB2312" w:eastAsia="楷体_GB2312" w:cs="楷体_GB2312"/>
          <w:b w:val="0"/>
          <w:bCs w:val="0"/>
          <w:color w:val="auto"/>
          <w:sz w:val="36"/>
          <w:szCs w:val="36"/>
          <w:u w:val="none"/>
          <w:lang w:val="en-US" w:eastAsia="zh-CN"/>
        </w:rPr>
        <w:t>（一）活动档次</w:t>
      </w:r>
    </w:p>
    <w:tbl>
      <w:tblPr>
        <w:tblStyle w:val="6"/>
        <w:tblW w:w="87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71"/>
        <w:gridCol w:w="2080"/>
        <w:gridCol w:w="2390"/>
        <w:gridCol w:w="27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5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档  次</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购车金额</w:t>
            </w:r>
          </w:p>
        </w:tc>
        <w:tc>
          <w:tcPr>
            <w:tcW w:w="2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拟发放补贴</w:t>
            </w:r>
          </w:p>
        </w:tc>
        <w:tc>
          <w:tcPr>
            <w:tcW w:w="2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发放渠道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5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 xml:space="preserve"> 第一档次</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10万元及以上</w:t>
            </w:r>
          </w:p>
        </w:tc>
        <w:tc>
          <w:tcPr>
            <w:tcW w:w="2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1000元</w:t>
            </w:r>
          </w:p>
        </w:tc>
        <w:tc>
          <w:tcPr>
            <w:tcW w:w="2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云闪付专用红包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5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 xml:space="preserve"> 第二档次</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20万元及以上</w:t>
            </w:r>
          </w:p>
        </w:tc>
        <w:tc>
          <w:tcPr>
            <w:tcW w:w="2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2000元</w:t>
            </w:r>
          </w:p>
        </w:tc>
        <w:tc>
          <w:tcPr>
            <w:tcW w:w="2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云闪付专用红包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5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 xml:space="preserve"> 第三档次</w:t>
            </w:r>
          </w:p>
        </w:tc>
        <w:tc>
          <w:tcPr>
            <w:tcW w:w="2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30万元及以上</w:t>
            </w:r>
          </w:p>
        </w:tc>
        <w:tc>
          <w:tcPr>
            <w:tcW w:w="2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3000元</w:t>
            </w:r>
          </w:p>
        </w:tc>
        <w:tc>
          <w:tcPr>
            <w:tcW w:w="2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仿宋_GB2312" w:hAnsi="仿宋_GB2312" w:eastAsia="仿宋_GB2312" w:cs="仿宋_GB2312"/>
                <w:b w:val="0"/>
                <w:bCs w:val="0"/>
                <w:i w:val="0"/>
                <w:iCs w:val="0"/>
                <w:color w:val="auto"/>
                <w:sz w:val="30"/>
                <w:szCs w:val="30"/>
                <w:highlight w:val="none"/>
                <w:u w:val="none"/>
              </w:rPr>
            </w:pPr>
            <w:r>
              <w:rPr>
                <w:rFonts w:hint="eastAsia" w:ascii="仿宋_GB2312" w:hAnsi="仿宋_GB2312" w:eastAsia="仿宋_GB2312" w:cs="仿宋_GB2312"/>
                <w:b w:val="0"/>
                <w:bCs w:val="0"/>
                <w:i w:val="0"/>
                <w:iCs w:val="0"/>
                <w:color w:val="auto"/>
                <w:kern w:val="0"/>
                <w:sz w:val="30"/>
                <w:szCs w:val="30"/>
                <w:highlight w:val="none"/>
                <w:u w:val="none"/>
                <w:lang w:val="en-US" w:eastAsia="zh-CN" w:bidi="ar"/>
              </w:rPr>
              <w:t>云闪付专用红包</w:t>
            </w:r>
          </w:p>
        </w:tc>
      </w:tr>
    </w:tbl>
    <w:p>
      <w:pPr>
        <w:keepNext w:val="0"/>
        <w:keepLines w:val="0"/>
        <w:pageBreakBefore w:val="0"/>
        <w:widowControl w:val="0"/>
        <w:kinsoku/>
        <w:wordWrap/>
        <w:overflowPunct/>
        <w:topLinePunct w:val="0"/>
        <w:autoSpaceDE/>
        <w:autoSpaceDN/>
        <w:bidi w:val="0"/>
        <w:adjustRightInd/>
        <w:snapToGrid/>
        <w:spacing w:line="560" w:lineRule="exact"/>
        <w:ind w:firstLine="360" w:firstLineChars="100"/>
        <w:textAlignment w:val="auto"/>
        <w:rPr>
          <w:rFonts w:hint="eastAsia" w:ascii="仿宋" w:hAnsi="仿宋" w:eastAsia="仿宋" w:cs="仿宋"/>
          <w:b w:val="0"/>
          <w:bCs w:val="0"/>
          <w:color w:val="auto"/>
          <w:sz w:val="36"/>
          <w:szCs w:val="36"/>
          <w:highlight w:val="yellow"/>
          <w:u w:val="none"/>
          <w:lang w:val="en-US" w:eastAsia="zh-CN"/>
        </w:rPr>
      </w:pPr>
      <w:r>
        <w:rPr>
          <w:rFonts w:hint="eastAsia" w:ascii="方正楷体_GBK" w:hAnsi="方正楷体_GBK" w:eastAsia="方正楷体_GBK" w:cs="方正楷体_GBK"/>
          <w:b w:val="0"/>
          <w:bCs w:val="0"/>
          <w:color w:val="auto"/>
          <w:sz w:val="36"/>
          <w:szCs w:val="36"/>
          <w:highlight w:val="none"/>
          <w:u w:val="none"/>
          <w:lang w:val="en-US" w:eastAsia="zh-CN"/>
        </w:rPr>
        <w:t xml:space="preserve">  </w:t>
      </w:r>
      <w:r>
        <w:rPr>
          <w:rFonts w:hint="eastAsia" w:ascii="楷体_GB2312" w:hAnsi="楷体_GB2312" w:eastAsia="楷体_GB2312" w:cs="楷体_GB2312"/>
          <w:b w:val="0"/>
          <w:bCs w:val="0"/>
          <w:color w:val="auto"/>
          <w:sz w:val="36"/>
          <w:szCs w:val="36"/>
          <w:highlight w:val="none"/>
          <w:u w:val="none"/>
          <w:lang w:val="en-US" w:eastAsia="zh-CN"/>
        </w:rPr>
        <w:t>（二）活动内容。</w:t>
      </w:r>
      <w:r>
        <w:rPr>
          <w:rFonts w:hint="eastAsia" w:ascii="仿宋_GB2312" w:hAnsi="仿宋_GB2312" w:eastAsia="仿宋_GB2312" w:cs="仿宋_GB2312"/>
          <w:b w:val="0"/>
          <w:bCs w:val="0"/>
          <w:color w:val="auto"/>
          <w:sz w:val="36"/>
          <w:szCs w:val="36"/>
          <w:highlight w:val="none"/>
          <w:u w:val="none"/>
          <w:lang w:val="en-US" w:eastAsia="zh-CN"/>
        </w:rPr>
        <w:t>本次消费券采取云闪付</w:t>
      </w:r>
      <w:r>
        <w:rPr>
          <w:rFonts w:hint="eastAsia" w:ascii="仿宋_GB2312" w:hAnsi="仿宋_GB2312" w:eastAsia="仿宋_GB2312" w:cs="仿宋_GB2312"/>
          <w:b w:val="0"/>
          <w:bCs w:val="0"/>
          <w:color w:val="auto"/>
          <w:sz w:val="36"/>
          <w:szCs w:val="36"/>
          <w:u w:val="none"/>
          <w:lang w:val="en-US" w:eastAsia="zh-CN"/>
        </w:rPr>
        <w:t>红包形式发放，最晚发放日期为2025年XX月XX日前（含），消费券红包使用期最晚为2025年12月30日23:59:59。消费券红包在参加活动的成品油销售企业开设的加油站加油消费时核销使用，不设门槛，不找零，不得提现，</w:t>
      </w:r>
      <w:r>
        <w:rPr>
          <w:rFonts w:hint="eastAsia" w:ascii="仿宋_GB2312" w:hAnsi="仿宋_GB2312" w:eastAsia="仿宋_GB2312" w:cs="仿宋_GB2312"/>
          <w:b w:val="0"/>
          <w:bCs w:val="0"/>
          <w:color w:val="auto"/>
          <w:sz w:val="36"/>
          <w:szCs w:val="36"/>
          <w:u w:val="none"/>
          <w:lang w:val="en-US" w:eastAsia="zh-CN"/>
        </w:rPr>
        <w:t>不得用于办卡、充值</w:t>
      </w:r>
      <w:r>
        <w:rPr>
          <w:rFonts w:hint="eastAsia" w:ascii="仿宋_GB2312" w:hAnsi="仿宋_GB2312" w:eastAsia="仿宋_GB2312" w:cs="仿宋_GB2312"/>
          <w:b w:val="0"/>
          <w:bCs w:val="0"/>
          <w:strike w:val="0"/>
          <w:dstrike w:val="0"/>
          <w:color w:val="auto"/>
          <w:sz w:val="36"/>
          <w:szCs w:val="36"/>
          <w:u w:val="none"/>
          <w:lang w:val="en-US" w:eastAsia="zh-CN"/>
        </w:rPr>
        <w:t>，可与国家、省、市及企业其他优惠叠加</w:t>
      </w:r>
      <w:r>
        <w:rPr>
          <w:rFonts w:hint="eastAsia" w:ascii="仿宋_GB2312" w:hAnsi="仿宋_GB2312" w:eastAsia="仿宋_GB2312" w:cs="仿宋_GB2312"/>
          <w:b w:val="0"/>
          <w:bCs w:val="0"/>
          <w:color w:val="auto"/>
          <w:sz w:val="36"/>
          <w:szCs w:val="36"/>
          <w:u w:val="none"/>
          <w:lang w:val="en-US" w:eastAsia="zh-CN"/>
        </w:rPr>
        <w:t>。</w:t>
      </w:r>
      <w:r>
        <w:rPr>
          <w:rFonts w:hint="eastAsia" w:ascii="仿宋_GB2312" w:hAnsi="仿宋_GB2312" w:eastAsia="仿宋_GB2312" w:cs="仿宋_GB2312"/>
          <w:b w:val="0"/>
          <w:bCs w:val="0"/>
          <w:color w:val="auto"/>
          <w:sz w:val="36"/>
          <w:szCs w:val="36"/>
          <w:u w:val="none"/>
          <w:lang w:val="en-US" w:eastAsia="zh-CN"/>
        </w:rPr>
        <w:t>逾期</w:t>
      </w:r>
      <w:r>
        <w:rPr>
          <w:rFonts w:hint="eastAsia" w:ascii="仿宋_GB2312" w:hAnsi="仿宋_GB2312" w:eastAsia="仿宋_GB2312" w:cs="仿宋_GB2312"/>
          <w:b w:val="0"/>
          <w:bCs w:val="0"/>
          <w:color w:val="auto"/>
          <w:sz w:val="36"/>
          <w:szCs w:val="36"/>
          <w:u w:val="none"/>
          <w:lang w:val="en-US" w:eastAsia="zh-CN"/>
        </w:rPr>
        <w:t>未核销的消费券回到促消费资金池。</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hAnsi="仿宋" w:eastAsia="仿宋" w:cs="仿宋"/>
          <w:b w:val="0"/>
          <w:bCs w:val="0"/>
          <w:color w:val="auto"/>
          <w:sz w:val="36"/>
          <w:szCs w:val="36"/>
          <w:u w:val="none"/>
          <w:lang w:val="en-US" w:eastAsia="zh-CN"/>
        </w:rPr>
      </w:pPr>
      <w:r>
        <w:rPr>
          <w:rFonts w:hint="eastAsia" w:ascii="楷体_GB2312" w:hAnsi="楷体_GB2312" w:eastAsia="楷体_GB2312" w:cs="楷体_GB2312"/>
          <w:b w:val="0"/>
          <w:bCs w:val="0"/>
          <w:color w:val="auto"/>
          <w:sz w:val="36"/>
          <w:szCs w:val="36"/>
          <w:u w:val="none"/>
          <w:lang w:val="en-US" w:eastAsia="zh-CN"/>
        </w:rPr>
        <w:t>（三）活动商户。</w:t>
      </w:r>
      <w:r>
        <w:rPr>
          <w:rFonts w:hint="eastAsia" w:ascii="仿宋_GB2312" w:hAnsi="仿宋_GB2312" w:eastAsia="仿宋_GB2312" w:cs="仿宋_GB2312"/>
          <w:b w:val="0"/>
          <w:bCs w:val="0"/>
          <w:color w:val="auto"/>
          <w:sz w:val="36"/>
          <w:szCs w:val="36"/>
          <w:u w:val="none"/>
          <w:lang w:val="en-US" w:eastAsia="zh-CN"/>
        </w:rPr>
        <w:t>参与活动的汽车企业为</w:t>
      </w:r>
      <w:r>
        <w:rPr>
          <w:rFonts w:hint="eastAsia" w:ascii="仿宋_GB2312" w:hAnsi="仿宋_GB2312" w:eastAsia="仿宋_GB2312" w:cs="仿宋_GB2312"/>
          <w:b w:val="0"/>
          <w:bCs w:val="0"/>
          <w:color w:val="auto"/>
          <w:sz w:val="36"/>
          <w:szCs w:val="36"/>
          <w:highlight w:val="none"/>
          <w:u w:val="none"/>
          <w:lang w:val="en-US" w:eastAsia="zh-CN"/>
        </w:rPr>
        <w:t>贵阳贵安参加“酒车”联动的</w:t>
      </w:r>
      <w:r>
        <w:rPr>
          <w:rFonts w:hint="eastAsia" w:ascii="仿宋_GB2312" w:hAnsi="仿宋_GB2312" w:eastAsia="仿宋_GB2312" w:cs="仿宋_GB2312"/>
          <w:b w:val="0"/>
          <w:bCs w:val="0"/>
          <w:color w:val="auto"/>
          <w:sz w:val="36"/>
          <w:szCs w:val="36"/>
          <w:highlight w:val="none"/>
          <w:u w:val="none"/>
          <w:lang w:val="en-US" w:eastAsia="zh-CN"/>
        </w:rPr>
        <w:t>汽车零售企业</w:t>
      </w:r>
      <w:r>
        <w:rPr>
          <w:rFonts w:hint="eastAsia" w:ascii="仿宋_GB2312" w:hAnsi="仿宋_GB2312" w:eastAsia="仿宋_GB2312" w:cs="仿宋_GB2312"/>
          <w:b w:val="0"/>
          <w:bCs w:val="0"/>
          <w:color w:val="auto"/>
          <w:sz w:val="36"/>
          <w:szCs w:val="36"/>
          <w:u w:val="none"/>
          <w:lang w:val="en-US" w:eastAsia="zh-CN"/>
        </w:rPr>
        <w:t>。核销商户为</w:t>
      </w:r>
      <w:r>
        <w:rPr>
          <w:rFonts w:hint="eastAsia" w:ascii="仿宋_GB2312" w:hAnsi="仿宋_GB2312" w:eastAsia="仿宋_GB2312" w:cs="仿宋_GB2312"/>
          <w:b w:val="0"/>
          <w:bCs w:val="0"/>
          <w:color w:val="auto"/>
          <w:sz w:val="36"/>
          <w:szCs w:val="36"/>
          <w:u w:val="none"/>
          <w:lang w:val="en-US" w:eastAsia="zh-CN"/>
        </w:rPr>
        <w:t>参加活动的成品油销售企业加油站</w:t>
      </w:r>
      <w:r>
        <w:rPr>
          <w:rFonts w:hint="eastAsia" w:ascii="仿宋_GB2312" w:hAnsi="仿宋_GB2312" w:eastAsia="仿宋_GB2312" w:cs="仿宋_GB2312"/>
          <w:b w:val="0"/>
          <w:bCs w:val="0"/>
          <w:color w:val="auto"/>
          <w:sz w:val="36"/>
          <w:szCs w:val="36"/>
          <w:u w:val="none"/>
          <w:lang w:val="en-US" w:eastAsia="zh-CN"/>
        </w:rPr>
        <w:t>。</w:t>
      </w:r>
      <w:r>
        <w:rPr>
          <w:rFonts w:hint="eastAsia" w:ascii="仿宋" w:hAnsi="仿宋" w:eastAsia="仿宋" w:cs="仿宋"/>
          <w:b w:val="0"/>
          <w:bCs w:val="0"/>
          <w:color w:val="auto"/>
          <w:sz w:val="36"/>
          <w:szCs w:val="36"/>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strike w:val="0"/>
          <w:dstrike w:val="0"/>
          <w:color w:val="auto"/>
          <w:sz w:val="36"/>
          <w:szCs w:val="36"/>
          <w:u w:val="none"/>
          <w:lang w:val="en-US" w:eastAsia="zh-CN"/>
        </w:rPr>
      </w:pPr>
      <w:r>
        <w:rPr>
          <w:rFonts w:hint="eastAsia" w:ascii="楷体_GB2312" w:hAnsi="楷体_GB2312" w:eastAsia="楷体_GB2312" w:cs="楷体_GB2312"/>
          <w:b w:val="0"/>
          <w:bCs w:val="0"/>
          <w:strike w:val="0"/>
          <w:dstrike w:val="0"/>
          <w:color w:val="auto"/>
          <w:sz w:val="36"/>
          <w:szCs w:val="36"/>
          <w:u w:val="none"/>
          <w:lang w:val="en-US" w:eastAsia="zh-CN"/>
        </w:rPr>
        <w:t>（四）活动预算。</w:t>
      </w:r>
      <w:r>
        <w:rPr>
          <w:rFonts w:hint="eastAsia" w:ascii="仿宋_GB2312" w:hAnsi="仿宋_GB2312" w:eastAsia="仿宋_GB2312" w:cs="仿宋_GB2312"/>
          <w:b w:val="0"/>
          <w:bCs w:val="0"/>
          <w:strike w:val="0"/>
          <w:dstrike w:val="0"/>
          <w:color w:val="auto"/>
          <w:sz w:val="36"/>
          <w:szCs w:val="36"/>
          <w:u w:val="none"/>
          <w:lang w:val="en-US" w:eastAsia="zh-CN"/>
        </w:rPr>
        <w:t>从市商务局年度部门预算</w:t>
      </w:r>
      <w:r>
        <w:rPr>
          <w:rFonts w:hint="eastAsia" w:ascii="仿宋_GB2312" w:hAnsi="仿宋_GB2312" w:eastAsia="仿宋_GB2312" w:cs="仿宋_GB2312"/>
          <w:b w:val="0"/>
          <w:bCs w:val="0"/>
          <w:strike w:val="0"/>
          <w:dstrike w:val="0"/>
          <w:color w:val="auto"/>
          <w:sz w:val="36"/>
          <w:szCs w:val="36"/>
          <w:highlight w:val="none"/>
          <w:u w:val="none"/>
          <w:lang w:val="en-US" w:eastAsia="zh-CN"/>
        </w:rPr>
        <w:t>中安排</w:t>
      </w:r>
      <w:r>
        <w:rPr>
          <w:rFonts w:hint="eastAsia" w:ascii="仿宋_GB2312" w:hAnsi="仿宋_GB2312" w:eastAsia="仿宋_GB2312" w:cs="仿宋_GB2312"/>
          <w:b w:val="0"/>
          <w:bCs w:val="0"/>
          <w:strike w:val="0"/>
          <w:dstrike w:val="0"/>
          <w:color w:val="auto"/>
          <w:sz w:val="36"/>
          <w:szCs w:val="36"/>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楷体_GB2312" w:hAnsi="楷体_GB2312" w:eastAsia="楷体_GB2312" w:cs="楷体_GB2312"/>
          <w:b w:val="0"/>
          <w:bCs w:val="0"/>
          <w:color w:val="auto"/>
          <w:sz w:val="36"/>
          <w:szCs w:val="36"/>
          <w:u w:val="none"/>
          <w:lang w:val="en-US" w:eastAsia="zh-CN"/>
        </w:rPr>
        <w:t>（五）申请方式。</w:t>
      </w:r>
      <w:r>
        <w:rPr>
          <w:rFonts w:hint="eastAsia" w:ascii="仿宋_GB2312" w:hAnsi="仿宋_GB2312" w:eastAsia="仿宋_GB2312" w:cs="仿宋_GB2312"/>
          <w:b w:val="0"/>
          <w:bCs w:val="0"/>
          <w:color w:val="auto"/>
          <w:sz w:val="36"/>
          <w:szCs w:val="36"/>
          <w:u w:val="none"/>
          <w:lang w:val="en-US" w:eastAsia="zh-CN"/>
        </w:rPr>
        <w:t>参与活动的消费者通过指定小程序上传相关资料：</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720" w:firstLineChars="200"/>
        <w:jc w:val="both"/>
        <w:textAlignment w:val="auto"/>
        <w:rPr>
          <w:rFonts w:hint="eastAsia" w:ascii="仿宋_GB2312" w:hAnsi="仿宋_GB2312" w:eastAsia="仿宋_GB2312" w:cs="仿宋_GB2312"/>
          <w:b w:val="0"/>
          <w:bCs w:val="0"/>
          <w:color w:val="auto"/>
          <w:sz w:val="36"/>
          <w:szCs w:val="36"/>
          <w:u w:val="none"/>
          <w:lang w:val="en-US" w:eastAsia="zh-CN"/>
        </w:rPr>
      </w:pPr>
      <w:r>
        <w:rPr>
          <w:rFonts w:hint="eastAsia" w:ascii="仿宋_GB2312" w:hAnsi="仿宋_GB2312" w:eastAsia="仿宋_GB2312" w:cs="仿宋_GB2312"/>
          <w:b w:val="0"/>
          <w:bCs w:val="0"/>
          <w:color w:val="auto"/>
          <w:sz w:val="36"/>
          <w:szCs w:val="36"/>
          <w:u w:val="none"/>
          <w:lang w:val="en-US" w:eastAsia="zh-CN"/>
        </w:rPr>
        <w:t>1.购车人身份证</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720" w:firstLineChars="200"/>
        <w:jc w:val="both"/>
        <w:textAlignment w:val="auto"/>
        <w:rPr>
          <w:rFonts w:hint="default" w:ascii="仿宋_GB2312" w:hAnsi="仿宋_GB2312" w:eastAsia="仿宋_GB2312" w:cs="仿宋_GB2312"/>
          <w:b w:val="0"/>
          <w:bCs w:val="0"/>
          <w:color w:val="auto"/>
          <w:sz w:val="36"/>
          <w:szCs w:val="36"/>
          <w:u w:val="none"/>
          <w:lang w:val="en-US" w:eastAsia="zh-CN"/>
        </w:rPr>
      </w:pPr>
      <w:r>
        <w:rPr>
          <w:rFonts w:hint="eastAsia" w:ascii="仿宋_GB2312" w:hAnsi="仿宋_GB2312" w:eastAsia="仿宋_GB2312" w:cs="仿宋_GB2312"/>
          <w:b w:val="0"/>
          <w:bCs w:val="0"/>
          <w:color w:val="auto"/>
          <w:sz w:val="36"/>
          <w:szCs w:val="36"/>
          <w:u w:val="none"/>
          <w:lang w:val="en-US" w:eastAsia="zh-CN"/>
        </w:rPr>
        <w:t>2.购车发票（日期需为2025年XX月XX日至2025年XX月XX日期间）</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720" w:firstLineChars="200"/>
        <w:jc w:val="both"/>
        <w:textAlignment w:val="auto"/>
        <w:rPr>
          <w:rFonts w:hint="default" w:ascii="仿宋_GB2312" w:hAnsi="仿宋_GB2312" w:eastAsia="仿宋_GB2312" w:cs="仿宋_GB2312"/>
          <w:b w:val="0"/>
          <w:bCs w:val="0"/>
          <w:color w:val="auto"/>
          <w:sz w:val="36"/>
          <w:szCs w:val="36"/>
          <w:u w:val="none"/>
          <w:lang w:val="en-US" w:eastAsia="zh-CN"/>
        </w:rPr>
      </w:pPr>
      <w:r>
        <w:rPr>
          <w:rFonts w:hint="eastAsia" w:ascii="仿宋_GB2312" w:hAnsi="仿宋_GB2312" w:eastAsia="仿宋_GB2312" w:cs="仿宋_GB2312"/>
          <w:b w:val="0"/>
          <w:bCs w:val="0"/>
          <w:color w:val="auto"/>
          <w:sz w:val="36"/>
          <w:szCs w:val="36"/>
          <w:u w:val="none"/>
          <w:lang w:val="en-US" w:eastAsia="zh-CN"/>
        </w:rPr>
        <w:t>3.购车车辆登记证（日期需为2025年XX月XX日至2025年XX月XX日期间）</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720" w:firstLineChars="200"/>
        <w:jc w:val="both"/>
        <w:textAlignment w:val="auto"/>
        <w:rPr>
          <w:rFonts w:hint="default" w:ascii="仿宋_GB2312" w:hAnsi="仿宋_GB2312" w:eastAsia="仿宋_GB2312" w:cs="仿宋_GB2312"/>
          <w:b w:val="0"/>
          <w:bCs w:val="0"/>
          <w:color w:val="auto"/>
          <w:sz w:val="36"/>
          <w:szCs w:val="36"/>
          <w:u w:val="none"/>
          <w:lang w:val="en-US" w:eastAsia="zh-CN"/>
        </w:rPr>
      </w:pPr>
      <w:r>
        <w:rPr>
          <w:rFonts w:hint="eastAsia" w:ascii="仿宋_GB2312" w:hAnsi="仿宋_GB2312" w:eastAsia="仿宋_GB2312" w:cs="仿宋_GB2312"/>
          <w:b w:val="0"/>
          <w:bCs w:val="0"/>
          <w:color w:val="auto"/>
          <w:sz w:val="36"/>
          <w:szCs w:val="36"/>
          <w:u w:val="none"/>
          <w:lang w:val="en-US" w:eastAsia="zh-CN"/>
        </w:rPr>
        <w:t>4.车辆行驶证</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720" w:firstLineChars="200"/>
        <w:textAlignment w:val="auto"/>
        <w:rPr>
          <w:rFonts w:hint="default" w:ascii="CESI仿宋-GB2312" w:hAnsi="CESI仿宋-GB2312" w:eastAsia="CESI仿宋-GB2312" w:cs="CESI仿宋-GB2312"/>
          <w:b w:val="0"/>
          <w:bCs w:val="0"/>
          <w:color w:val="auto"/>
          <w:sz w:val="36"/>
          <w:szCs w:val="36"/>
          <w:u w:val="none"/>
          <w:lang w:val="en-US" w:eastAsia="zh-CN"/>
        </w:rPr>
      </w:pPr>
      <w:r>
        <w:rPr>
          <w:rFonts w:hint="eastAsia" w:ascii="仿宋_GB2312" w:hAnsi="仿宋_GB2312" w:eastAsia="仿宋_GB2312" w:cs="仿宋_GB2312"/>
          <w:b w:val="0"/>
          <w:bCs w:val="0"/>
          <w:color w:val="auto"/>
          <w:sz w:val="36"/>
          <w:szCs w:val="36"/>
          <w:u w:val="none"/>
          <w:lang w:val="en-US" w:eastAsia="zh-CN"/>
        </w:rPr>
        <w:t xml:space="preserve">5.交易小票（日期需为2025年XX月XX日至2025年XX月XX日期间） </w:t>
      </w:r>
      <w:r>
        <w:rPr>
          <w:rFonts w:hint="eastAsia" w:ascii="仿宋" w:hAnsi="仿宋" w:eastAsia="仿宋" w:cs="仿宋"/>
          <w:b w:val="0"/>
          <w:bCs w:val="0"/>
          <w:color w:val="auto"/>
          <w:sz w:val="36"/>
          <w:szCs w:val="36"/>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楷体_GB2312" w:hAnsi="楷体_GB2312" w:eastAsia="楷体_GB2312" w:cs="楷体_GB2312"/>
          <w:b w:val="0"/>
          <w:bCs w:val="0"/>
          <w:color w:val="auto"/>
          <w:sz w:val="36"/>
          <w:szCs w:val="36"/>
          <w:u w:val="none"/>
          <w:lang w:val="en-US" w:eastAsia="zh-CN"/>
        </w:rPr>
      </w:pPr>
      <w:r>
        <w:rPr>
          <w:rFonts w:hint="eastAsia" w:ascii="楷体_GB2312" w:hAnsi="楷体_GB2312" w:eastAsia="楷体_GB2312" w:cs="楷体_GB2312"/>
          <w:b w:val="0"/>
          <w:bCs w:val="0"/>
          <w:color w:val="auto"/>
          <w:sz w:val="36"/>
          <w:szCs w:val="36"/>
          <w:u w:val="none"/>
          <w:lang w:val="en-US" w:eastAsia="zh-CN"/>
        </w:rPr>
        <w:t>（六）平台检查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仿宋_GB2312" w:hAnsi="仿宋_GB2312" w:eastAsia="仿宋_GB2312" w:cs="仿宋_GB2312"/>
          <w:b w:val="0"/>
          <w:bCs w:val="0"/>
          <w:color w:val="auto"/>
          <w:sz w:val="36"/>
          <w:szCs w:val="36"/>
          <w:u w:val="none"/>
          <w:lang w:val="en-US" w:eastAsia="zh-CN"/>
        </w:rPr>
        <w:t>1.</w:t>
      </w:r>
      <w:r>
        <w:rPr>
          <w:rFonts w:hint="eastAsia" w:ascii="仿宋_GB2312" w:hAnsi="仿宋_GB2312" w:eastAsia="仿宋_GB2312" w:cs="仿宋_GB2312"/>
          <w:b w:val="0"/>
          <w:bCs w:val="0"/>
          <w:color w:val="auto"/>
          <w:sz w:val="36"/>
          <w:szCs w:val="36"/>
          <w:u w:val="none"/>
          <w:lang w:val="en-US" w:eastAsia="zh-CN"/>
        </w:rPr>
        <w:t>消费券申请人、购车人、发票信息、登记车主必须为同一人</w:t>
      </w:r>
      <w:r>
        <w:rPr>
          <w:rFonts w:hint="eastAsia" w:ascii="仿宋_GB2312" w:hAnsi="仿宋_GB2312" w:eastAsia="仿宋_GB2312" w:cs="仿宋_GB2312"/>
          <w:b w:val="0"/>
          <w:bCs w:val="0"/>
          <w:color w:val="auto"/>
          <w:sz w:val="36"/>
          <w:szCs w:val="36"/>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仿宋_GB2312" w:hAnsi="仿宋_GB2312" w:eastAsia="仿宋_GB2312" w:cs="仿宋_GB2312"/>
          <w:b w:val="0"/>
          <w:bCs w:val="0"/>
          <w:color w:val="auto"/>
          <w:sz w:val="36"/>
          <w:szCs w:val="36"/>
          <w:u w:val="none"/>
          <w:lang w:val="en-US" w:eastAsia="zh-CN"/>
        </w:rPr>
        <w:t>2.发票开票日期、车辆登记本日期需为2025年XX月XX日至2025年XX月XX日期间。</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仿宋_GB2312" w:hAnsi="仿宋_GB2312" w:eastAsia="仿宋_GB2312" w:cs="仿宋_GB2312"/>
          <w:b w:val="0"/>
          <w:bCs w:val="0"/>
          <w:color w:val="auto"/>
          <w:sz w:val="36"/>
          <w:szCs w:val="36"/>
          <w:u w:val="none"/>
          <w:lang w:val="en-US" w:eastAsia="zh-CN"/>
        </w:rPr>
        <w:t>3.检查上传信息是否清晰，资料上传时间为2025年XX月XX日0点至2025年XX月XX日23点59分截止。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仿宋_GB2312" w:hAnsi="仿宋_GB2312" w:eastAsia="仿宋_GB2312" w:cs="仿宋_GB2312"/>
          <w:b w:val="0"/>
          <w:bCs w:val="0"/>
          <w:color w:val="auto"/>
          <w:sz w:val="36"/>
          <w:szCs w:val="36"/>
          <w:u w:val="none"/>
          <w:lang w:val="en-US" w:eastAsia="zh-CN"/>
        </w:rPr>
        <w:t>4.资料审核。系统通过OCR及验证等操作，自动审核用户上传的相关资料：</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720" w:firstLineChars="200"/>
        <w:jc w:val="both"/>
        <w:textAlignment w:val="auto"/>
        <w:rPr>
          <w:rFonts w:hint="eastAsia" w:ascii="仿宋_GB2312" w:hAnsi="仿宋_GB2312" w:eastAsia="仿宋_GB2312" w:cs="仿宋_GB2312"/>
          <w:b w:val="0"/>
          <w:bCs w:val="0"/>
          <w:color w:val="auto"/>
          <w:sz w:val="36"/>
          <w:szCs w:val="36"/>
          <w:u w:val="none"/>
          <w:lang w:val="en-US" w:eastAsia="zh-CN"/>
        </w:rPr>
      </w:pPr>
      <w:r>
        <w:rPr>
          <w:rFonts w:hint="eastAsia" w:ascii="仿宋_GB2312" w:hAnsi="仿宋_GB2312" w:eastAsia="仿宋_GB2312" w:cs="仿宋_GB2312"/>
          <w:b w:val="0"/>
          <w:bCs w:val="0"/>
          <w:color w:val="auto"/>
          <w:sz w:val="36"/>
          <w:szCs w:val="36"/>
          <w:u w:val="none"/>
          <w:lang w:val="en-US" w:eastAsia="zh-CN"/>
        </w:rPr>
        <w:t>（1）若资料真实且为同一用户，则审核通过；</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720" w:firstLineChars="200"/>
        <w:jc w:val="both"/>
        <w:textAlignment w:val="auto"/>
        <w:rPr>
          <w:rFonts w:hint="default" w:ascii="仿宋_GB2312" w:hAnsi="仿宋_GB2312" w:eastAsia="仿宋_GB2312" w:cs="仿宋_GB2312"/>
          <w:b w:val="0"/>
          <w:bCs w:val="0"/>
          <w:color w:val="auto"/>
          <w:sz w:val="36"/>
          <w:szCs w:val="36"/>
          <w:u w:val="none"/>
          <w:lang w:val="en-US" w:eastAsia="zh-CN"/>
        </w:rPr>
      </w:pPr>
      <w:r>
        <w:rPr>
          <w:rFonts w:hint="eastAsia" w:ascii="仿宋_GB2312" w:hAnsi="仿宋_GB2312" w:eastAsia="仿宋_GB2312" w:cs="仿宋_GB2312"/>
          <w:b w:val="0"/>
          <w:bCs w:val="0"/>
          <w:color w:val="auto"/>
          <w:sz w:val="36"/>
          <w:szCs w:val="36"/>
          <w:u w:val="none"/>
          <w:lang w:val="en-US" w:eastAsia="zh-CN"/>
        </w:rPr>
        <w:t>（2）若上传资料不一致或不清晰等原因，系统审核不通过，该笔订单退回消费者，原则上允许一次修改，24小时内修改重新上传；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仿宋_GB2312" w:hAnsi="仿宋_GB2312" w:eastAsia="仿宋_GB2312" w:cs="仿宋_GB2312"/>
          <w:b w:val="0"/>
          <w:bCs w:val="0"/>
          <w:color w:val="auto"/>
          <w:sz w:val="36"/>
          <w:szCs w:val="36"/>
          <w:u w:val="none"/>
          <w:lang w:val="en-US" w:eastAsia="zh-CN"/>
        </w:rPr>
        <w:t>（3）若上传资料有虚假、套图等恶意行为，系统审核直接拒绝，拒绝的订单资金将回到促销费资金池。</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仿宋_GB2312" w:hAnsi="仿宋_GB2312" w:eastAsia="仿宋_GB2312" w:cs="仿宋_GB2312"/>
          <w:b w:val="0"/>
          <w:bCs w:val="0"/>
          <w:color w:val="auto"/>
          <w:sz w:val="36"/>
          <w:szCs w:val="36"/>
          <w:u w:val="none"/>
          <w:lang w:val="en-US" w:eastAsia="zh-CN"/>
        </w:rPr>
      </w:pPr>
      <w:r>
        <w:rPr>
          <w:rFonts w:hint="eastAsia" w:ascii="楷体_GB2312" w:hAnsi="楷体_GB2312" w:eastAsia="楷体_GB2312" w:cs="楷体_GB2312"/>
          <w:b w:val="0"/>
          <w:bCs w:val="0"/>
          <w:color w:val="auto"/>
          <w:sz w:val="36"/>
          <w:szCs w:val="36"/>
          <w:u w:val="none"/>
          <w:lang w:val="en-US" w:eastAsia="zh-CN"/>
        </w:rPr>
        <w:t>（七）银联审核发放。</w:t>
      </w:r>
      <w:r>
        <w:rPr>
          <w:rFonts w:hint="eastAsia" w:ascii="仿宋_GB2312" w:hAnsi="仿宋_GB2312" w:eastAsia="仿宋_GB2312" w:cs="仿宋_GB2312"/>
          <w:b w:val="0"/>
          <w:bCs w:val="0"/>
          <w:color w:val="auto"/>
          <w:sz w:val="36"/>
          <w:szCs w:val="36"/>
          <w:u w:val="none"/>
          <w:lang w:val="en-US" w:eastAsia="zh-CN"/>
        </w:rPr>
        <w:t>银联审核无误后，当日完成发放。</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720" w:firstLineChars="200"/>
        <w:textAlignment w:val="auto"/>
        <w:rPr>
          <w:rFonts w:hint="eastAsia" w:ascii="楷体_GB2312" w:hAnsi="楷体_GB2312" w:eastAsia="楷体_GB2312" w:cs="楷体_GB2312"/>
          <w:b w:val="0"/>
          <w:bCs w:val="0"/>
          <w:color w:val="auto"/>
          <w:sz w:val="36"/>
          <w:szCs w:val="36"/>
          <w:highlight w:val="none"/>
          <w:u w:val="none"/>
          <w:lang w:val="en-US" w:eastAsia="zh-CN"/>
        </w:rPr>
      </w:pPr>
      <w:r>
        <w:rPr>
          <w:rFonts w:hint="eastAsia" w:ascii="楷体_GB2312" w:hAnsi="楷体_GB2312" w:eastAsia="楷体_GB2312" w:cs="楷体_GB2312"/>
          <w:b w:val="0"/>
          <w:bCs w:val="0"/>
          <w:color w:val="auto"/>
          <w:sz w:val="36"/>
          <w:szCs w:val="36"/>
          <w:highlight w:val="none"/>
          <w:u w:val="none"/>
          <w:lang w:val="en-US" w:eastAsia="zh-CN"/>
        </w:rPr>
        <w:t>（八）审核流程图</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CESI仿宋-GB2312" w:hAnsi="CESI仿宋-GB2312" w:eastAsia="CESI仿宋-GB2312" w:cs="CESI仿宋-GB2312"/>
          <w:b w:val="0"/>
          <w:bCs w:val="0"/>
          <w:color w:val="auto"/>
          <w:sz w:val="36"/>
          <w:szCs w:val="36"/>
          <w:u w:val="none"/>
          <w:lang w:val="en-US" w:eastAsia="zh-CN"/>
        </w:rPr>
      </w:pPr>
      <w:r>
        <w:rPr>
          <w:rFonts w:hint="default" w:ascii="仿宋_GB2312" w:hAnsi="仿宋_GB2312" w:eastAsia="仿宋_GB2312" w:cs="仿宋_GB2312"/>
          <w:b w:val="0"/>
          <w:bCs w:val="0"/>
          <w:color w:val="auto"/>
          <w:sz w:val="32"/>
          <w:szCs w:val="32"/>
          <w:u w:val="none"/>
          <w:lang w:val="en-US" w:eastAsia="zh-CN"/>
        </w:rPr>
        <w:drawing>
          <wp:anchor distT="0" distB="0" distL="114300" distR="114300" simplePos="0" relativeHeight="251659264" behindDoc="0" locked="0" layoutInCell="1" allowOverlap="1">
            <wp:simplePos x="0" y="0"/>
            <wp:positionH relativeFrom="column">
              <wp:posOffset>-76200</wp:posOffset>
            </wp:positionH>
            <wp:positionV relativeFrom="paragraph">
              <wp:posOffset>62230</wp:posOffset>
            </wp:positionV>
            <wp:extent cx="5271770" cy="2597785"/>
            <wp:effectExtent l="9525" t="9525" r="14605" b="21590"/>
            <wp:wrapSquare wrapText="bothSides"/>
            <wp:docPr id="2" name="图片 2" descr="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11"/>
                    <pic:cNvPicPr>
                      <a:picLocks noChangeAspect="1"/>
                    </pic:cNvPicPr>
                  </pic:nvPicPr>
                  <pic:blipFill>
                    <a:blip r:embed="rId5"/>
                    <a:stretch>
                      <a:fillRect/>
                    </a:stretch>
                  </pic:blipFill>
                  <pic:spPr>
                    <a:xfrm>
                      <a:off x="0" y="0"/>
                      <a:ext cx="5271770" cy="2597785"/>
                    </a:xfrm>
                    <a:prstGeom prst="rect">
                      <a:avLst/>
                    </a:prstGeom>
                    <a:ln w="3175">
                      <a:solidFill>
                        <a:schemeClr val="tx1"/>
                      </a:solidFill>
                    </a:ln>
                  </pic:spPr>
                </pic:pic>
              </a:graphicData>
            </a:graphic>
          </wp:anchor>
        </w:drawing>
      </w:r>
      <w:r>
        <w:rPr>
          <w:rFonts w:hint="eastAsia" w:ascii="仿宋_GB2312" w:hAnsi="仿宋_GB2312" w:eastAsia="仿宋_GB2312" w:cs="仿宋_GB2312"/>
          <w:b w:val="0"/>
          <w:bCs w:val="0"/>
          <w:color w:val="auto"/>
          <w:sz w:val="32"/>
          <w:szCs w:val="32"/>
          <w:u w:val="none"/>
          <w:lang w:val="en-US" w:eastAsia="zh-CN"/>
        </w:rPr>
        <w:t xml:space="preserve">   </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A1"/>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auto"/>
    <w:pitch w:val="default"/>
    <w:sig w:usb0="00000000" w:usb1="00000000"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楷体_GB2312">
    <w:altName w:val="方正楷体_GBK"/>
    <w:panose1 w:val="02010609030101010101"/>
    <w:charset w:val="86"/>
    <w:family w:val="auto"/>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MDe54oUAgAAEwQAAA4AAAAAAAAAAQAgAAAANQEAAGRycy9lMm9Eb2MueG1sUEsFBgAAAAAGAAYA&#10;WQEAALsFA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1947CF"/>
    <w:rsid w:val="001335A2"/>
    <w:rsid w:val="00BC74C1"/>
    <w:rsid w:val="02766D9B"/>
    <w:rsid w:val="03872042"/>
    <w:rsid w:val="0AA74589"/>
    <w:rsid w:val="0DC95FEF"/>
    <w:rsid w:val="0DCD0A33"/>
    <w:rsid w:val="0E015589"/>
    <w:rsid w:val="0E262A82"/>
    <w:rsid w:val="0E43752E"/>
    <w:rsid w:val="1027409E"/>
    <w:rsid w:val="14C64A14"/>
    <w:rsid w:val="15931BB6"/>
    <w:rsid w:val="15F40D7F"/>
    <w:rsid w:val="18E41120"/>
    <w:rsid w:val="19AC44AC"/>
    <w:rsid w:val="1A843D04"/>
    <w:rsid w:val="1AEB04DD"/>
    <w:rsid w:val="20DD2ECA"/>
    <w:rsid w:val="20DD31C2"/>
    <w:rsid w:val="2389558B"/>
    <w:rsid w:val="27FCB552"/>
    <w:rsid w:val="28C43C36"/>
    <w:rsid w:val="2A164802"/>
    <w:rsid w:val="2B801A08"/>
    <w:rsid w:val="2BDF2F1D"/>
    <w:rsid w:val="2CBA0563"/>
    <w:rsid w:val="2D283624"/>
    <w:rsid w:val="2E3540CA"/>
    <w:rsid w:val="323F43FF"/>
    <w:rsid w:val="32B725EE"/>
    <w:rsid w:val="357BC5C8"/>
    <w:rsid w:val="3709512E"/>
    <w:rsid w:val="37FF0E92"/>
    <w:rsid w:val="3A3E023A"/>
    <w:rsid w:val="3C86067B"/>
    <w:rsid w:val="3D532F25"/>
    <w:rsid w:val="3DEC3F0A"/>
    <w:rsid w:val="3F3FEAB7"/>
    <w:rsid w:val="3FDF1129"/>
    <w:rsid w:val="40DF4BE4"/>
    <w:rsid w:val="41E023C2"/>
    <w:rsid w:val="458F3A90"/>
    <w:rsid w:val="45C36EC3"/>
    <w:rsid w:val="47CE1D9C"/>
    <w:rsid w:val="47F00216"/>
    <w:rsid w:val="4837134C"/>
    <w:rsid w:val="489636A2"/>
    <w:rsid w:val="4A1947CF"/>
    <w:rsid w:val="4C591F35"/>
    <w:rsid w:val="4D154C85"/>
    <w:rsid w:val="4D6E1681"/>
    <w:rsid w:val="4FAF52A8"/>
    <w:rsid w:val="4FFF7853"/>
    <w:rsid w:val="50FB4A05"/>
    <w:rsid w:val="516901AF"/>
    <w:rsid w:val="53DD5E93"/>
    <w:rsid w:val="55275382"/>
    <w:rsid w:val="553036C3"/>
    <w:rsid w:val="555962BC"/>
    <w:rsid w:val="557545FE"/>
    <w:rsid w:val="56B3174C"/>
    <w:rsid w:val="5857E0F4"/>
    <w:rsid w:val="5B745F58"/>
    <w:rsid w:val="5E1117E0"/>
    <w:rsid w:val="5E5C18F0"/>
    <w:rsid w:val="5FEFE1BD"/>
    <w:rsid w:val="61301203"/>
    <w:rsid w:val="63AC7EFE"/>
    <w:rsid w:val="63F372B8"/>
    <w:rsid w:val="65B857DC"/>
    <w:rsid w:val="67D40F55"/>
    <w:rsid w:val="694E6A63"/>
    <w:rsid w:val="69D6683B"/>
    <w:rsid w:val="6B12629B"/>
    <w:rsid w:val="6B6AC2BC"/>
    <w:rsid w:val="6EF9268E"/>
    <w:rsid w:val="6F6B487E"/>
    <w:rsid w:val="6F7751E2"/>
    <w:rsid w:val="6F7F9E61"/>
    <w:rsid w:val="6FAFB871"/>
    <w:rsid w:val="6FE3639E"/>
    <w:rsid w:val="6FFB9873"/>
    <w:rsid w:val="70DA4D84"/>
    <w:rsid w:val="71ED01FE"/>
    <w:rsid w:val="723C307A"/>
    <w:rsid w:val="736F36B5"/>
    <w:rsid w:val="73FFA980"/>
    <w:rsid w:val="754271CF"/>
    <w:rsid w:val="75F1E167"/>
    <w:rsid w:val="75FB4F22"/>
    <w:rsid w:val="77571A56"/>
    <w:rsid w:val="79FB8A51"/>
    <w:rsid w:val="7B1E2D9C"/>
    <w:rsid w:val="7BF3BAE2"/>
    <w:rsid w:val="7E3D58EA"/>
    <w:rsid w:val="7EAE105D"/>
    <w:rsid w:val="7EFFF674"/>
    <w:rsid w:val="7F7FA88D"/>
    <w:rsid w:val="7FAF2D46"/>
    <w:rsid w:val="7FED3C53"/>
    <w:rsid w:val="7FEF8FE8"/>
    <w:rsid w:val="7FFFB10C"/>
    <w:rsid w:val="9F946672"/>
    <w:rsid w:val="A7DDEA06"/>
    <w:rsid w:val="AC6DFD49"/>
    <w:rsid w:val="AF6B88DB"/>
    <w:rsid w:val="AFFECD50"/>
    <w:rsid w:val="BB21ADB1"/>
    <w:rsid w:val="BBBF6038"/>
    <w:rsid w:val="BEDF5529"/>
    <w:rsid w:val="CEEF9F2A"/>
    <w:rsid w:val="D7B4990A"/>
    <w:rsid w:val="DAF6746B"/>
    <w:rsid w:val="DC719FBA"/>
    <w:rsid w:val="DF3FC599"/>
    <w:rsid w:val="DFD7543B"/>
    <w:rsid w:val="DFDDBA01"/>
    <w:rsid w:val="E3BB425D"/>
    <w:rsid w:val="E5F2F9C7"/>
    <w:rsid w:val="E7DE3DB8"/>
    <w:rsid w:val="EBEA65BF"/>
    <w:rsid w:val="EDEF7658"/>
    <w:rsid w:val="EF7FC0EE"/>
    <w:rsid w:val="EFDBD00D"/>
    <w:rsid w:val="F36B5D64"/>
    <w:rsid w:val="F3C98DDD"/>
    <w:rsid w:val="F76F48E0"/>
    <w:rsid w:val="F77C7E78"/>
    <w:rsid w:val="F77F8E4A"/>
    <w:rsid w:val="F7FE2D55"/>
    <w:rsid w:val="F9BB3980"/>
    <w:rsid w:val="FA7BFDDF"/>
    <w:rsid w:val="FAFFD78E"/>
    <w:rsid w:val="FB633917"/>
    <w:rsid w:val="FBDB1696"/>
    <w:rsid w:val="FFB3C3BD"/>
    <w:rsid w:val="FFF14AA1"/>
    <w:rsid w:val="FFFFEC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able of authorities"/>
    <w:basedOn w:val="1"/>
    <w:next w:val="1"/>
    <w:qFormat/>
    <w:uiPriority w:val="0"/>
    <w:pPr>
      <w:widowControl w:val="0"/>
      <w:spacing w:before="100" w:beforeAutospacing="1" w:after="100" w:afterAutospacing="1"/>
      <w:ind w:left="200" w:leftChars="200" w:right="0"/>
      <w:jc w:val="both"/>
    </w:pPr>
    <w:rPr>
      <w:rFonts w:ascii="Times New Roman" w:hAnsi="Times New Roman" w:eastAsia="宋体" w:cs="Times New Roman"/>
      <w:color w:val="auto"/>
      <w:kern w:val="2"/>
      <w:sz w:val="21"/>
      <w:szCs w:val="21"/>
      <w:lang w:val="en-US" w:eastAsia="zh-CN" w:bidi="ar-SA"/>
    </w:rPr>
  </w:style>
  <w:style w:type="paragraph" w:styleId="3">
    <w:name w:val="Body Text"/>
    <w:basedOn w:val="1"/>
    <w:semiHidden/>
    <w:qFormat/>
    <w:uiPriority w:val="0"/>
    <w:rPr>
      <w:rFonts w:ascii="仿宋" w:hAnsi="仿宋" w:eastAsia="仿宋" w:cs="仿宋"/>
      <w:sz w:val="31"/>
      <w:szCs w:val="3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Table Text"/>
    <w:basedOn w:val="1"/>
    <w:semiHidden/>
    <w:qFormat/>
    <w:uiPriority w:val="0"/>
    <w:rPr>
      <w:rFonts w:ascii="宋体" w:hAnsi="宋体" w:eastAsia="宋体" w:cs="宋体"/>
      <w:sz w:val="32"/>
      <w:szCs w:val="32"/>
      <w:lang w:val="en-US" w:eastAsia="en-US" w:bidi="ar-SA"/>
    </w:rPr>
  </w:style>
  <w:style w:type="table" w:customStyle="1" w:styleId="1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103</TotalTime>
  <ScaleCrop>false</ScaleCrop>
  <LinksUpToDate>false</LinksUpToDate>
  <CharactersWithSpaces>0</CharactersWithSpaces>
  <Application>WPS Office_11.8.2.10624_F1E327BC-269C-435d-A152-05C5408002CA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2018-07-16T23:11:00Z</dcterms:created>
  <dc:creator>d</dc:creator>
  <cp:lastModifiedBy>ysgz</cp:lastModifiedBy>
  <cp:lastPrinted>2025-09-09T11:17:19Z</cp:lastPrinted>
  <dcterms:modified xsi:type="dcterms:W3CDTF">2025-09-09T11:17:23Z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2052-11.8.2.10624</vt:lpwstr>
  </property>
  <property fmtid="{D5CDD505-2E9C-101B-9397-08002B2CF9AE}" pid="3" name="ICV">
    <vt:lpwstr>E45EE58567A54C8B887D4CEBA3964703</vt:lpwstr>
  </property>
</Properties>
</file>