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《支持民营批发企业发展的若干措施》</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起草说明</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出台背景</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为深入贯彻落实国家、省、市关于促进民营经济发展壮大的系列决策部署，有效引导民营批发企业通过改革转型、合规经营和创新发展持续提升质量，推动我市民营经济做大做优做强，特研究制定本措施。</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前，我市批发业仍面临龙头企业偏少、跨区域拓展能力不足、国际化水平不高、平台化发展滞后等突出问题，尤其在产销一体化、内外贸融合及纳统激励等方面存在政策短板。同时，国内多地已相继出台专项政策，支持民营贸易企业创新发展路径、拓展市场空间。</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此，市商务局紧扣民营批发企业实际需求，在充分调研和借鉴先进地区经验基础上，聚焦企业发展的关键环节和瓶颈制约，草拟了《支持民营批发企业发展的若干措施》，着力强化正向激励，优化发展环境，进一步激发市场主体活力和竞争力。</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主要内容</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《措施》主要包括以下五项支持举措：</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t>促进生产企业营销一体化。鼓励制造业企业设立独立销售公司，实现产销协同。</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rPr>
        <w:t>鼓励设立区域性销售企业。支持在贵阳贵安设立区域性销售总部。</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rPr>
        <w:t>支持批发企业做优做强。</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rPr>
        <w:t>推动批发业平台化发展。支持商品市场转型升级，构建统一核算和经营的电商平台。</w:t>
      </w:r>
      <w:r>
        <w:rPr>
          <w:rFonts w:hint="eastAsia" w:ascii="仿宋_GB2312" w:hAnsi="仿宋_GB2312" w:eastAsia="仿宋_GB2312" w:cs="仿宋_GB2312"/>
          <w:b/>
          <w:bCs/>
          <w:sz w:val="32"/>
          <w:szCs w:val="32"/>
          <w:lang w:eastAsia="zh-CN"/>
        </w:rPr>
        <w:t>五是</w:t>
      </w:r>
      <w:r>
        <w:rPr>
          <w:rFonts w:hint="eastAsia" w:ascii="仿宋_GB2312" w:hAnsi="仿宋_GB2312" w:eastAsia="仿宋_GB2312" w:cs="仿宋_GB2312"/>
          <w:sz w:val="32"/>
          <w:szCs w:val="32"/>
        </w:rPr>
        <w:t>推动批发业内外贸融合发展。鼓励企业拓展国际业务，加快内外贸一体化。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三、外地相关政策情况</w:t>
      </w:r>
    </w:p>
    <w:p>
      <w:pPr>
        <w:keepNext w:val="0"/>
        <w:keepLines w:val="0"/>
        <w:pageBreakBefore w:val="0"/>
        <w:widowControl w:val="0"/>
        <w:pBdr>
          <w:top w:val="none" w:color="000000" w:sz="0" w:space="3"/>
          <w:left w:val="none" w:color="000000" w:sz="0" w:space="3"/>
          <w:bottom w:val="single" w:color="FFFFFF" w:sz="4" w:space="31"/>
          <w:right w:val="none" w:color="000000" w:sz="0" w:space="3"/>
        </w:pBd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日，云和县人民政府办公室印发《云和县关于推动批发业企业发展的意见》，对每年月度上限的批发业企业，年度销售额超过5亿元的列入培育计划，并根据其年销售额给予奖励。单家企业每年补助最高不超过80万元</w:t>
      </w:r>
      <w:r>
        <w:rPr>
          <w:rFonts w:hint="eastAsia" w:ascii="Times New Roman" w:hAnsi="Times New Roman" w:eastAsia="仿宋_GB2312" w:cs="Times New Roman"/>
          <w:sz w:val="32"/>
          <w:szCs w:val="32"/>
          <w:lang w:eastAsia="zh-CN"/>
        </w:rPr>
        <w:t>。</w:t>
      </w:r>
    </w:p>
    <w:p>
      <w:pPr>
        <w:keepNext w:val="0"/>
        <w:keepLines w:val="0"/>
        <w:pageBreakBefore w:val="0"/>
        <w:widowControl w:val="0"/>
        <w:pBdr>
          <w:top w:val="none" w:color="000000" w:sz="0" w:space="3"/>
          <w:left w:val="none" w:color="000000" w:sz="0" w:space="3"/>
          <w:bottom w:val="single" w:color="FFFFFF" w:sz="4" w:space="31"/>
          <w:right w:val="none" w:color="000000" w:sz="0" w:space="3"/>
        </w:pBdr>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月，汕尾市商务局制定出台了《汕尾市关于促进批发业能级提升的若干措施》，对在汕尾市依法开展批发行业经营活动的法人或其他组织设立区域性销售总部</w:t>
      </w:r>
      <w:r>
        <w:rPr>
          <w:rFonts w:hint="eastAsia" w:ascii="Times New Roman" w:hAnsi="Times New Roman" w:eastAsia="仿宋_GB2312" w:cs="Times New Roman"/>
          <w:sz w:val="32"/>
          <w:szCs w:val="32"/>
          <w:lang w:val="en-US" w:eastAsia="zh-CN"/>
        </w:rPr>
        <w:t>、成立销售公司进行专业化营销、扩大经营规模等进行支持</w:t>
      </w:r>
      <w:r>
        <w:rPr>
          <w:rFonts w:hint="default" w:ascii="Times New Roman" w:hAnsi="Times New Roman" w:eastAsia="仿宋_GB2312" w:cs="Times New Roman"/>
          <w:sz w:val="32"/>
          <w:szCs w:val="32"/>
          <w:lang w:val="en-US" w:eastAsia="zh-CN"/>
        </w:rPr>
        <w:t>，单个企业支持上限2000万元。</w:t>
      </w:r>
    </w:p>
    <w:p>
      <w:pPr>
        <w:keepNext w:val="0"/>
        <w:keepLines w:val="0"/>
        <w:pageBreakBefore w:val="0"/>
        <w:widowControl w:val="0"/>
        <w:pBdr>
          <w:top w:val="none" w:color="000000" w:sz="0" w:space="3"/>
          <w:left w:val="none" w:color="000000" w:sz="0" w:space="3"/>
          <w:bottom w:val="single" w:color="FFFFFF" w:sz="4" w:space="31"/>
          <w:right w:val="none" w:color="000000" w:sz="0" w:space="3"/>
        </w:pBdr>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2025年7月，武义县经济商务局、武义县财政局制定出台了《关于印发推动商贸业高质量发展若干意见的通知》，对含批发企业在内的商贸企业升限纳统、开展</w:t>
      </w:r>
      <w:r>
        <w:rPr>
          <w:rFonts w:hint="eastAsia" w:ascii="Times New Roman" w:hAnsi="Times New Roman" w:eastAsia="仿宋_GB2312" w:cs="Times New Roman"/>
          <w:sz w:val="32"/>
          <w:szCs w:val="32"/>
          <w:lang w:val="en-US" w:eastAsia="zh-CN"/>
        </w:rPr>
        <w:t>主辅分离、</w:t>
      </w:r>
      <w:r>
        <w:rPr>
          <w:rFonts w:hint="default" w:ascii="Times New Roman" w:hAnsi="Times New Roman" w:eastAsia="仿宋_GB2312" w:cs="Times New Roman"/>
          <w:sz w:val="32"/>
          <w:szCs w:val="32"/>
          <w:lang w:val="en-US" w:eastAsia="zh-CN"/>
        </w:rPr>
        <w:t>增量达到一定标准</w:t>
      </w:r>
      <w:r>
        <w:rPr>
          <w:rFonts w:hint="eastAsia" w:ascii="Times New Roman" w:hAnsi="Times New Roman" w:eastAsia="仿宋_GB2312" w:cs="Times New Roman"/>
          <w:sz w:val="32"/>
          <w:szCs w:val="32"/>
          <w:lang w:val="en-US" w:eastAsia="zh-CN"/>
        </w:rPr>
        <w:t>等，给予最高80万元的分档奖励。</w:t>
      </w:r>
      <w:bookmarkStart w:id="0" w:name="_GoBack"/>
      <w:bookmarkEnd w:id="0"/>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4328D"/>
    <w:multiLevelType w:val="singleLevel"/>
    <w:tmpl w:val="62F432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30551B"/>
    <w:rsid w:val="0E30551B"/>
    <w:rsid w:val="419A1880"/>
    <w:rsid w:val="4A013479"/>
    <w:rsid w:val="4AD70CCF"/>
    <w:rsid w:val="70134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535</Words>
  <Characters>535</Characters>
  <Lines>0</Lines>
  <Paragraphs>0</Paragraphs>
  <TotalTime>0</TotalTime>
  <ScaleCrop>false</ScaleCrop>
  <LinksUpToDate>false</LinksUpToDate>
  <CharactersWithSpaces>535</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2025-09-08T02:32:00Z</dcterms:created>
  <dc:creator>眼镜小乖</dc:creator>
  <cp:lastModifiedBy>HiKun</cp:lastModifiedBy>
  <dcterms:modified xsi:type="dcterms:W3CDTF">2025-09-08T04:56:49Z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52A9F695537441498B3B189121A54940</vt:lpwstr>
  </property>
  <property fmtid="{D5CDD505-2E9C-101B-9397-08002B2CF9AE}" pid="4" name="KSOTemplateDocerSaveRecord">
    <vt:lpwstr>eyJoZGlkIjoiYzE2NDUxM2RkZDc0YWQzMThhYzFhYjNiYTMxODU3NWIiLCJ1c2VySWQiOiIzNTUzOTY1OTAifQ==</vt:lpwstr>
  </property>
</Properties>
</file>