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wordWrap/>
        <w:overflowPunct/>
        <w:topLinePunct w:val="0"/>
        <w:bidi w:val="0"/>
        <w:adjustRightInd/>
        <w:snapToGrid/>
        <w:spacing w:after="0" w:line="560" w:lineRule="exact"/>
        <w:ind w:left="0" w:left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19"/>
        <w:keepNext w:val="0"/>
        <w:keepLines w:val="0"/>
        <w:pageBreakBefore w:val="0"/>
        <w:kinsoku/>
        <w:wordWrap/>
        <w:overflowPunct/>
        <w:topLinePunct w:val="0"/>
        <w:bidi w:val="0"/>
        <w:adjustRightInd/>
        <w:snapToGrid/>
        <w:spacing w:after="0" w:line="560" w:lineRule="exact"/>
        <w:ind w:left="0" w:leftChars="0"/>
        <w:jc w:val="left"/>
        <w:textAlignment w:val="auto"/>
        <w:outlineLvl w:val="9"/>
        <w:rPr>
          <w:rFonts w:hint="default" w:ascii="Times New Roman" w:hAnsi="Times New Roman" w:eastAsia="仿宋_GB2312" w:cs="Times New Roman"/>
          <w:sz w:val="32"/>
          <w:szCs w:val="32"/>
        </w:rPr>
      </w:pPr>
    </w:p>
    <w:p>
      <w:pPr>
        <w:pStyle w:val="19"/>
        <w:keepNext w:val="0"/>
        <w:keepLines w:val="0"/>
        <w:pageBreakBefore w:val="0"/>
        <w:kinsoku/>
        <w:wordWrap/>
        <w:overflowPunct/>
        <w:topLinePunct w:val="0"/>
        <w:bidi w:val="0"/>
        <w:adjustRightInd/>
        <w:snapToGrid/>
        <w:spacing w:line="560" w:lineRule="exact"/>
        <w:ind w:left="0" w:leftChars="0"/>
        <w:textAlignment w:val="auto"/>
        <w:outlineLvl w:val="9"/>
        <w:rPr>
          <w:rFonts w:hint="default" w:ascii="Times New Roman" w:hAnsi="Times New Roman" w:cs="Times New Roman"/>
          <w:spacing w:val="-20"/>
        </w:rPr>
      </w:pPr>
      <w:r>
        <w:rPr>
          <w:rFonts w:hint="default" w:ascii="Times New Roman" w:hAnsi="Times New Roman" w:cs="Times New Roman"/>
          <w:spacing w:val="-20"/>
        </w:rPr>
        <w:t>2025年东莞市工业和信息化产业发展专项资金</w:t>
      </w:r>
    </w:p>
    <w:p>
      <w:pPr>
        <w:pStyle w:val="19"/>
        <w:keepNext w:val="0"/>
        <w:keepLines w:val="0"/>
        <w:pageBreakBefore w:val="0"/>
        <w:kinsoku/>
        <w:wordWrap/>
        <w:overflowPunct/>
        <w:topLinePunct w:val="0"/>
        <w:bidi w:val="0"/>
        <w:adjustRightInd/>
        <w:snapToGrid/>
        <w:spacing w:line="560" w:lineRule="exact"/>
        <w:ind w:left="0" w:leftChars="0"/>
        <w:textAlignment w:val="auto"/>
        <w:outlineLvl w:val="9"/>
        <w:rPr>
          <w:rFonts w:hint="default" w:ascii="Times New Roman" w:hAnsi="Times New Roman" w:cs="Times New Roman"/>
          <w:spacing w:val="-20"/>
        </w:rPr>
      </w:pPr>
      <w:r>
        <w:rPr>
          <w:rFonts w:hint="default" w:ascii="Times New Roman" w:hAnsi="Times New Roman" w:cs="Times New Roman"/>
          <w:spacing w:val="-20"/>
        </w:rPr>
        <w:t>智能工厂（车间）项目入库申报指南</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为加快推动制造业数字化转型智能化升级， 根据《东莞市工业和信息化局关于印发</w:t>
      </w:r>
      <w:r>
        <w:rPr>
          <w:rFonts w:hint="default" w:ascii="Times New Roman" w:hAnsi="Times New Roman" w:cs="Times New Roman"/>
          <w:lang w:eastAsia="zh-CN"/>
        </w:rPr>
        <w:t>〈</w:t>
      </w:r>
      <w:r>
        <w:rPr>
          <w:rFonts w:hint="default" w:ascii="Times New Roman" w:hAnsi="Times New Roman" w:cs="Times New Roman"/>
        </w:rPr>
        <w:t>关于加快推动工业和信息化产业高质量发展的若干政策措施</w:t>
      </w:r>
      <w:r>
        <w:rPr>
          <w:rFonts w:hint="default" w:ascii="Times New Roman" w:hAnsi="Times New Roman" w:cs="Times New Roman"/>
          <w:lang w:eastAsia="zh-CN"/>
        </w:rPr>
        <w:t>〉</w:t>
      </w:r>
      <w:r>
        <w:rPr>
          <w:rFonts w:hint="default" w:ascii="Times New Roman" w:hAnsi="Times New Roman" w:cs="Times New Roman"/>
        </w:rPr>
        <w:t>的通知》</w:t>
      </w:r>
      <w:r>
        <w:rPr>
          <w:rFonts w:hint="default" w:ascii="Times New Roman" w:hAnsi="Times New Roman" w:cs="Times New Roman"/>
          <w:szCs w:val="32"/>
        </w:rPr>
        <w:t>（东工信〔2025〕133号）</w:t>
      </w:r>
      <w:r>
        <w:rPr>
          <w:rFonts w:hint="default" w:ascii="Times New Roman" w:hAnsi="Times New Roman" w:cs="Times New Roman"/>
        </w:rPr>
        <w:t>，特制定本入库申报指南。</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一、智能工厂入库申报条件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（一）在我市行政区域内注册，具有独立法人资格且正常经营满三年及以上，遵守国家法律法规，认真履行社会责任，财务管理制度健全规范，未发生重大网络安全事故。</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（二）按照有关文件规定，申报单位不属于市级财政专项资金不予资助范围。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（三）申报单位是工业企业，其主导产品（技术）符合国家产业政策和行业政策导向。</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（四）申报单位已获得东莞市工业和信息化局智能车间认定。</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五）智能工厂建设资金投入期限。智能工厂主体须在2025年6月30日（含）前完工并投入使用。建设资金投入核算的合同签订日期、发票（报关单）开具日期、银行付款（银行承兑汇票）日期必须均在2022年7月1日至2025年6月30日（含）内。</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（六）在建设期限内，申报项目软硬件实际投入不低于500万元（不含税）。硬件投入资金占总投入的比例不高于50%。</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（七）鼓励申报单位参照《智能工厂（车间）典型应用场景建设指引》（详见附件1）建设智能工厂。</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Times New Roman" w:hAnsi="Times New Roman" w:cs="Times New Roman"/>
        </w:rPr>
        <w:t>（八）入选工信部新一代信息技术与制造业融合发展示范项目（“数字领航”企业方向）或工业互联网试点示范项目（5G工厂试点）名单的企业，可直接入库。</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二、智能车间入库申报条件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（一）在我市行政区域内注册，具有独立法人资格且正常经营满两年及以上，遵守国家法律法规，认真履行社会责任，财务管理制度健全规范，未发生重大网络安全事故。</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（二）按照有关文件规定，申报单位不属于市级财政专项资金不予资助范围。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（三）申报单位是工业企业，主导产品（技术）符合国家产业政策和行业政策导向。</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四）智能车间项目建设期限。智能车间主体须在2025年6月30日（含）前完工并投入使用。建设资金投入核算的合同签订日期、发票（报关单）开具日期、银行付款（银行承兑汇票）日期必须均在2023年1月1日至2025年6月30日（含）内。</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（五）在建设期限内，申报项目的软硬件实际投入不低于200万元（不含税）。硬件投入资金占总投入的比例不高于50%。</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（六）鼓励申报单位参照《智能工厂（车间）典型应用场景建设指引》（详见附件1）建设智能车间。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三、申报材料</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（一）材料清单</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1.项目入库申报书封面及目录（详见附件2）；</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2.项目申报表（系统填报，详见附件3）；</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3.项目完工确认材料（复印件）；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4.项目投入明细表（系统填报并上传加盖企业公章扫描件，详见附件4）；</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5.企业营业执照（复印件）；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6.法人代表身份证（复印件）；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7.银行开户许可证或其他有效银行开户证明（复印件）；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8.2023年至2024年两个年度的财务审计报告（或税审报告）（复印件）；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9.申报时最近一个月的资产负债表、利润表、现金流量表（复印件）；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eastAsia" w:ascii="Times New Roman" w:hAnsi="Times New Roman" w:eastAsia="仿宋_GB2312" w:cs="Times New Roman"/>
          <w:lang w:eastAsia="zh-CN"/>
        </w:rPr>
      </w:pPr>
      <w:r>
        <w:rPr>
          <w:rFonts w:hint="default" w:ascii="Times New Roman" w:hAnsi="Times New Roman" w:cs="Times New Roman"/>
        </w:rPr>
        <w:t>10.申报单位信用情况、环境和税务记录信息等截图</w:t>
      </w:r>
      <w:r>
        <w:rPr>
          <w:rFonts w:hint="eastAsia" w:cs="Times New Roman"/>
          <w:lang w:eastAsia="zh-CN"/>
        </w:rPr>
        <w:t>：</w:t>
      </w:r>
    </w:p>
    <w:p>
      <w:pPr>
        <w:keepNext w:val="0"/>
        <w:keepLines w:val="0"/>
        <w:pageBreakBefore w:val="0"/>
        <w:kinsoku/>
        <w:wordWrap/>
        <w:overflowPunct/>
        <w:topLinePunct w:val="0"/>
        <w:bidi w:val="0"/>
        <w:adjustRightInd/>
        <w:snapToGrid/>
        <w:spacing w:after="0" w:line="560" w:lineRule="exact"/>
        <w:ind w:left="0" w:leftChars="0" w:firstLine="560" w:firstLineChars="200"/>
        <w:jc w:val="both"/>
        <w:textAlignment w:val="auto"/>
        <w:outlineLvl w:val="9"/>
        <w:rPr>
          <w:rFonts w:hint="default" w:ascii="Times New Roman" w:hAnsi="Times New Roman" w:cs="Times New Roman"/>
          <w:spacing w:val="-20"/>
        </w:rPr>
      </w:pPr>
      <w:r>
        <w:rPr>
          <w:rFonts w:hint="default" w:ascii="Times New Roman" w:hAnsi="Times New Roman" w:cs="Times New Roman"/>
          <w:spacing w:val="-20"/>
        </w:rPr>
        <w:t>信用情况在“信用中国”查询，网址：https://www.creditchina.gov.cn/；环境记录在“东莞市生态环境局门户网站”查询，网址:http://dgepb.dg.gov.cn；税务记录在“中国税务”查询，网址：https://guangdong.chinatax.gov.cn/gdsw/gzcx/2025-01/02/content_3be18db88ef54918a36bc5059bab3dbf.shtml</w:t>
      </w:r>
      <w:r>
        <w:rPr>
          <w:rFonts w:hint="default" w:ascii="Times New Roman" w:hAnsi="Times New Roman" w:cs="Times New Roman"/>
        </w:rPr>
        <w:t>；</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eastAsia" w:ascii="Times New Roman" w:hAnsi="Times New Roman" w:eastAsia="仿宋_GB2312" w:cs="Times New Roman"/>
          <w:lang w:eastAsia="zh-CN"/>
        </w:rPr>
      </w:pPr>
      <w:r>
        <w:rPr>
          <w:rFonts w:hint="default" w:ascii="Times New Roman" w:hAnsi="Times New Roman" w:cs="Times New Roman"/>
        </w:rPr>
        <w:t>11. 项目投入佐证材料（复印件）</w:t>
      </w:r>
      <w:r>
        <w:rPr>
          <w:rFonts w:hint="eastAsia" w:cs="Times New Roman"/>
          <w:lang w:eastAsia="zh-CN"/>
        </w:rPr>
        <w:t>：</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与项目投入明细表对应的合同、发票（报关单）、银行付款凭证（银行承兑汇票）以及会计凭证；</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eastAsia" w:ascii="Times New Roman" w:hAnsi="Times New Roman" w:eastAsia="仿宋_GB2312" w:cs="Times New Roman"/>
          <w:lang w:eastAsia="zh-CN"/>
        </w:rPr>
      </w:pPr>
      <w:r>
        <w:rPr>
          <w:rFonts w:hint="default" w:ascii="Times New Roman" w:hAnsi="Times New Roman" w:cs="Times New Roman"/>
        </w:rPr>
        <w:t>12.申报单位数字化转型能力与成果佐证材料（若无，则无需提供复印件）</w:t>
      </w:r>
      <w:r>
        <w:rPr>
          <w:rFonts w:hint="eastAsia" w:cs="Times New Roman"/>
          <w:lang w:eastAsia="zh-CN"/>
        </w:rPr>
        <w:t>：</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eastAsia="宋体" w:cs="Times New Roman"/>
          <w:lang w:eastAsia="ja-JP"/>
        </w:rPr>
        <w:t>①</w:t>
      </w:r>
      <w:r>
        <w:rPr>
          <w:rFonts w:hint="default" w:ascii="Times New Roman" w:hAnsi="Times New Roman" w:cs="Times New Roman"/>
        </w:rPr>
        <w:t>近三年获得国家工信部、省工信厅和市工信局支持项目情况说明；</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Times New Roman" w:hAnsi="Times New Roman" w:eastAsia="宋体" w:cs="Times New Roman"/>
          <w:lang w:eastAsia="ja-JP"/>
        </w:rPr>
        <w:t>②</w:t>
      </w:r>
      <w:r>
        <w:rPr>
          <w:rFonts w:hint="default" w:ascii="Times New Roman" w:hAnsi="Times New Roman" w:cs="Times New Roman"/>
          <w:szCs w:val="32"/>
        </w:rPr>
        <w:t>近三年参加数字化转型评估和获得相关体系认证情况：包括但不限于国家</w:t>
      </w:r>
      <w:r>
        <w:rPr>
          <w:rFonts w:hint="default" w:ascii="Times New Roman" w:hAnsi="Times New Roman" w:cs="Times New Roman"/>
          <w:szCs w:val="32"/>
          <w:lang w:bidi="ar"/>
        </w:rPr>
        <w:t>制造业数字化转型综合信息服务平台（https://szgx.miit.gov.cn/zzyszh/home）上开展数字化转型评估并达到二级以上（含二级）、</w:t>
      </w:r>
      <w:r>
        <w:rPr>
          <w:rFonts w:hint="default" w:ascii="Times New Roman" w:hAnsi="Times New Roman" w:cs="Times New Roman"/>
          <w:szCs w:val="32"/>
        </w:rPr>
        <w:t>两化融合贯标认证、数据管理能力成熟度评估模型（DCMM）认证、智能制造能力成熟度模型（</w:t>
      </w:r>
      <w:r>
        <w:rPr>
          <w:rFonts w:hint="default" w:ascii="Times New Roman" w:hAnsi="Times New Roman" w:cs="Times New Roman"/>
          <w:color w:val="222222"/>
          <w:szCs w:val="32"/>
        </w:rPr>
        <w:t>CMMM</w:t>
      </w:r>
      <w:r>
        <w:rPr>
          <w:rFonts w:hint="default" w:ascii="Times New Roman" w:hAnsi="Times New Roman" w:cs="Times New Roman"/>
          <w:szCs w:val="32"/>
        </w:rPr>
        <w:t>）认证等；</w:t>
      </w:r>
    </w:p>
    <w:p>
      <w:pPr>
        <w:keepNext w:val="0"/>
        <w:keepLines w:val="0"/>
        <w:pageBreakBefore w:val="0"/>
        <w:widowControl/>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Times New Roman" w:hAnsi="Times New Roman" w:cs="Times New Roman"/>
        </w:rPr>
        <w:t>13.</w:t>
      </w:r>
      <w:r>
        <w:rPr>
          <w:rFonts w:hint="default" w:ascii="Times New Roman" w:hAnsi="Times New Roman" w:cs="Times New Roman"/>
          <w:lang w:bidi="ar"/>
        </w:rPr>
        <w:t>在全国工业互联网安全分类分级管理平台（https://www.cic-ciisec.org.cn:18080/login.html）上开展自主定级和信息登记的截图</w:t>
      </w:r>
      <w:r>
        <w:rPr>
          <w:rFonts w:hint="default" w:ascii="Times New Roman" w:hAnsi="Times New Roman" w:cs="Times New Roman"/>
          <w:szCs w:val="32"/>
        </w:rPr>
        <w:t>；</w:t>
      </w:r>
    </w:p>
    <w:p>
      <w:pPr>
        <w:keepNext w:val="0"/>
        <w:keepLines w:val="0"/>
        <w:pageBreakBefore w:val="0"/>
        <w:widowControl/>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lang w:bidi="ar"/>
        </w:rPr>
        <w:t>14.第三方机构出具的企业</w:t>
      </w:r>
      <w:r>
        <w:rPr>
          <w:rFonts w:hint="default" w:ascii="Times New Roman" w:hAnsi="Times New Roman" w:cs="Times New Roman"/>
        </w:rPr>
        <w:t>未发生重大网络安全事故的</w:t>
      </w:r>
      <w:r>
        <w:rPr>
          <w:rFonts w:hint="default" w:ascii="Times New Roman" w:hAnsi="Times New Roman" w:cs="Times New Roman"/>
          <w:lang w:bidi="ar"/>
        </w:rPr>
        <w:t>检测报告</w:t>
      </w:r>
      <w:r>
        <w:rPr>
          <w:rFonts w:hint="default" w:ascii="Times New Roman" w:hAnsi="Times New Roman" w:cs="Times New Roman"/>
        </w:rPr>
        <w:t>（复印件）；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eastAsia" w:ascii="Times New Roman" w:hAnsi="Times New Roman" w:eastAsia="仿宋_GB2312" w:cs="Times New Roman"/>
          <w:lang w:eastAsia="zh-CN"/>
        </w:rPr>
      </w:pPr>
      <w:r>
        <w:rPr>
          <w:rFonts w:hint="default" w:ascii="Times New Roman" w:hAnsi="Times New Roman" w:cs="Times New Roman"/>
        </w:rPr>
        <w:t>15.与项目相关的其它证明材料（复印件等）</w:t>
      </w:r>
      <w:r>
        <w:rPr>
          <w:rFonts w:hint="eastAsia" w:cs="Times New Roman"/>
          <w:lang w:eastAsia="zh-CN"/>
        </w:rPr>
        <w:t>：</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包括但不限于“项目实施情况表”（详见附件5）所需佐证材料、不少于5张能够突出反映智能工厂（车间）建设和成效的高清实景照片、申报单位智能制造方面取得的与项目相关的专利、著作权和标准制定等。</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楷体_GB2312" w:cs="Times New Roman"/>
          <w:szCs w:val="32"/>
        </w:rPr>
      </w:pPr>
      <w:r>
        <w:rPr>
          <w:rFonts w:hint="default" w:ascii="Times New Roman" w:hAnsi="Times New Roman" w:eastAsia="楷体_GB2312" w:cs="Times New Roman"/>
          <w:szCs w:val="32"/>
        </w:rPr>
        <w:t>（二）材料要求</w:t>
      </w:r>
    </w:p>
    <w:p>
      <w:pPr>
        <w:keepNext w:val="0"/>
        <w:keepLines w:val="0"/>
        <w:pageBreakBefore w:val="0"/>
        <w:widowControl/>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Times New Roman" w:hAnsi="Times New Roman" w:eastAsia="楷体_GB2312" w:cs="Times New Roman"/>
          <w:szCs w:val="32"/>
        </w:rPr>
        <w:t>1</w:t>
      </w:r>
      <w:r>
        <w:rPr>
          <w:rFonts w:hint="default" w:ascii="Times New Roman" w:hAnsi="Times New Roman" w:cs="Times New Roman"/>
          <w:szCs w:val="32"/>
        </w:rPr>
        <w:t>.材料清单里的纸质原件须</w:t>
      </w:r>
      <w:r>
        <w:rPr>
          <w:rFonts w:hint="default" w:ascii="Times New Roman" w:hAnsi="Times New Roman" w:cs="Times New Roman"/>
          <w:b/>
          <w:bCs/>
          <w:szCs w:val="32"/>
        </w:rPr>
        <w:t>直接使用复印机或扫描仪生成，确保有较高的分辨率和良好的清晰度。</w:t>
      </w:r>
      <w:r>
        <w:rPr>
          <w:rFonts w:hint="default" w:ascii="Times New Roman" w:hAnsi="Times New Roman" w:cs="Times New Roman"/>
          <w:szCs w:val="32"/>
        </w:rPr>
        <w:t>若申报材料中存在字迹模糊、无法辨别的内容，其责任及后果由申报单位自行承担。</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b/>
          <w:bCs/>
          <w:szCs w:val="32"/>
        </w:rPr>
      </w:pPr>
      <w:r>
        <w:rPr>
          <w:rFonts w:hint="default" w:ascii="Times New Roman" w:hAnsi="Times New Roman" w:cs="Times New Roman"/>
          <w:szCs w:val="32"/>
        </w:rPr>
        <w:t>2.制作纸质申报书时，</w:t>
      </w:r>
      <w:r>
        <w:rPr>
          <w:rFonts w:hint="default" w:ascii="Times New Roman" w:hAnsi="Times New Roman" w:cs="Times New Roman"/>
          <w:szCs w:val="32"/>
          <w:lang w:bidi="ar"/>
        </w:rPr>
        <w:t>登录申报系统</w:t>
      </w:r>
      <w:r>
        <w:rPr>
          <w:rFonts w:hint="default" w:ascii="Times New Roman" w:hAnsi="Times New Roman" w:cs="Times New Roman"/>
          <w:szCs w:val="32"/>
          <w:vertAlign w:val="superscript"/>
        </w:rPr>
        <w:footnoteReference w:id="0"/>
      </w:r>
      <w:r>
        <w:rPr>
          <w:rFonts w:hint="default" w:ascii="Times New Roman" w:hAnsi="Times New Roman" w:cs="Times New Roman"/>
          <w:szCs w:val="32"/>
          <w:lang w:bidi="ar"/>
        </w:rPr>
        <w:t>或“i莞家”小程序</w:t>
      </w:r>
      <w:r>
        <w:rPr>
          <w:rFonts w:hint="default" w:ascii="Times New Roman" w:hAnsi="Times New Roman" w:cs="Times New Roman"/>
          <w:szCs w:val="32"/>
          <w:vertAlign w:val="superscript"/>
        </w:rPr>
        <w:footnoteReference w:id="1"/>
      </w:r>
      <w:r>
        <w:rPr>
          <w:rFonts w:hint="default" w:ascii="Times New Roman" w:hAnsi="Times New Roman" w:cs="Times New Roman"/>
          <w:szCs w:val="32"/>
          <w:lang w:bidi="ar"/>
        </w:rPr>
        <w:t>，</w:t>
      </w:r>
      <w:r>
        <w:rPr>
          <w:rFonts w:hint="default" w:ascii="Times New Roman" w:hAnsi="Times New Roman" w:cs="Times New Roman"/>
          <w:szCs w:val="32"/>
        </w:rPr>
        <w:t>下载带水印</w:t>
      </w:r>
      <w:r>
        <w:rPr>
          <w:rFonts w:hint="default" w:ascii="Times New Roman" w:hAnsi="Times New Roman" w:cs="Times New Roman"/>
          <w:szCs w:val="32"/>
          <w:vertAlign w:val="superscript"/>
        </w:rPr>
        <w:footnoteReference w:id="2"/>
      </w:r>
      <w:r>
        <w:rPr>
          <w:rFonts w:hint="default" w:ascii="Times New Roman" w:hAnsi="Times New Roman" w:cs="Times New Roman"/>
          <w:szCs w:val="32"/>
        </w:rPr>
        <w:t>的申报材料，</w:t>
      </w:r>
      <w:r>
        <w:rPr>
          <w:rFonts w:hint="default" w:ascii="Times New Roman" w:hAnsi="Times New Roman" w:cs="Times New Roman"/>
          <w:szCs w:val="32"/>
          <w:lang w:bidi="ar"/>
        </w:rPr>
        <w:t>按本指南第三条“材料清单”顺序编制目录、整理材料、标注页码，一式6份A4纸双面打印（含1份属地镇工信部门存档）、胶装成册，相关材料及骑缝处加盖企业公章。</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Times New Roman" w:hAnsi="Times New Roman" w:cs="Times New Roman"/>
          <w:szCs w:val="32"/>
        </w:rPr>
        <w:t>3.</w:t>
      </w:r>
      <w:r>
        <w:rPr>
          <w:rFonts w:hint="default" w:ascii="Times New Roman" w:hAnsi="Times New Roman" w:cs="Times New Roman"/>
          <w:b/>
          <w:bCs/>
          <w:szCs w:val="32"/>
        </w:rPr>
        <w:t>提交电子材料和纸质材料必须保持一致</w:t>
      </w:r>
      <w:r>
        <w:rPr>
          <w:rFonts w:hint="default" w:ascii="Times New Roman" w:hAnsi="Times New Roman" w:cs="Times New Roman"/>
          <w:szCs w:val="32"/>
        </w:rPr>
        <w:t>，用于项目后续的绩效评价、审计检查等监督管理工作。如因申报单位提供材料版本有误导致不良后果的，将严肃追究申报单位责任。</w:t>
      </w:r>
    </w:p>
    <w:p>
      <w:pPr>
        <w:pStyle w:val="2"/>
        <w:rPr>
          <w:rFonts w:hint="default"/>
        </w:rPr>
      </w:pP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四、工作流程</w:t>
      </w:r>
    </w:p>
    <w:p>
      <w:pPr>
        <w:keepNext w:val="0"/>
        <w:keepLines w:val="0"/>
        <w:pageBreakBefore w:val="0"/>
        <w:widowControl/>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szCs w:val="32"/>
        </w:rPr>
      </w:pPr>
      <w:r>
        <w:rPr>
          <w:rFonts w:hint="default" w:ascii="楷体_GB2312" w:hAnsi="楷体_GB2312" w:eastAsia="楷体_GB2312" w:cs="楷体_GB2312"/>
        </w:rPr>
        <w:t>（一）网上申报。</w:t>
      </w:r>
      <w:r>
        <w:rPr>
          <w:rFonts w:hint="default" w:ascii="Times New Roman" w:hAnsi="Times New Roman" w:cs="Times New Roman"/>
          <w:szCs w:val="32"/>
        </w:rPr>
        <w:t>申报单位登录“企莞家”企业综合服务平台（网址https://zwfw.dg.gov.cn/dgecsp），点击“我要享政策”菜单，搜索“2025年东莞市工业和信息化产业发展专项资金智能工厂（车间）项目”，点击“申报入口”，填写资料并上传所有佐证材料。</w:t>
      </w:r>
      <w:r>
        <w:rPr>
          <w:rFonts w:hint="default" w:ascii="Times New Roman" w:hAnsi="Times New Roman" w:cs="Times New Roman"/>
          <w:kern w:val="0"/>
          <w:szCs w:val="32"/>
        </w:rPr>
        <w:t>在网上申报页面，同步选定</w:t>
      </w:r>
      <w:r>
        <w:rPr>
          <w:rFonts w:hint="default" w:ascii="Times New Roman" w:hAnsi="Times New Roman" w:cs="Times New Roman"/>
          <w:bCs/>
          <w:kern w:val="0"/>
          <w:szCs w:val="32"/>
        </w:rPr>
        <w:t>申报单位属地镇</w:t>
      </w:r>
      <w:r>
        <w:rPr>
          <w:rFonts w:hint="default" w:ascii="Times New Roman" w:hAnsi="Times New Roman" w:cs="Times New Roman"/>
          <w:kern w:val="0"/>
          <w:szCs w:val="32"/>
        </w:rPr>
        <w:t>政务服务中心作为纸质件交件地。申报进度可在“企莞家”平台中“企业空间”查询。</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楷体_GB2312" w:hAnsi="楷体_GB2312" w:eastAsia="楷体_GB2312" w:cs="楷体_GB2312"/>
        </w:rPr>
        <w:t>（二）资格审查。</w:t>
      </w:r>
      <w:r>
        <w:rPr>
          <w:rFonts w:hint="default" w:ascii="Times New Roman" w:hAnsi="Times New Roman" w:cs="Times New Roman"/>
        </w:rPr>
        <w:t>按照相关文件规定，核查申报单位（项目）是否存在不适宜资助情况。</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楷体_GB2312" w:hAnsi="楷体_GB2312" w:eastAsia="楷体_GB2312" w:cs="楷体_GB2312"/>
        </w:rPr>
        <w:t>（三）形式审查。</w:t>
      </w:r>
      <w:r>
        <w:rPr>
          <w:rFonts w:hint="default" w:ascii="Times New Roman" w:hAnsi="Times New Roman" w:cs="Times New Roman"/>
          <w:szCs w:val="32"/>
        </w:rPr>
        <w:t>市政务服务中心、</w:t>
      </w:r>
      <w:r>
        <w:rPr>
          <w:rFonts w:hint="default" w:ascii="Times New Roman" w:hAnsi="Times New Roman" w:cs="Times New Roman"/>
        </w:rPr>
        <w:t>市工信局</w:t>
      </w:r>
      <w:r>
        <w:rPr>
          <w:rFonts w:hint="default" w:ascii="Times New Roman" w:hAnsi="Times New Roman" w:cs="Times New Roman"/>
          <w:szCs w:val="32"/>
        </w:rPr>
        <w:t>依次对系统上申报材料的完整性进行形式审查。</w:t>
      </w:r>
      <w:r>
        <w:rPr>
          <w:rFonts w:hint="default" w:ascii="Times New Roman" w:hAnsi="Times New Roman" w:cs="Times New Roman"/>
          <w:kern w:val="0"/>
          <w:szCs w:val="32"/>
        </w:rPr>
        <w:t>申报单位收到系统退回修改意见，须在5个工作日内补充完整并提交，</w:t>
      </w:r>
      <w:r>
        <w:rPr>
          <w:rFonts w:hint="default" w:ascii="Times New Roman" w:hAnsi="Times New Roman" w:cs="Times New Roman"/>
          <w:szCs w:val="32"/>
        </w:rPr>
        <w:t>逾期未提交，视同放弃申报。形式审查结束，市工信局发布</w:t>
      </w:r>
      <w:r>
        <w:rPr>
          <w:rFonts w:hint="default" w:ascii="Times New Roman" w:hAnsi="Times New Roman" w:cs="Times New Roman"/>
        </w:rPr>
        <w:t>前置性审核公告，公告</w:t>
      </w:r>
      <w:r>
        <w:rPr>
          <w:rFonts w:hint="default" w:ascii="Times New Roman" w:hAnsi="Times New Roman" w:cs="Times New Roman"/>
          <w:szCs w:val="32"/>
        </w:rPr>
        <w:t>通过形式审查的申报项目。申报企业按要求打印一式6份纸质申报书，提前通过“i莞家”公众号/微信小程序/支付宝小程序，预约属地镇政务服务中心的“惠企服务（政策兑现）预约栏目，凭通过形式审查的手机短信，到属地镇政务服务中心提交纸质申报书。</w:t>
      </w:r>
      <w:r>
        <w:rPr>
          <w:rFonts w:hint="default" w:ascii="Times New Roman" w:hAnsi="Times New Roman" w:cs="Times New Roman"/>
        </w:rPr>
        <w:t>镇街（园区）工信部门对列入前置性审查公告的项目进行复核、推荐并在纸质申报书盖章。申报单位收到通知后，到</w:t>
      </w:r>
      <w:r>
        <w:rPr>
          <w:rFonts w:hint="default" w:ascii="Times New Roman" w:hAnsi="Times New Roman" w:cs="Times New Roman"/>
          <w:szCs w:val="32"/>
        </w:rPr>
        <w:t>属地镇政务服务中心</w:t>
      </w:r>
      <w:r>
        <w:rPr>
          <w:rFonts w:hint="default" w:ascii="Times New Roman" w:hAnsi="Times New Roman" w:cs="Times New Roman"/>
        </w:rPr>
        <w:t>出证窗口取回一式5份纸质申报书。申报单位保管好纸质申报书，待后续工作备查。</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楷体_GB2312" w:hAnsi="楷体_GB2312" w:eastAsia="楷体_GB2312" w:cs="楷体_GB2312"/>
        </w:rPr>
        <w:t>（四）现场审核。</w:t>
      </w:r>
      <w:r>
        <w:rPr>
          <w:rFonts w:hint="default" w:ascii="Times New Roman" w:hAnsi="Times New Roman" w:cs="Times New Roman"/>
        </w:rPr>
        <w:t>市工信局根据项目数量组织专家或者委托第三方机构对申报项目进行现场审核，以及委托第三方财务审计机构核定项目投入情况（详见第五条“现场审核”）。</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楷体_GB2312" w:hAnsi="楷体_GB2312" w:eastAsia="楷体_GB2312" w:cs="楷体_GB2312"/>
        </w:rPr>
        <w:t>（五）社会公示。</w:t>
      </w:r>
      <w:r>
        <w:rPr>
          <w:rFonts w:hint="default" w:ascii="Times New Roman" w:hAnsi="Times New Roman" w:cs="Times New Roman"/>
        </w:rPr>
        <w:t>市工信局把符合智能工厂（车间）项目入库条件的名单在“企莞家”向社会进行公示。</w:t>
      </w:r>
    </w:p>
    <w:p>
      <w:pPr>
        <w:keepNext w:val="0"/>
        <w:keepLines w:val="0"/>
        <w:pageBreakBefore w:val="0"/>
        <w:kinsoku/>
        <w:wordWrap/>
        <w:overflowPunct/>
        <w:topLinePunct w:val="0"/>
        <w:autoSpaceDE w:val="0"/>
        <w:autoSpaceDN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kern w:val="0"/>
          <w:szCs w:val="32"/>
        </w:rPr>
      </w:pPr>
      <w:r>
        <w:rPr>
          <w:rFonts w:hint="default" w:ascii="楷体_GB2312" w:hAnsi="楷体_GB2312" w:eastAsia="楷体_GB2312" w:cs="楷体_GB2312"/>
        </w:rPr>
        <w:t>（六）入库认定。</w:t>
      </w:r>
      <w:r>
        <w:rPr>
          <w:rFonts w:hint="default" w:ascii="Times New Roman" w:hAnsi="Times New Roman" w:cs="Times New Roman"/>
        </w:rPr>
        <w:t>市工信局对公示无异议或经调查后异议不成立的项目</w:t>
      </w:r>
      <w:r>
        <w:rPr>
          <w:rFonts w:hint="default" w:ascii="Times New Roman" w:hAnsi="Times New Roman" w:cs="Times New Roman"/>
          <w:lang w:eastAsia="zh"/>
        </w:rPr>
        <w:t>予</w:t>
      </w:r>
      <w:r>
        <w:rPr>
          <w:rFonts w:hint="default" w:ascii="Times New Roman" w:hAnsi="Times New Roman" w:cs="Times New Roman"/>
        </w:rPr>
        <w:t>以入库</w:t>
      </w:r>
      <w:r>
        <w:rPr>
          <w:rFonts w:hint="default" w:ascii="Times New Roman" w:hAnsi="Times New Roman" w:cs="Times New Roman"/>
          <w:lang w:eastAsia="zh"/>
        </w:rPr>
        <w:t>认定</w:t>
      </w:r>
      <w:r>
        <w:rPr>
          <w:rFonts w:hint="default" w:ascii="Times New Roman" w:hAnsi="Times New Roman" w:cs="Times New Roman"/>
          <w:kern w:val="0"/>
          <w:szCs w:val="32"/>
        </w:rPr>
        <w:t>。</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五、现场审核</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（一）申报单位提前备好</w:t>
      </w:r>
      <w:r>
        <w:rPr>
          <w:rFonts w:hint="default" w:ascii="Times New Roman" w:hAnsi="Times New Roman" w:cs="Times New Roman"/>
          <w:b/>
          <w:bCs w:val="0"/>
          <w:u w:val="single"/>
        </w:rPr>
        <w:t>经属地镇工信部门加盖公章的一式5份纸质申报书、申报书所涉及的营业执照、合同、发票、凭证、完工材料等原件资料</w:t>
      </w:r>
      <w:r>
        <w:rPr>
          <w:rFonts w:hint="default" w:ascii="Times New Roman" w:hAnsi="Times New Roman" w:cs="Times New Roman"/>
        </w:rPr>
        <w:t>，以便专家现场核对。</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（二）现场审核过程中，企业法人代表须到场。若法人代表因故不能出席的，须现场将加盖企业公章的授权委托书（详见附件6）交予现场核查工作人员。</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（三）现场审核过程中，如发现任何涉嫌造假行为，将直接中止审核程序。</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六、项目的财务投入核算指引</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（一）智能工厂建设资金投入核算时间详见本指南第一条“智能工厂入库申报条件”；智能车间项目建设资金投入核算时间详见本指南第二条“智能车间入库申报条件”。</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rPr>
      </w:pPr>
      <w:r>
        <w:rPr>
          <w:rFonts w:hint="default" w:ascii="Times New Roman" w:hAnsi="Times New Roman" w:cs="Times New Roman"/>
        </w:rPr>
        <w:t>（二）智能工厂、智能车间投入纳入资助的范围包括硬件投入和软件投入。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48"/>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1"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2"/>
                <w:szCs w:val="24"/>
              </w:rPr>
            </w:pPr>
            <w:r>
              <w:rPr>
                <w:rFonts w:hint="default" w:ascii="Times New Roman" w:hAnsi="Times New Roman" w:cs="Times New Roman" w:eastAsiaTheme="minorEastAsia"/>
                <w:b/>
                <w:color w:val="000000"/>
                <w:kern w:val="0"/>
                <w:sz w:val="22"/>
                <w:szCs w:val="24"/>
              </w:rPr>
              <w:t>一类投入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2"/>
                <w:szCs w:val="24"/>
              </w:rPr>
            </w:pPr>
            <w:r>
              <w:rPr>
                <w:rFonts w:hint="default" w:ascii="Times New Roman" w:hAnsi="Times New Roman" w:cs="Times New Roman" w:eastAsiaTheme="minorEastAsia"/>
                <w:b/>
                <w:color w:val="000000"/>
                <w:kern w:val="0"/>
                <w:sz w:val="22"/>
                <w:szCs w:val="24"/>
              </w:rPr>
              <w:t>类别</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2"/>
                <w:szCs w:val="24"/>
              </w:rPr>
            </w:pPr>
            <w:r>
              <w:rPr>
                <w:rFonts w:hint="default" w:ascii="Times New Roman" w:hAnsi="Times New Roman" w:cs="Times New Roman" w:eastAsiaTheme="minorEastAsia"/>
                <w:b/>
                <w:color w:val="000000"/>
                <w:kern w:val="0"/>
                <w:sz w:val="22"/>
                <w:szCs w:val="24"/>
              </w:rPr>
              <w:t>二类投入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2"/>
                <w:szCs w:val="24"/>
              </w:rPr>
            </w:pPr>
            <w:r>
              <w:rPr>
                <w:rFonts w:hint="default" w:ascii="Times New Roman" w:hAnsi="Times New Roman" w:cs="Times New Roman" w:eastAsiaTheme="minorEastAsia"/>
                <w:b/>
                <w:color w:val="000000"/>
                <w:kern w:val="0"/>
                <w:sz w:val="22"/>
                <w:szCs w:val="24"/>
              </w:rPr>
              <w:t>类别</w:t>
            </w:r>
          </w:p>
        </w:tc>
        <w:tc>
          <w:tcPr>
            <w:tcW w:w="5984"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 w:val="22"/>
                <w:szCs w:val="24"/>
              </w:rPr>
            </w:pPr>
            <w:r>
              <w:rPr>
                <w:rFonts w:hint="default" w:ascii="Times New Roman" w:hAnsi="Times New Roman" w:cs="Times New Roman" w:eastAsiaTheme="minorEastAsia"/>
                <w:b/>
                <w:color w:val="000000"/>
                <w:kern w:val="0"/>
                <w:sz w:val="22"/>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硬件投入的核算方法</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IT设备</w:t>
            </w:r>
          </w:p>
        </w:tc>
        <w:tc>
          <w:tcPr>
            <w:tcW w:w="5984"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cs="Times New Roman" w:eastAsiaTheme="minorEastAsia"/>
                <w:color w:val="000000"/>
                <w:kern w:val="0"/>
                <w:sz w:val="20"/>
                <w:szCs w:val="32"/>
              </w:rPr>
            </w:pPr>
            <w:r>
              <w:rPr>
                <w:rFonts w:hint="default" w:ascii="Times New Roman" w:hAnsi="Times New Roman" w:eastAsia="宋体" w:cs="Times New Roman"/>
                <w:color w:val="000000"/>
                <w:kern w:val="0"/>
                <w:sz w:val="18"/>
                <w:szCs w:val="20"/>
              </w:rPr>
              <w:t>是指建设过程中购置/租赁的服务器、存储器、网络交换机、路由器、传感器、数据模块所产生的费用，其他硬件一概不纳入核算范围。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eastAsia="宋体" w:cs="Times New Roman"/>
                <w:color w:val="000000"/>
                <w:kern w:val="0"/>
                <w:sz w:val="24"/>
                <w:szCs w:val="24"/>
              </w:rPr>
              <w:t>5G网络应用</w:t>
            </w:r>
          </w:p>
        </w:tc>
        <w:tc>
          <w:tcPr>
            <w:tcW w:w="5984" w:type="dxa"/>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是指项目建设过程中向电信运营商采购的应用于生产设备、检测设备以及相关生产辅助性设备联网的5G络网服务费用，包含5G网络建设所需购置的5G室内分布、5G用户面功能（UPF）、5G 多接入边缘计算（MEC）、5G接入网关、全光线路终端（OLT）、光网络单元（ONU）等设备投入，以及5G数据流量服务、5G公网专用、5G专网、5G专用线路服务费用。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1"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软件投入的核算方法</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软件</w:t>
            </w:r>
          </w:p>
        </w:tc>
        <w:tc>
          <w:tcPr>
            <w:tcW w:w="5984"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是指建设过程中购置或租赁软件所产生的费用，所购置（租赁）的软件须属于以下类别：企业资源计划管理、供应链管理、客户管理、仓储管理、产品全生命周期管理、产品数据管理、制造执行、排产计划、过程控制、流程管理、三维计算机辅助设计、计算机辅助工程、计算机辅助工艺规划、计算机辅助制造、质量和计量管理、安全管理和人力资源管理，与上述类别无关的费用不纳入核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1"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p>
        </w:tc>
        <w:tc>
          <w:tcPr>
            <w:tcW w:w="1248"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技术服务</w:t>
            </w:r>
          </w:p>
        </w:tc>
        <w:tc>
          <w:tcPr>
            <w:tcW w:w="5984" w:type="dxa"/>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cs="Times New Roman" w:eastAsiaTheme="minorEastAsia"/>
                <w:color w:val="000000"/>
                <w:kern w:val="0"/>
                <w:sz w:val="20"/>
                <w:szCs w:val="32"/>
              </w:rPr>
            </w:pPr>
            <w:r>
              <w:rPr>
                <w:rFonts w:hint="default" w:ascii="Times New Roman" w:hAnsi="Times New Roman" w:eastAsia="宋体" w:cs="Times New Roman"/>
                <w:color w:val="000000"/>
                <w:kern w:val="0"/>
                <w:sz w:val="18"/>
                <w:szCs w:val="20"/>
              </w:rPr>
              <w:t>是指项目建设过程中委托第三方机构进行软件技术咨询、开发和实施所产生的费用，以及委托第三方测评软件的费用。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9" w:type="dxa"/>
            <w:gridSpan w:val="2"/>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color w:val="000000"/>
                <w:kern w:val="0"/>
                <w:sz w:val="24"/>
                <w:szCs w:val="24"/>
              </w:rPr>
            </w:pPr>
            <w:r>
              <w:rPr>
                <w:rFonts w:hint="default" w:ascii="Times New Roman" w:hAnsi="Times New Roman" w:cs="Times New Roman" w:eastAsiaTheme="minorEastAsia"/>
                <w:color w:val="000000"/>
                <w:kern w:val="0"/>
                <w:sz w:val="24"/>
                <w:szCs w:val="24"/>
              </w:rPr>
              <w:t>备注</w:t>
            </w:r>
          </w:p>
        </w:tc>
        <w:tc>
          <w:tcPr>
            <w:tcW w:w="5984" w:type="dxa"/>
            <w:vAlign w:val="center"/>
          </w:tcPr>
          <w:p>
            <w:pPr>
              <w:pStyle w:val="2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软硬件投入的核算，应与建设内容中典型应用场景密切相关。</w:t>
            </w:r>
          </w:p>
          <w:p>
            <w:pPr>
              <w:pStyle w:val="2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以下情况不纳入核算范围：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1．二手设备；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2．与项目不直接相关的各种辅助设备，非生产直接相关的各种测试及研发设备，叉车、行车、吊车、计算机等通用设备，模具、配件等耗材；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eastAsia" w:ascii="Times New Roman" w:hAnsi="Times New Roman" w:eastAsia="宋体" w:cs="Times New Roman"/>
                <w:color w:val="000000"/>
                <w:kern w:val="0"/>
                <w:sz w:val="18"/>
                <w:szCs w:val="20"/>
                <w:lang w:eastAsia="zh-CN"/>
              </w:rPr>
            </w:pPr>
            <w:r>
              <w:rPr>
                <w:rFonts w:hint="default" w:ascii="Times New Roman" w:hAnsi="Times New Roman" w:eastAsia="宋体" w:cs="Times New Roman"/>
                <w:color w:val="000000"/>
                <w:kern w:val="0"/>
                <w:sz w:val="18"/>
                <w:szCs w:val="20"/>
              </w:rPr>
              <w:t>3. 供电、供水、供热、制冷、通风、厂房改造、环境环保改造等工程及基础建设项目等相关设备</w:t>
            </w:r>
            <w:r>
              <w:rPr>
                <w:rFonts w:hint="eastAsia" w:eastAsia="宋体" w:cs="Times New Roman"/>
                <w:color w:val="000000"/>
                <w:kern w:val="0"/>
                <w:sz w:val="18"/>
                <w:szCs w:val="20"/>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宋体" w:cs="Times New Roman"/>
                <w:color w:val="000000"/>
                <w:kern w:val="0"/>
                <w:sz w:val="18"/>
                <w:szCs w:val="20"/>
              </w:rPr>
            </w:pPr>
            <w:r>
              <w:rPr>
                <w:rFonts w:hint="default" w:ascii="Times New Roman" w:hAnsi="Times New Roman" w:eastAsia="宋体" w:cs="Times New Roman"/>
                <w:color w:val="000000"/>
                <w:kern w:val="0"/>
                <w:sz w:val="18"/>
                <w:szCs w:val="20"/>
              </w:rPr>
              <w:t>4.严禁将业务接待费、行政管理费、捐款、赞助费等纳入项目投入经费核算范围。</w:t>
            </w:r>
          </w:p>
        </w:tc>
      </w:tr>
    </w:tbl>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境外购买的软硬件须提供包括但不限于《海关进口增值税专用缴款书》、《技术进口合同数据表》、银行出具的注明技术进口合同号的付汇凭证、《扣缴企业所得税合同备案登记表》等佐证材料，按孰低原则确认金额。</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（四）涉及使用电子发票（电子报关单）的，申报单位须按要求在项目申报书补充承诺函（详见附件7）。</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（五）单张票据金额少于1千元（含1千元，不含税）的投入不纳入资助范围。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（六）发票（报关单）、银行付款凭证等票据的交易双方须与合同交易双方保持一致。合同甲方应与申报单位保持一致。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（七）申报单位应规范项目资金支付管理，与项目有关的所有经费开支必须通过合同乙方的开户银行进行转账结算，否则不予纳入项目投资额的核算范围。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（八）使用银行承兑汇票方式支付的投入，软硬件销售方收到支票的时间应在项目实施期内，并且须提供背书流程以及收到汇票的收据，如委托签收的，还须提供授权委托书；必要时，通过函证形式进行确认。</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（九）软硬件按购买价款及进口关税核算，其中可抵扣的增值税进项税额不计入项目投资额。</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（十）项目支出须提供发票联，抵扣联不予认可。</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（十一）属于关联交易的投入，需提供价格公允评估报告，否则不纳入资助范围。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（十二）原则上，项目相应的软硬件必须在申报同一实施地址方可纳入投入资金，具体以现场审核专家组结论为准。</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七、责任与义务</w:t>
      </w:r>
    </w:p>
    <w:p>
      <w:pPr>
        <w:keepNext w:val="0"/>
        <w:keepLines w:val="0"/>
        <w:pageBreakBefore w:val="0"/>
        <w:widowControl/>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color w:val="000000"/>
          <w:szCs w:val="32"/>
        </w:rPr>
      </w:pPr>
      <w:r>
        <w:rPr>
          <w:rFonts w:hint="default" w:ascii="Times New Roman" w:hAnsi="Times New Roman" w:cs="Times New Roman"/>
          <w:color w:val="000000"/>
          <w:szCs w:val="32"/>
        </w:rPr>
        <w:t xml:space="preserve">（一）项目单位必须对所提供的有关申报资料真实性负责。申报单位需出具承诺函，承诺所提供资料真实，如提供虚假资料所造成的一切后果由申报单位负责。市工业和信息化局对申报项目进行不定期抽查，如经查实存在违法违规行为的，按照《财政违法行为处罚处分条例》及市级财政专项资金有关文件规定进行处理。 </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color w:val="000000"/>
          <w:szCs w:val="32"/>
        </w:rPr>
        <w:t>（二）获得专项资金的项目单位要切实加强对专项资金的使用管理，自觉接受市工业和信息化局、财政、审计、监察部门的监督检查，严格执行财务规章制度和会计核算办法。项目单位如有弄虚作假、挪用、不按规定使用专项资金等行为，将收回专项资金并按有关规定追究责任。</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获得专项资金的项目单位须参与企业经济运行监测工作。根据市工信局的要求，配合提供项目实施情况、企业生产经营情况等数据信息，以便做好专项资金后续跟踪监督。同时，积极参与市工信局组织的专题调研以及项目宣传推广等工作。</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color w:val="000000"/>
          <w:szCs w:val="32"/>
        </w:rPr>
        <w:t>（四）按照市政府出台的相关市级财政专项资金管理办法、财务管理办法、绩效评价、责任追究等办法规定，市工业和信息化局落实资金项目的监督检查、绩效评价、信息公开及责任追究，跟进资助单位运营情况及资助项目实施情况，优化资金使用等工作。</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eastAsia="黑体" w:cs="Times New Roman"/>
        </w:rPr>
      </w:pPr>
      <w:r>
        <w:rPr>
          <w:rFonts w:hint="default" w:ascii="Times New Roman" w:hAnsi="Times New Roman" w:eastAsia="黑体" w:cs="Times New Roman"/>
        </w:rPr>
        <w:t>八、其它说明</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（一）原则上，同一集团内企业入库数量不超过一家企业。</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（二）同一年度同一企业限申报一个智能工厂或智能车间，且不能同时申报两者。申报项目实际投入仅用于本项目，不得同期用于市工信局其他扶持项目，不得重复享受财政专项资金资助。</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三）为加快推动东莞制造业数字化转型步伐，在行业内形成创先争优的氛围，智能工厂（车间）优先扶持同行业内综合排名靠前的申报单位，行业分组详见附件3“项目申报表格”。同时，在同等条件下优先支持食品饮料、服装纺织、家居行业等传统行业入库。</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（四）智能工厂认定是对企业持续实施数字化、网络化、智能化改造并取得显著成效的综合评价。因此，</w:t>
      </w:r>
      <w:r>
        <w:rPr>
          <w:rFonts w:hint="default" w:ascii="Times New Roman" w:hAnsi="Times New Roman" w:cs="Times New Roman"/>
          <w:b/>
        </w:rPr>
        <w:t>智能工厂入库采取一次性认定方式</w:t>
      </w:r>
      <w:r>
        <w:rPr>
          <w:rFonts w:hint="default" w:ascii="Times New Roman" w:hAnsi="Times New Roman" w:cs="Times New Roman"/>
        </w:rPr>
        <w:t>，已获得入库认定的企业不重复认定。</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（五）为鼓励企业持续加大投入建设智能车间，</w:t>
      </w:r>
      <w:r>
        <w:rPr>
          <w:rFonts w:hint="default" w:ascii="Times New Roman" w:hAnsi="Times New Roman" w:cs="Times New Roman"/>
          <w:b/>
        </w:rPr>
        <w:t>智能车间采取项目制认定方式</w:t>
      </w:r>
      <w:r>
        <w:rPr>
          <w:rFonts w:hint="default" w:ascii="Times New Roman" w:hAnsi="Times New Roman" w:cs="Times New Roman"/>
        </w:rPr>
        <w:t>，企业可按照不同典型应用场景做好建设规划，分期分批申报智能车间。</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cs="Times New Roman"/>
        </w:rPr>
        <w:t>（六）原则上，上一年度获认定智能工厂的企业不得申报智能车间，且同一企业主体历年获得智能车间资助金额累计超过500万元不接受申报。入库企业若存在网络安全隐患，需在指定期限内排除相关隐患。</w:t>
      </w:r>
    </w:p>
    <w:p>
      <w:pPr>
        <w:keepNext w:val="0"/>
        <w:keepLines w:val="0"/>
        <w:pageBreakBefore w:val="0"/>
        <w:kinsoku/>
        <w:wordWrap/>
        <w:overflowPunct/>
        <w:topLinePunct w:val="0"/>
        <w:bidi w:val="0"/>
        <w:adjustRightInd/>
        <w:snapToGrid/>
        <w:spacing w:after="0" w:line="560" w:lineRule="exact"/>
        <w:ind w:left="0" w:leftChars="0" w:firstLine="640" w:firstLineChars="200"/>
        <w:jc w:val="both"/>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附件：1.智能工厂（车间）典型应用场景建设指引</w:t>
      </w:r>
    </w:p>
    <w:p>
      <w:pPr>
        <w:keepNext w:val="0"/>
        <w:keepLines w:val="0"/>
        <w:pageBreakBefore w:val="0"/>
        <w:kinsoku/>
        <w:wordWrap/>
        <w:overflowPunct/>
        <w:topLinePunct w:val="0"/>
        <w:bidi w:val="0"/>
        <w:adjustRightInd/>
        <w:snapToGrid/>
        <w:spacing w:after="0" w:line="560" w:lineRule="exact"/>
        <w:ind w:left="0" w:leftChars="0" w:firstLine="1600" w:firstLineChars="500"/>
        <w:textAlignment w:val="auto"/>
        <w:outlineLvl w:val="9"/>
        <w:rPr>
          <w:rFonts w:hint="default" w:ascii="Times New Roman" w:hAnsi="Times New Roman" w:cs="Times New Roman"/>
        </w:rPr>
      </w:pPr>
      <w:r>
        <w:rPr>
          <w:rFonts w:hint="default" w:ascii="Times New Roman" w:hAnsi="Times New Roman" w:cs="Times New Roman"/>
        </w:rPr>
        <w:t>2.项目入库申报书封面及目录</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3.项目申报表</w:t>
      </w:r>
    </w:p>
    <w:p>
      <w:pPr>
        <w:keepNext w:val="0"/>
        <w:keepLines w:val="0"/>
        <w:pageBreakBefore w:val="0"/>
        <w:kinsoku/>
        <w:wordWrap/>
        <w:overflowPunct/>
        <w:topLinePunct w:val="0"/>
        <w:bidi w:val="0"/>
        <w:adjustRightInd/>
        <w:snapToGrid/>
        <w:spacing w:after="0" w:line="560" w:lineRule="exact"/>
        <w:ind w:left="1760" w:leftChars="0" w:hanging="1760" w:hangingChars="550"/>
        <w:textAlignment w:val="auto"/>
        <w:outlineLvl w:val="9"/>
        <w:rPr>
          <w:rFonts w:hint="default" w:ascii="Times New Roman" w:hAnsi="Times New Roman" w:cs="Times New Roman"/>
        </w:rPr>
      </w:pPr>
      <w:r>
        <w:rPr>
          <w:rFonts w:hint="default" w:ascii="Times New Roman" w:hAnsi="Times New Roman" w:cs="Times New Roman"/>
        </w:rPr>
        <w:t xml:space="preserve">          4. 2025年东莞市工业和信息化局智能工厂（车间）项目投入明细表</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5.智能工厂（车间）项目实施情况表</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6.法定代表人授权委托书</w:t>
      </w:r>
    </w:p>
    <w:p>
      <w:pPr>
        <w:keepNext w:val="0"/>
        <w:keepLines w:val="0"/>
        <w:pageBreakBefore w:val="0"/>
        <w:kinsoku/>
        <w:wordWrap/>
        <w:overflowPunct/>
        <w:topLinePunct w:val="0"/>
        <w:bidi w:val="0"/>
        <w:adjustRightInd/>
        <w:snapToGrid/>
        <w:spacing w:after="0" w:line="560" w:lineRule="exact"/>
        <w:ind w:left="0" w:leftChars="0" w:firstLine="1600" w:firstLineChars="500"/>
        <w:textAlignment w:val="auto"/>
        <w:outlineLvl w:val="9"/>
        <w:rPr>
          <w:rFonts w:hint="default" w:ascii="Times New Roman" w:hAnsi="Times New Roman" w:cs="Times New Roman"/>
        </w:rPr>
      </w:pPr>
      <w:r>
        <w:rPr>
          <w:rFonts w:hint="default" w:ascii="Times New Roman" w:hAnsi="Times New Roman" w:cs="Times New Roman"/>
        </w:rPr>
        <w:t>7.电子发票等票据使用承诺书</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701" w:right="1587" w:bottom="1587" w:left="1587" w:header="851" w:footer="992" w:gutter="0"/>
          <w:pgNumType w:fmt="numberInDash"/>
          <w:cols w:space="425" w:num="1"/>
          <w:titlePg/>
          <w:docGrid w:type="lines" w:linePitch="435" w:charSpace="0"/>
        </w:sect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bCs/>
        </w:rPr>
        <w:sectPr>
          <w:headerReference r:id="rId13" w:type="first"/>
          <w:footerReference r:id="rId16" w:type="first"/>
          <w:headerReference r:id="rId11" w:type="default"/>
          <w:footerReference r:id="rId14" w:type="default"/>
          <w:headerReference r:id="rId12" w:type="even"/>
          <w:footerReference r:id="rId15" w:type="even"/>
          <w:type w:val="continuous"/>
          <w:pgSz w:w="11906" w:h="16838"/>
          <w:pgMar w:top="1440" w:right="1800" w:bottom="1440" w:left="1800" w:header="851" w:footer="992" w:gutter="0"/>
          <w:pgNumType w:fmt="numberInDash"/>
          <w:cols w:space="425" w:num="1"/>
          <w:titlePg/>
          <w:docGrid w:type="lines" w:linePitch="435" w:charSpace="0"/>
        </w:sectPr>
      </w:pPr>
    </w:p>
    <w:p>
      <w:pPr>
        <w:pStyle w:val="8"/>
        <w:keepNext w:val="0"/>
        <w:keepLines w:val="0"/>
        <w:pageBreakBefore w:val="0"/>
        <w:kinsoku/>
        <w:wordWrap/>
        <w:overflowPunct/>
        <w:topLinePunct w:val="0"/>
        <w:bidi w:val="0"/>
        <w:adjustRightInd/>
        <w:snapToGrid/>
        <w:spacing w:after="0" w:line="560" w:lineRule="exact"/>
        <w:ind w:left="0" w:leftChars="0"/>
        <w:textAlignment w:val="auto"/>
        <w:outlineLvl w:val="9"/>
        <w:rPr>
          <w:rFonts w:hint="default" w:ascii="Times New Roman" w:hAnsi="Times New Roman" w:cs="Times New Roman"/>
        </w:rPr>
      </w:pPr>
      <w:r>
        <w:rPr>
          <w:rFonts w:hint="default" w:ascii="Times New Roman" w:hAnsi="Times New Roman" w:cs="Times New Roman"/>
        </w:rPr>
        <w:t>附件1</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pStyle w:val="8"/>
        <w:keepNext w:val="0"/>
        <w:keepLines w:val="0"/>
        <w:pageBreakBefore w:val="0"/>
        <w:kinsoku/>
        <w:wordWrap/>
        <w:overflowPunct/>
        <w:topLinePunct w:val="0"/>
        <w:bidi w:val="0"/>
        <w:adjustRightInd/>
        <w:snapToGrid/>
        <w:spacing w:after="0" w:line="560" w:lineRule="exact"/>
        <w:ind w:left="0" w:leftChars="0"/>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智能工厂（车间）典型应用场景建设指引</w:t>
      </w:r>
    </w:p>
    <w:p>
      <w:pPr>
        <w:keepNext w:val="0"/>
        <w:keepLines w:val="0"/>
        <w:pageBreakBefore w:val="0"/>
        <w:kinsoku/>
        <w:wordWrap/>
        <w:overflowPunct/>
        <w:topLinePunct w:val="0"/>
        <w:bidi w:val="0"/>
        <w:adjustRightInd/>
        <w:snapToGrid/>
        <w:spacing w:after="0" w:line="560" w:lineRule="exact"/>
        <w:ind w:left="0" w:leftChars="0" w:firstLine="643"/>
        <w:textAlignment w:val="auto"/>
        <w:outlineLvl w:val="9"/>
        <w:rPr>
          <w:rFonts w:hint="default" w:ascii="Times New Roman" w:hAnsi="Times New Roman" w:eastAsia="楷体" w:cs="Times New Roman"/>
          <w:b/>
        </w:rPr>
      </w:pPr>
    </w:p>
    <w:p>
      <w:pPr>
        <w:pStyle w:val="26"/>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 w:val="0"/>
          <w:bCs/>
        </w:rPr>
      </w:pPr>
      <w:r>
        <w:rPr>
          <w:rFonts w:hint="default" w:ascii="Times New Roman" w:hAnsi="Times New Roman" w:eastAsia="黑体" w:cs="Times New Roman"/>
          <w:b w:val="0"/>
          <w:bCs/>
        </w:rPr>
        <w:t>一、工厂（车间）建设</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
        </w:rPr>
      </w:pPr>
      <w:r>
        <w:rPr>
          <w:rFonts w:hint="default" w:ascii="Times New Roman" w:hAnsi="Times New Roman" w:eastAsia="楷体_GB2312" w:cs="Times New Roman"/>
          <w:bCs/>
        </w:rPr>
        <w:t>1. 工厂（车间）数字化设计。</w:t>
      </w:r>
      <w:r>
        <w:rPr>
          <w:rFonts w:hint="default" w:ascii="Times New Roman" w:hAnsi="Times New Roman" w:cs="Times New Roman"/>
        </w:rPr>
        <w:t>应用三维设计与仿真软件，集成工厂（车间）信息模型、制造系统仿真、专家系统和AR/VR等技术，引入机器学习算法开展工厂（车间）规划、设计和仿真优化，实现数字化交付。</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
        </w:rPr>
      </w:pPr>
      <w:r>
        <w:rPr>
          <w:rFonts w:hint="default" w:ascii="Times New Roman" w:hAnsi="Times New Roman" w:eastAsia="楷体_GB2312" w:cs="Times New Roman"/>
          <w:bCs/>
        </w:rPr>
        <w:t>2. 数字基础设施集成。</w:t>
      </w:r>
      <w:r>
        <w:rPr>
          <w:rFonts w:hint="default" w:ascii="Times New Roman" w:hAnsi="Times New Roman" w:cs="Times New Roman"/>
        </w:rPr>
        <w:t>部署工业互联网、物联网、5G、千兆光网等新型网络基础设施，建设工业数据中心、智能计算中心、工业互联网平台以及网络、数据、功能等各类安全系统，完善支撑数字业务运行的信息基础设施。</w:t>
      </w:r>
    </w:p>
    <w:p>
      <w:pPr>
        <w:pStyle w:val="26"/>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Cs/>
        </w:rPr>
      </w:pPr>
      <w:r>
        <w:rPr>
          <w:rFonts w:hint="default" w:ascii="Times New Roman" w:hAnsi="Times New Roman" w:eastAsia="黑体" w:cs="Times New Roman"/>
          <w:bCs/>
        </w:rPr>
        <w:t>二、研发设计</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3. 产品数字化研发与设计。</w:t>
      </w:r>
      <w:r>
        <w:rPr>
          <w:rFonts w:hint="default" w:ascii="Times New Roman" w:hAnsi="Times New Roman" w:cs="Times New Roman"/>
        </w:rPr>
        <w:t>应用设计软件和知识模型库，基于复杂建模、物性表征与分析、AR/VR、数字孪生等技术，搭建数字化协同设计环境，融入深度学习技术，通过训练产品研发设计的深度学习模型，可自动生成符合设计规范和性能要求的产品初步方案。</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4. 工艺数字化设计。</w:t>
      </w:r>
      <w:r>
        <w:rPr>
          <w:rFonts w:hint="default" w:ascii="Times New Roman" w:hAnsi="Times New Roman" w:cs="Times New Roman"/>
        </w:rPr>
        <w:t xml:space="preserve">应用工艺仿真软件和工艺知识库，基于机理、物性表征和数据分析技术，建立加工、检测、装配、物流等工艺模型，引入强化学习算法，在工艺仿真环境中不断尝试调整工艺参数，模拟不同参数组合下的加工效果，精准预测加工缺陷并自动生成改进建议，进行工艺全过程仿真，实现工艺方案和参数的智能化优化。 </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5. 虚拟试验与调试。</w:t>
      </w:r>
      <w:r>
        <w:rPr>
          <w:rFonts w:hint="default" w:ascii="Times New Roman" w:hAnsi="Times New Roman" w:cs="Times New Roman"/>
        </w:rPr>
        <w:t>面向产品功能、性能、可靠性、寿命等方面，通过虚拟仿真开展试验、调试，缩短研发周期，降低研发成本，提高产品质量。</w:t>
      </w:r>
    </w:p>
    <w:p>
      <w:pPr>
        <w:pStyle w:val="26"/>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Cs/>
        </w:rPr>
      </w:pPr>
      <w:r>
        <w:rPr>
          <w:rFonts w:hint="default" w:ascii="Times New Roman" w:hAnsi="Times New Roman" w:eastAsia="黑体" w:cs="Times New Roman"/>
          <w:bCs/>
        </w:rPr>
        <w:t>三、生产作业</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6. 先进过程控制。</w:t>
      </w:r>
      <w:r>
        <w:rPr>
          <w:rFonts w:hint="default" w:ascii="Times New Roman" w:hAnsi="Times New Roman" w:cs="Times New Roman"/>
        </w:rPr>
        <w:t>部署智能制造装备，依托先进过程控制系统，融合工艺机理分析、多尺度物性表征和建模、实时优化和预测控制等技术，实现精准、实时和闭环的过程控制。</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7. 智能协同作业。</w:t>
      </w:r>
      <w:r>
        <w:rPr>
          <w:rFonts w:hint="default" w:ascii="Times New Roman" w:hAnsi="Times New Roman" w:cs="Times New Roman"/>
        </w:rPr>
        <w:t>部署智能制造装备，基于5G、TSN等新型网络技术或</w:t>
      </w:r>
      <w:r>
        <w:rPr>
          <w:rFonts w:hint="default" w:ascii="Times New Roman" w:hAnsi="Times New Roman" w:cs="Times New Roman"/>
          <w:color w:val="2C2C36"/>
          <w:spacing w:val="1"/>
          <w:shd w:val="clear" w:color="auto" w:fill="FFFFFF"/>
        </w:rPr>
        <w:t>通过多智能体强化学习算法优化设备协同策略</w:t>
      </w:r>
      <w:r>
        <w:rPr>
          <w:rFonts w:hint="default" w:ascii="Times New Roman" w:hAnsi="Times New Roman" w:cs="Times New Roman"/>
        </w:rPr>
        <w:t>建设生产现场设备控制系统，实现生产设备、物流装备、生产线等实时控制和高效协同作业。</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8. 智能在线检测。</w:t>
      </w:r>
      <w:r>
        <w:rPr>
          <w:rFonts w:hint="default" w:ascii="Times New Roman" w:hAnsi="Times New Roman" w:cs="Times New Roman"/>
        </w:rPr>
        <w:t>部署智能检测装备，融合5G、机器视觉、缺陷机理分析、物性和成分分析等技术，</w:t>
      </w:r>
      <w:r>
        <w:rPr>
          <w:rFonts w:hint="default" w:ascii="Times New Roman" w:hAnsi="Times New Roman" w:cs="Times New Roman"/>
          <w:color w:val="2C2C36"/>
          <w:spacing w:val="1"/>
          <w:shd w:val="clear" w:color="auto" w:fill="FFFFFF"/>
        </w:rPr>
        <w:t>采用深度学习模型，</w:t>
      </w:r>
      <w:r>
        <w:rPr>
          <w:rFonts w:hint="default" w:ascii="Times New Roman" w:hAnsi="Times New Roman" w:cs="Times New Roman"/>
        </w:rPr>
        <w:t>开展产品质量等在线检测、分析、评级、预测。</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9. 质量精准追溯。</w:t>
      </w:r>
      <w:r>
        <w:rPr>
          <w:rFonts w:hint="default" w:ascii="Times New Roman" w:hAnsi="Times New Roman" w:cs="Times New Roman"/>
        </w:rPr>
        <w:t>建设质量管理系统，集成5G、区块链、标识解析等技术，采集产品原料、设计、生产、使用等质量信息，实现产品全生命周期质量精准追溯。</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
        </w:rPr>
      </w:pPr>
      <w:r>
        <w:rPr>
          <w:rFonts w:hint="default" w:ascii="Times New Roman" w:hAnsi="Times New Roman" w:eastAsia="楷体_GB2312" w:cs="Times New Roman"/>
          <w:bCs/>
        </w:rPr>
        <w:t>10. 在线运行监测。</w:t>
      </w:r>
      <w:r>
        <w:rPr>
          <w:rFonts w:hint="default" w:ascii="Times New Roman" w:hAnsi="Times New Roman" w:cs="Times New Roman"/>
          <w:bCs/>
        </w:rPr>
        <w:t>结合数字孪生模型与AI算法，</w:t>
      </w:r>
      <w:r>
        <w:rPr>
          <w:rFonts w:hint="default" w:ascii="Times New Roman" w:hAnsi="Times New Roman" w:cs="Times New Roman"/>
        </w:rPr>
        <w:t>集成智能传感、5G、机器视觉、故障检测等技术，通过自动巡检、在线运行监测等方式，判定设备运行状态，开展性能分析和异常报警，提高控制效率。</w:t>
      </w:r>
    </w:p>
    <w:p>
      <w:pPr>
        <w:pStyle w:val="26"/>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Cs/>
        </w:rPr>
      </w:pPr>
      <w:r>
        <w:rPr>
          <w:rFonts w:hint="default" w:ascii="Times New Roman" w:hAnsi="Times New Roman" w:eastAsia="黑体" w:cs="Times New Roman"/>
          <w:bCs/>
        </w:rPr>
        <w:t>四、生产管理</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11. 生产计划优化。</w:t>
      </w:r>
      <w:r>
        <w:rPr>
          <w:rFonts w:hint="default" w:ascii="Times New Roman" w:hAnsi="Times New Roman" w:cs="Times New Roman"/>
        </w:rPr>
        <w:t>构建企业资源管理系统，应用约束理论、寻优算法和专家系统等技术，引入AI 需求预测与计划优化模型，实现基于采购提前期、安全库存和市场需求的生产计划优化。</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12. 车间智能排产。</w:t>
      </w:r>
      <w:r>
        <w:rPr>
          <w:rFonts w:hint="default" w:ascii="Times New Roman" w:hAnsi="Times New Roman" w:cs="Times New Roman"/>
        </w:rPr>
        <w:t>应用计划排程系统，集成调度机理建模、寻优算法等技术，实现基于多约束和动态扰动条件下的车间排产优化。</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
        </w:rPr>
      </w:pPr>
      <w:r>
        <w:rPr>
          <w:rFonts w:hint="default" w:ascii="Times New Roman" w:hAnsi="Times New Roman" w:eastAsia="楷体_GB2312" w:cs="Times New Roman"/>
          <w:bCs/>
        </w:rPr>
        <w:t>13. 资源动态配置。</w:t>
      </w:r>
      <w:r>
        <w:rPr>
          <w:rFonts w:hint="default" w:ascii="Times New Roman" w:hAnsi="Times New Roman" w:cs="Times New Roman"/>
        </w:rPr>
        <w:t>依托制造执行系统，集成大数据、运筹优化、专家系统等技术，开展基于资源匹配、绩效优化的精准派工，实现人力、设备、物料等制造资源的动态配置。</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14. 设备运行优化。</w:t>
      </w:r>
      <w:r>
        <w:rPr>
          <w:rFonts w:hint="default" w:ascii="Times New Roman" w:hAnsi="Times New Roman" w:cs="Times New Roman"/>
        </w:rPr>
        <w:t>建设设备健康管理系统，基于模型对设备运行状态、工作环境等进行综合分析，调整优化设备运行参数，提高产量，降低能耗，延长设备使用寿命。</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15. 智能仓储。</w:t>
      </w:r>
      <w:r>
        <w:rPr>
          <w:rFonts w:hint="default" w:ascii="Times New Roman" w:hAnsi="Times New Roman" w:cs="Times New Roman"/>
        </w:rPr>
        <w:t>建设智能仓储系统，应用条码、射频识别、智能传感等技术，依据实际生产作业计划，实现物料自动入库（进厂）、盘库和出库（出厂）。</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16. 精准配送。</w:t>
      </w:r>
      <w:r>
        <w:rPr>
          <w:rFonts w:hint="default" w:ascii="Times New Roman" w:hAnsi="Times New Roman" w:cs="Times New Roman"/>
        </w:rPr>
        <w:t>集成智能仓储系统和智能物流装备，应用实时定位、机器学习等技术，引入AI 物流路径优化与调度模型，实现原材料、在制品、产成品流转全程跟踪，以及物流动态调度、自动配送和路径优化。</w:t>
      </w:r>
    </w:p>
    <w:p>
      <w:pPr>
        <w:pStyle w:val="26"/>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bCs/>
        </w:rPr>
      </w:pPr>
      <w:r>
        <w:rPr>
          <w:rFonts w:hint="default" w:ascii="Times New Roman" w:hAnsi="Times New Roman" w:eastAsia="黑体" w:cs="Times New Roman"/>
          <w:bCs/>
        </w:rPr>
        <w:t>五、运营管理</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17. 主动客户服务。</w:t>
      </w:r>
      <w:r>
        <w:rPr>
          <w:rFonts w:hint="default" w:ascii="Times New Roman" w:hAnsi="Times New Roman" w:cs="Times New Roman"/>
        </w:rPr>
        <w:t>建设客户关系管理系统，集成大数据、知识图谱和自然语言处理等技术，实现客户需求分析、精细化管理，提供主动式客户服务。</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18. 物流实时监测与优化。</w:t>
      </w:r>
      <w:r>
        <w:rPr>
          <w:rFonts w:hint="default" w:ascii="Times New Roman" w:hAnsi="Times New Roman" w:cs="Times New Roman"/>
        </w:rPr>
        <w:t>依托运输管理系统，应用智能传感、物联网、实时定位和深度学习等技术，实现运输配送全程跟踪和异常预警、装载能力和配送路径优化。</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Cs/>
        </w:rPr>
        <w:t>19. 人工智能应用。</w:t>
      </w:r>
      <w:r>
        <w:rPr>
          <w:rFonts w:hint="default" w:ascii="Times New Roman" w:hAnsi="Times New Roman" w:cs="Times New Roman"/>
        </w:rPr>
        <w:t>部署人工智能平台，融合机器学习、深度学习、自然语言处理等技术，利用海量生产数据进行模型训练与优化。通过对生产过程、设备状态、质量检测等多源数据的智能分析，实现生产异常的自动诊断与预测性维护，辅助工艺参数的智能调整与优化，提升生产效率、产品质量以及设备运行稳定性，为智能工厂（车间）的高效运作提供智能化决策支持。</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198" w:firstLineChars="62"/>
        <w:textAlignment w:val="auto"/>
        <w:outlineLvl w:val="9"/>
        <w:rPr>
          <w:rFonts w:hint="default" w:ascii="Times New Roman" w:hAnsi="Times New Roman" w:cs="Times New Roman"/>
        </w:rPr>
      </w:pPr>
    </w:p>
    <w:p>
      <w:pPr>
        <w:keepNext w:val="0"/>
        <w:keepLines w:val="0"/>
        <w:pageBreakBefore w:val="0"/>
        <w:tabs>
          <w:tab w:val="left" w:pos="2295"/>
        </w:tabs>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sectPr>
          <w:pgSz w:w="11906" w:h="16838"/>
          <w:pgMar w:top="1440" w:right="1800" w:bottom="1440" w:left="1800" w:header="851" w:footer="992" w:gutter="0"/>
          <w:pgNumType w:fmt="numberInDash"/>
          <w:cols w:space="425" w:num="1"/>
          <w:titlePg/>
          <w:docGrid w:type="lines" w:linePitch="435" w:charSpace="0"/>
        </w:sectPr>
      </w:pPr>
    </w:p>
    <w:p>
      <w:pPr>
        <w:keepNext w:val="0"/>
        <w:keepLines w:val="0"/>
        <w:pageBreakBefore w:val="0"/>
        <w:kinsoku/>
        <w:wordWrap/>
        <w:overflowPunct/>
        <w:topLinePunct w:val="0"/>
        <w:bidi w:val="0"/>
        <w:adjustRightInd/>
        <w:snapToGrid/>
        <w:spacing w:line="560" w:lineRule="exact"/>
        <w:ind w:left="0" w:leftChars="0" w:firstLine="56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8"/>
        <w:keepNext w:val="0"/>
        <w:keepLines w:val="0"/>
        <w:pageBreakBefore w:val="0"/>
        <w:kinsoku/>
        <w:wordWrap/>
        <w:overflowPunct/>
        <w:topLinePunct w:val="0"/>
        <w:bidi w:val="0"/>
        <w:adjustRightInd/>
        <w:snapToGrid/>
        <w:spacing w:after="0" w:line="560" w:lineRule="exact"/>
        <w:ind w:left="0" w:leftChars="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附件2</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华康简标题宋" w:cs="Times New Roman"/>
          <w:b/>
          <w:spacing w:val="-20"/>
          <w:sz w:val="44"/>
          <w:szCs w:val="44"/>
        </w:rPr>
      </w:pP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2025年东莞市工业和信息化产业发展专项</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资金智能工厂（车间）项目入库申报书</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楷体_GB2312" w:cs="Times New Roman"/>
          <w:bCs/>
          <w:spacing w:val="30"/>
          <w:szCs w:val="32"/>
        </w:rPr>
      </w:pPr>
      <w:r>
        <w:rPr>
          <w:rFonts w:hint="default" w:ascii="Times New Roman" w:hAnsi="Times New Roman" w:eastAsia="楷体_GB2312" w:cs="Times New Roman"/>
          <w:bCs/>
          <w:spacing w:val="30"/>
          <w:szCs w:val="32"/>
        </w:rPr>
        <w:t>（封面）</w:t>
      </w:r>
    </w:p>
    <w:p>
      <w:pPr>
        <w:keepNext w:val="0"/>
        <w:keepLines w:val="0"/>
        <w:pageBreakBefore w:val="0"/>
        <w:kinsoku/>
        <w:wordWrap/>
        <w:overflowPunct/>
        <w:topLinePunct w:val="0"/>
        <w:bidi w:val="0"/>
        <w:adjustRightInd/>
        <w:snapToGrid/>
        <w:spacing w:after="0" w:line="560" w:lineRule="exact"/>
        <w:ind w:left="0" w:leftChars="0" w:firstLine="1003"/>
        <w:jc w:val="center"/>
        <w:textAlignment w:val="auto"/>
        <w:outlineLvl w:val="9"/>
        <w:rPr>
          <w:rFonts w:hint="default" w:ascii="Times New Roman" w:hAnsi="Times New Roman" w:cs="Times New Roman"/>
          <w:b/>
          <w:bCs/>
          <w:spacing w:val="30"/>
          <w:sz w:val="44"/>
          <w:szCs w:val="44"/>
        </w:rPr>
      </w:pPr>
    </w:p>
    <w:p>
      <w:pPr>
        <w:keepNext w:val="0"/>
        <w:keepLines w:val="0"/>
        <w:pageBreakBefore w:val="0"/>
        <w:kinsoku/>
        <w:wordWrap/>
        <w:overflowPunct/>
        <w:topLinePunct w:val="0"/>
        <w:bidi w:val="0"/>
        <w:adjustRightInd/>
        <w:snapToGrid/>
        <w:spacing w:after="0" w:line="560" w:lineRule="exact"/>
        <w:ind w:left="0" w:leftChars="0" w:firstLine="1080" w:firstLineChars="450"/>
        <w:jc w:val="left"/>
        <w:textAlignment w:val="auto"/>
        <w:outlineLvl w:val="9"/>
        <w:rPr>
          <w:rFonts w:hint="default" w:ascii="Times New Roman" w:hAnsi="Times New Roman" w:cs="Times New Roman"/>
          <w:sz w:val="24"/>
          <w:szCs w:val="24"/>
        </w:rPr>
      </w:pPr>
    </w:p>
    <w:p>
      <w:pPr>
        <w:keepNext w:val="0"/>
        <w:keepLines w:val="0"/>
        <w:pageBreakBefore w:val="0"/>
        <w:kinsoku/>
        <w:wordWrap/>
        <w:overflowPunct/>
        <w:topLinePunct w:val="0"/>
        <w:bidi w:val="0"/>
        <w:adjustRightInd/>
        <w:snapToGrid/>
        <w:spacing w:after="0" w:line="560" w:lineRule="exact"/>
        <w:ind w:left="0" w:leftChars="0" w:firstLine="1080" w:firstLineChars="450"/>
        <w:jc w:val="left"/>
        <w:textAlignment w:val="auto"/>
        <w:outlineLvl w:val="9"/>
        <w:rPr>
          <w:rFonts w:hint="default" w:ascii="Times New Roman" w:hAnsi="Times New Roman" w:cs="Times New Roman"/>
          <w:sz w:val="24"/>
          <w:szCs w:val="24"/>
        </w:rPr>
      </w:pP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u w:val="thick"/>
        </w:rPr>
      </w:pPr>
      <w:r>
        <w:rPr>
          <w:rFonts w:hint="default" w:ascii="Times New Roman" w:hAnsi="Times New Roman" w:cs="Times New Roman"/>
          <w:szCs w:val="32"/>
        </w:rPr>
        <w:t>项目名称：</w:t>
      </w:r>
      <w:r>
        <w:rPr>
          <w:rFonts w:hint="default" w:ascii="Times New Roman" w:hAnsi="Times New Roman" w:cs="Times New Roman"/>
          <w:szCs w:val="32"/>
          <w:u w:val="thick"/>
        </w:rPr>
        <w:t xml:space="preserve">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u w:val="thick"/>
        </w:rPr>
      </w:pPr>
      <w:r>
        <w:rPr>
          <w:rFonts w:hint="default" w:ascii="Times New Roman" w:hAnsi="Times New Roman" w:cs="Times New Roman"/>
          <w:szCs w:val="32"/>
        </w:rPr>
        <w:t>项目申报单位：</w:t>
      </w:r>
      <w:r>
        <w:rPr>
          <w:rFonts w:hint="default" w:ascii="Times New Roman" w:hAnsi="Times New Roman" w:cs="Times New Roman"/>
          <w:szCs w:val="32"/>
          <w:u w:val="thick"/>
        </w:rPr>
        <w:t xml:space="preserve">（盖章）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项目申报单位所属镇街：</w:t>
      </w:r>
      <w:r>
        <w:rPr>
          <w:rFonts w:hint="default" w:ascii="Times New Roman" w:hAnsi="Times New Roman" w:cs="Times New Roman"/>
          <w:szCs w:val="32"/>
          <w:u w:val="thick"/>
        </w:rPr>
        <w:t xml:space="preserve">                          </w:t>
      </w:r>
      <w:r>
        <w:rPr>
          <w:rFonts w:hint="default" w:ascii="Times New Roman" w:hAnsi="Times New Roman" w:cs="Times New Roman"/>
          <w:szCs w:val="32"/>
        </w:rPr>
        <w:t xml:space="preserve">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项目实施地址：</w:t>
      </w:r>
      <w:r>
        <w:rPr>
          <w:rFonts w:hint="default" w:ascii="Times New Roman" w:hAnsi="Times New Roman" w:cs="Times New Roman"/>
          <w:szCs w:val="32"/>
          <w:u w:val="thick"/>
        </w:rPr>
        <w:t xml:space="preserve">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u w:val="thick"/>
        </w:rPr>
      </w:pPr>
      <w:r>
        <w:rPr>
          <w:rFonts w:hint="default" w:ascii="Times New Roman" w:hAnsi="Times New Roman" w:cs="Times New Roman"/>
          <w:szCs w:val="32"/>
        </w:rPr>
        <w:t>项目联系人：</w:t>
      </w:r>
      <w:r>
        <w:rPr>
          <w:rFonts w:hint="default" w:ascii="Times New Roman" w:hAnsi="Times New Roman" w:cs="Times New Roman"/>
          <w:szCs w:val="32"/>
          <w:u w:val="thick"/>
        </w:rPr>
        <w:t xml:space="preserve">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cs="Times New Roman"/>
          <w:szCs w:val="32"/>
          <w:u w:val="thick"/>
        </w:rPr>
      </w:pPr>
      <w:r>
        <w:rPr>
          <w:rFonts w:hint="default" w:ascii="Times New Roman" w:hAnsi="Times New Roman" w:cs="Times New Roman"/>
          <w:szCs w:val="32"/>
        </w:rPr>
        <w:t>联系方式：</w:t>
      </w:r>
      <w:r>
        <w:rPr>
          <w:rFonts w:hint="default" w:ascii="Times New Roman" w:hAnsi="Times New Roman" w:cs="Times New Roman"/>
          <w:szCs w:val="32"/>
          <w:u w:val="thick"/>
        </w:rPr>
        <w:t xml:space="preserve">                                      </w:t>
      </w:r>
    </w:p>
    <w:p>
      <w:pPr>
        <w:keepNext w:val="0"/>
        <w:keepLines w:val="0"/>
        <w:pageBreakBefore w:val="0"/>
        <w:widowControl/>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eastAsiaTheme="minorEastAsia"/>
          <w:b/>
          <w:color w:val="000000"/>
          <w:kern w:val="0"/>
          <w:szCs w:val="32"/>
        </w:rPr>
      </w:pPr>
    </w:p>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eastAsiaTheme="minorEastAsia"/>
          <w:b/>
          <w:color w:val="000000"/>
          <w:kern w:val="0"/>
          <w:szCs w:val="32"/>
        </w:rPr>
      </w:pPr>
      <w:r>
        <w:rPr>
          <w:rFonts w:hint="default" w:ascii="Times New Roman" w:hAnsi="Times New Roman" w:cs="Times New Roman" w:eastAsiaTheme="minorEastAsia"/>
          <w:b/>
          <w:color w:val="000000"/>
          <w:kern w:val="0"/>
          <w:szCs w:val="32"/>
        </w:rPr>
        <w:t>二〇二五年X月</w:t>
      </w:r>
    </w:p>
    <w:p>
      <w:pPr>
        <w:keepNext w:val="0"/>
        <w:keepLines w:val="0"/>
        <w:pageBreakBefore w:val="0"/>
        <w:kinsoku/>
        <w:wordWrap/>
        <w:overflowPunct/>
        <w:topLinePunct w:val="0"/>
        <w:bidi w:val="0"/>
        <w:adjustRightInd/>
        <w:snapToGrid/>
        <w:spacing w:line="560" w:lineRule="exact"/>
        <w:ind w:left="0" w:leftChars="0" w:firstLine="880"/>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br w:type="page"/>
      </w:r>
    </w:p>
    <w:p>
      <w:pPr>
        <w:pStyle w:val="8"/>
        <w:keepNext w:val="0"/>
        <w:keepLines w:val="0"/>
        <w:pageBreakBefore w:val="0"/>
        <w:kinsoku/>
        <w:wordWrap/>
        <w:overflowPunct/>
        <w:topLinePunct w:val="0"/>
        <w:bidi w:val="0"/>
        <w:adjustRightInd/>
        <w:snapToGrid/>
        <w:spacing w:after="0" w:line="560" w:lineRule="exact"/>
        <w:ind w:left="0" w:leftChars="0"/>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目录</w:t>
      </w:r>
    </w:p>
    <w:p>
      <w:pPr>
        <w:pStyle w:val="8"/>
        <w:keepNext w:val="0"/>
        <w:keepLines w:val="0"/>
        <w:pageBreakBefore w:val="0"/>
        <w:kinsoku/>
        <w:wordWrap/>
        <w:overflowPunct/>
        <w:topLinePunct w:val="0"/>
        <w:bidi w:val="0"/>
        <w:adjustRightInd/>
        <w:snapToGrid/>
        <w:spacing w:after="0" w:line="560" w:lineRule="exact"/>
        <w:ind w:left="0" w:leftChars="0"/>
        <w:jc w:val="center"/>
        <w:textAlignment w:val="auto"/>
        <w:outlineLvl w:val="9"/>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（仅供参考）</w:t>
      </w:r>
    </w:p>
    <w:p>
      <w:pPr>
        <w:keepNext w:val="0"/>
        <w:keepLines w:val="0"/>
        <w:pageBreakBefore w:val="0"/>
        <w:kinsoku/>
        <w:wordWrap/>
        <w:overflowPunct/>
        <w:topLinePunct w:val="0"/>
        <w:bidi w:val="0"/>
        <w:adjustRightInd/>
        <w:snapToGrid/>
        <w:spacing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一、申报表………………………………………………..页码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二、项目完工确认材料</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1.XX的验收报告………………………………………....页码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2. XX的验收报告………………………………………...页码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三、项目投入明细表……………………………………..页码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四、企业营业执照复印件………………………………..页码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五、法人代表身份证复印件……………………………..页码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六、银行开户许可证复印件……………………………..页码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七、财务审计报告（或税审报告）</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1.2023年财务审计报告（或税审报告）………………..页码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2.2024年财务审计报告（或税审报告）………………..页码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八、资产负债表……………………….………………….页码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九、利润表……………………………….……………….页码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十、现金流量表…………………………………………..页码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szCs w:val="32"/>
        </w:rPr>
        <w:t>十一、申报单位信用情况等截图</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szCs w:val="32"/>
        </w:rPr>
        <w:t>十二、</w:t>
      </w:r>
      <w:r>
        <w:rPr>
          <w:rFonts w:hint="default" w:ascii="Times New Roman" w:hAnsi="Times New Roman" w:cs="Times New Roman"/>
        </w:rPr>
        <w:t>与项目投入明细表对应的合同、发票（报关单）、银行付款凭证（银行承兑汇票）以及会计凭证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1.XX服务器合同…………………………………………页码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发票………………………………………………..….…...页码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银行付款凭证（银行承兑汇票）……………….......……页码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会计凭证………………………………………………..….页码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2.XX软件销售合同………………………………………..页码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发票………………………………………………..…..........页码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银行付款凭证（银行承兑汇票）……………………........页码</w:t>
      </w:r>
    </w:p>
    <w:p>
      <w:pPr>
        <w:pStyle w:val="26"/>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会计凭证……………………………………..…..................页码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rPr>
        <w:t>十三、近三年</w:t>
      </w:r>
      <w:r>
        <w:rPr>
          <w:rFonts w:hint="default" w:ascii="Times New Roman" w:hAnsi="Times New Roman" w:cs="Times New Roman"/>
          <w:szCs w:val="32"/>
        </w:rPr>
        <w:t>获得国家工信部、省工信厅和市工信局支持项目情况说明</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szCs w:val="32"/>
        </w:rPr>
        <w:t>1.XX扶持</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szCs w:val="32"/>
        </w:rPr>
        <w:t>2.XX扶持</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rPr>
        <w:t>十四、</w:t>
      </w:r>
      <w:r>
        <w:rPr>
          <w:rFonts w:hint="default" w:ascii="Times New Roman" w:hAnsi="Times New Roman" w:cs="Times New Roman"/>
          <w:szCs w:val="32"/>
        </w:rPr>
        <w:t>近三年参加数字化转型评估和获得相关体系认证情况</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szCs w:val="32"/>
        </w:rPr>
        <w:t>1.XX…….</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szCs w:val="32"/>
        </w:rPr>
        <w:t>十五、</w:t>
      </w:r>
      <w:r>
        <w:rPr>
          <w:rFonts w:hint="default" w:ascii="Times New Roman" w:hAnsi="Times New Roman" w:cs="Times New Roman"/>
          <w:lang w:bidi="ar"/>
        </w:rPr>
        <w:t>全国工业互联网安全分类分级管理平台定级和信息登记的截图</w:t>
      </w:r>
      <w:r>
        <w:rPr>
          <w:rFonts w:hint="default" w:ascii="Times New Roman" w:hAnsi="Times New Roman" w:cs="Times New Roman"/>
          <w:szCs w:val="32"/>
        </w:rPr>
        <w:t>.</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rPr>
        <w:t>十六、</w:t>
      </w:r>
      <w:r>
        <w:rPr>
          <w:rFonts w:hint="default" w:ascii="Times New Roman" w:hAnsi="Times New Roman" w:cs="Times New Roman"/>
          <w:lang w:bidi="ar"/>
        </w:rPr>
        <w:t>第三方机构出具的企业</w:t>
      </w:r>
      <w:r>
        <w:rPr>
          <w:rFonts w:hint="default" w:ascii="Times New Roman" w:hAnsi="Times New Roman" w:cs="Times New Roman"/>
        </w:rPr>
        <w:t>未发生重大网络安全事故的</w:t>
      </w:r>
      <w:r>
        <w:rPr>
          <w:rFonts w:hint="default" w:ascii="Times New Roman" w:hAnsi="Times New Roman" w:cs="Times New Roman"/>
          <w:lang w:bidi="ar"/>
        </w:rPr>
        <w:t>检测报告</w:t>
      </w:r>
      <w:r>
        <w:rPr>
          <w:rFonts w:hint="default" w:ascii="Times New Roman" w:hAnsi="Times New Roman" w:cs="Times New Roman"/>
          <w:szCs w:val="32"/>
        </w:rPr>
        <w:t>.</w:t>
      </w:r>
      <w:r>
        <w:rPr>
          <w:rFonts w:hint="default" w:ascii="Times New Roman" w:hAnsi="Times New Roman" w:cs="Times New Roman"/>
        </w:rPr>
        <w:t>……………….……………………………............…..页码</w:t>
      </w:r>
    </w:p>
    <w:p>
      <w:pPr>
        <w:pStyle w:val="8"/>
        <w:keepNext w:val="0"/>
        <w:keepLines w:val="0"/>
        <w:pageBreakBefore w:val="0"/>
        <w:kinsoku/>
        <w:wordWrap/>
        <w:overflowPunct/>
        <w:topLinePunct w:val="0"/>
        <w:bidi w:val="0"/>
        <w:adjustRightInd/>
        <w:snapToGrid/>
        <w:spacing w:after="0" w:line="560" w:lineRule="exact"/>
        <w:ind w:left="0" w:leftChars="0"/>
        <w:jc w:val="both"/>
        <w:textAlignment w:val="auto"/>
        <w:outlineLvl w:val="9"/>
        <w:rPr>
          <w:rFonts w:hint="default" w:ascii="Times New Roman" w:hAnsi="Times New Roman" w:eastAsia="仿宋_GB2312" w:cs="Times New Roman"/>
          <w:bCs w:val="0"/>
          <w:kern w:val="2"/>
          <w:szCs w:val="22"/>
        </w:rPr>
      </w:pPr>
      <w:r>
        <w:rPr>
          <w:rFonts w:hint="default" w:ascii="Times New Roman" w:hAnsi="Times New Roman" w:eastAsia="仿宋_GB2312" w:cs="Times New Roman"/>
          <w:bCs w:val="0"/>
          <w:kern w:val="2"/>
          <w:szCs w:val="22"/>
        </w:rPr>
        <w:t>十七、与项目相关的其它证明材料</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szCs w:val="32"/>
        </w:rPr>
        <w:t>1.XX…….</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szCs w:val="32"/>
        </w:rPr>
        <w:t>2.XX…….</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line="560" w:lineRule="exact"/>
        <w:ind w:left="0" w:leftChars="0" w:firstLine="0" w:firstLineChars="0"/>
        <w:textAlignment w:val="auto"/>
        <w:outlineLvl w:val="9"/>
        <w:rPr>
          <w:rFonts w:hint="default" w:ascii="Times New Roman" w:hAnsi="Times New Roman" w:cs="Times New Roman"/>
        </w:rPr>
      </w:pPr>
      <w:r>
        <w:rPr>
          <w:rFonts w:hint="default" w:ascii="Times New Roman" w:hAnsi="Times New Roman" w:cs="Times New Roman"/>
        </w:rPr>
        <w:t>十八、智能</w:t>
      </w:r>
      <w:r>
        <w:rPr>
          <w:rFonts w:hint="default" w:ascii="Times New Roman" w:hAnsi="Times New Roman" w:cs="Times New Roman"/>
          <w:u w:val="single"/>
        </w:rPr>
        <w:t xml:space="preserve">    </w:t>
      </w:r>
      <w:r>
        <w:rPr>
          <w:rFonts w:hint="default" w:ascii="Times New Roman" w:hAnsi="Times New Roman" w:cs="Times New Roman"/>
        </w:rPr>
        <w:t>项目实施情况表及佐证材料</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szCs w:val="32"/>
        </w:rPr>
      </w:pPr>
      <w:r>
        <w:rPr>
          <w:rFonts w:hint="default" w:ascii="Times New Roman" w:hAnsi="Times New Roman" w:cs="Times New Roman"/>
          <w:szCs w:val="32"/>
        </w:rPr>
        <w:t>1.XX…….</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黑体" w:cs="Times New Roman"/>
        </w:rPr>
        <w:sectPr>
          <w:type w:val="continuous"/>
          <w:pgSz w:w="11906" w:h="16838"/>
          <w:pgMar w:top="1701" w:right="1587" w:bottom="1587" w:left="1587" w:header="567" w:footer="992" w:gutter="0"/>
          <w:pgNumType w:fmt="numberInDash"/>
          <w:cols w:space="425" w:num="1"/>
          <w:titlePg/>
          <w:docGrid w:type="lines" w:linePitch="435" w:charSpace="0"/>
        </w:sectPr>
      </w:pPr>
      <w:r>
        <w:rPr>
          <w:rFonts w:hint="default" w:ascii="Times New Roman" w:hAnsi="Times New Roman" w:cs="Times New Roman"/>
          <w:szCs w:val="32"/>
        </w:rPr>
        <w:t>2.XX…….</w:t>
      </w:r>
      <w:r>
        <w:rPr>
          <w:rFonts w:hint="default" w:ascii="Times New Roman" w:hAnsi="Times New Roman" w:cs="Times New Roman"/>
        </w:rPr>
        <w:t>…………………………………………….….....页码</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黑体" w:cs="Times New Roman"/>
        </w:rPr>
      </w:pPr>
      <w:r>
        <w:rPr>
          <w:rFonts w:hint="default" w:ascii="Times New Roman" w:hAnsi="Times New Roman" w:eastAsia="黑体" w:cs="Times New Roman"/>
        </w:rPr>
        <w:t>附件3</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黑体" w:cs="Times New Roman"/>
        </w:rPr>
      </w:pP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项目申报表</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楷体" w:cs="Times New Roman"/>
          <w:color w:val="000000"/>
          <w:sz w:val="28"/>
          <w:szCs w:val="44"/>
        </w:rPr>
      </w:pPr>
      <w:r>
        <w:rPr>
          <w:rFonts w:hint="default" w:ascii="Times New Roman" w:hAnsi="Times New Roman" w:eastAsia="楷体" w:cs="Times New Roman"/>
          <w:color w:val="000000"/>
          <w:sz w:val="28"/>
          <w:szCs w:val="44"/>
        </w:rPr>
        <w:t>（在申报平台填写）</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731"/>
        <w:gridCol w:w="1682"/>
        <w:gridCol w:w="97"/>
        <w:gridCol w:w="2131"/>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企业名称：</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黑体" w:cs="Times New Roman"/>
                <w:b/>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所属镇街：</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黑体" w:cs="Times New Roman"/>
                <w:b/>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项目名称：</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黑体" w:cs="Times New Roman"/>
                <w:b/>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项目实施地址：</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黑体" w:cs="Times New Roman"/>
                <w:b/>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项目类别：</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申报智能工厂项目 （默认显示，二选一）</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申报智能车间项目 （默认显示，二选一）</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智能制造方向（默认不显示，只有选择“申报智能车间项目”后才显示该选项）</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工业互联网方向（默认不显示，只有选择“申报智能车间项目”后才显示该选项）</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黑体" w:cs="Times New Roman"/>
                <w:kern w:val="0"/>
                <w:sz w:val="24"/>
                <w:szCs w:val="24"/>
              </w:rPr>
            </w:pPr>
            <w:r>
              <w:rPr>
                <w:rFonts w:hint="default" w:ascii="Times New Roman" w:hAnsi="Times New Roman" w:eastAsia="宋体" w:cs="Times New Roman"/>
                <w:kern w:val="0"/>
                <w:sz w:val="24"/>
                <w:szCs w:val="24"/>
              </w:rPr>
              <w:t>（以上智能车间项目的两个方向，至少选择一项、可多选）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项目实现场景：</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工厂（车间）数字化设计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数字基础设施集成</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产品数字化研发与设计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工艺数字化设计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虚拟试验与调试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先进过程控制</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智能协同作业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智能在线检测</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质量精准追溯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在线运行监测</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生产计划优化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车间智能排产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资源动态配置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设备运行优化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智能仓储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精准配送    </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 xml:space="preserve">主动客户服务              </w:t>
            </w: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物流实时监测与优化</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sym w:font="Wingdings 2" w:char="00A3"/>
            </w:r>
            <w:r>
              <w:rPr>
                <w:rFonts w:hint="default" w:ascii="Times New Roman" w:hAnsi="Times New Roman" w:eastAsia="宋体" w:cs="Times New Roman"/>
                <w:kern w:val="0"/>
                <w:sz w:val="24"/>
                <w:szCs w:val="24"/>
              </w:rPr>
              <w:t>人工智能应用</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w:t>
            </w:r>
          </w:p>
          <w:p>
            <w:pPr>
              <w:keepNext w:val="0"/>
              <w:keepLines w:val="0"/>
              <w:pageBreakBefore w:val="0"/>
              <w:kinsoku/>
              <w:wordWrap/>
              <w:overflowPunct/>
              <w:topLinePunct w:val="0"/>
              <w:bidi w:val="0"/>
              <w:adjustRightInd/>
              <w:snapToGrid/>
              <w:spacing w:after="0" w:line="560" w:lineRule="exact"/>
              <w:ind w:left="630" w:leftChars="0" w:hanging="630" w:hangingChars="300"/>
              <w:jc w:val="left"/>
              <w:textAlignment w:val="auto"/>
              <w:outlineLvl w:val="9"/>
              <w:rPr>
                <w:rFonts w:hint="default" w:ascii="Times New Roman" w:hAnsi="Times New Roman" w:cs="Times New Roman" w:eastAsiaTheme="minorEastAsia"/>
                <w:kern w:val="0"/>
                <w:sz w:val="18"/>
                <w:szCs w:val="18"/>
                <w:highlight w:val="yellow"/>
              </w:rPr>
            </w:pPr>
            <w:r>
              <w:rPr>
                <w:rFonts w:hint="default" w:ascii="Times New Roman" w:hAnsi="Times New Roman" w:cs="Times New Roman" w:eastAsiaTheme="minorEastAsia"/>
                <w:kern w:val="0"/>
                <w:sz w:val="21"/>
                <w:szCs w:val="21"/>
              </w:rPr>
              <w:t>备注：本项至少选择一项，可多选。项目典型应用场景建设指引详见《申报指南》附件1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行业分组：</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 xml:space="preserve">电子信息制造业    </w:t>
            </w: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 xml:space="preserve">装备制造业  </w:t>
            </w: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食品饮料加工制造业</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themeColor="text1"/>
                <w:kern w:val="0"/>
                <w:sz w:val="18"/>
                <w:szCs w:val="18"/>
                <w14:textFill>
                  <w14:solidFill>
                    <w14:schemeClr w14:val="tx1"/>
                  </w14:solidFill>
                </w14:textFill>
              </w:rPr>
            </w:pP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 xml:space="preserve">服装纺织制造业    </w:t>
            </w: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 xml:space="preserve">家居制品业  </w:t>
            </w: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4"/>
              </w:rPr>
              <w:t>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项目联系人姓名：</w:t>
            </w:r>
          </w:p>
        </w:tc>
        <w:tc>
          <w:tcPr>
            <w:tcW w:w="177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c>
          <w:tcPr>
            <w:tcW w:w="2131" w:type="dxa"/>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联系电话：</w:t>
            </w:r>
          </w:p>
        </w:tc>
        <w:tc>
          <w:tcPr>
            <w:tcW w:w="2923" w:type="dxa"/>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建设期：</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年</w:t>
            </w: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月</w:t>
            </w: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日至</w:t>
            </w: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年</w:t>
            </w: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月</w:t>
            </w:r>
            <w:r>
              <w:rPr>
                <w:rFonts w:hint="default" w:ascii="Times New Roman" w:hAnsi="Times New Roman" w:eastAsia="宋体" w:cs="Times New Roman"/>
                <w:kern w:val="0"/>
                <w:sz w:val="21"/>
                <w:szCs w:val="20"/>
                <w:u w:val="single"/>
              </w:rPr>
              <w:t xml:space="preserve">     </w:t>
            </w:r>
            <w:r>
              <w:rPr>
                <w:rFonts w:hint="default" w:ascii="Times New Roman" w:hAnsi="Times New Roman" w:eastAsia="宋体" w:cs="Times New Roman"/>
                <w:kern w:val="0"/>
                <w:sz w:val="21"/>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9" w:type="dxa"/>
            <w:gridSpan w:val="2"/>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是否完工：</w:t>
            </w:r>
          </w:p>
        </w:tc>
        <w:tc>
          <w:tcPr>
            <w:tcW w:w="6833" w:type="dxa"/>
            <w:gridSpan w:val="4"/>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微软雅黑" w:cs="Times New Roman"/>
                <w:i/>
                <w:kern w:val="0"/>
                <w:sz w:val="21"/>
                <w:szCs w:val="20"/>
                <w:u w:val="single"/>
              </w:rPr>
            </w:pP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0"/>
              </w:rPr>
              <w:t xml:space="preserve">未完成          </w:t>
            </w:r>
            <w:r>
              <w:rPr>
                <w:rFonts w:hint="default" w:ascii="Times New Roman" w:hAnsi="Times New Roman" w:eastAsia="宋体" w:cs="Times New Roman"/>
                <w:kern w:val="0"/>
                <w:sz w:val="44"/>
                <w:szCs w:val="48"/>
              </w:rPr>
              <w:t>○</w:t>
            </w:r>
            <w:r>
              <w:rPr>
                <w:rFonts w:hint="default" w:ascii="Times New Roman" w:hAnsi="Times New Roman" w:eastAsia="宋体" w:cs="Times New Roman"/>
                <w:kern w:val="0"/>
                <w:sz w:val="24"/>
                <w:szCs w:val="20"/>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项目总投入（万元）：</w:t>
            </w:r>
          </w:p>
        </w:tc>
        <w:tc>
          <w:tcPr>
            <w:tcW w:w="515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票据齐全且未获财政资助软件投入（万元）</w:t>
            </w:r>
          </w:p>
        </w:tc>
        <w:tc>
          <w:tcPr>
            <w:tcW w:w="515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票据齐全且未获财政资助硬件投入（万元）</w:t>
            </w:r>
          </w:p>
        </w:tc>
        <w:tc>
          <w:tcPr>
            <w:tcW w:w="515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票据齐全且未获财政资助投入（万元）</w:t>
            </w:r>
          </w:p>
        </w:tc>
        <w:tc>
          <w:tcPr>
            <w:tcW w:w="5151" w:type="dxa"/>
            <w:gridSpan w:val="3"/>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vAlign w:val="center"/>
          </w:tcPr>
          <w:p>
            <w:pPr>
              <w:keepNext w:val="0"/>
              <w:keepLines w:val="0"/>
              <w:pageBreakBefore w:val="0"/>
              <w:kinsoku/>
              <w:wordWrap/>
              <w:overflowPunct/>
              <w:topLinePunct w:val="0"/>
              <w:bidi w:val="0"/>
              <w:adjustRightInd/>
              <w:snapToGrid/>
              <w:spacing w:after="0" w:line="560" w:lineRule="exact"/>
              <w:ind w:left="0" w:leftChars="0" w:firstLine="48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公司承诺，递交的申报资料真实有效，项目实际投入仅用于申报本项目，如存在利用虚假资料瞒报、虚报等手段通过资金申请资格审查并获得资金资助、存在市财政重复资助等情况，公司将承担相应的法律责任及后果。</w:t>
            </w:r>
          </w:p>
          <w:p>
            <w:pPr>
              <w:keepNext w:val="0"/>
              <w:keepLines w:val="0"/>
              <w:pageBreakBefore w:val="0"/>
              <w:kinsoku/>
              <w:wordWrap/>
              <w:overflowPunct/>
              <w:topLinePunct w:val="0"/>
              <w:bidi w:val="0"/>
              <w:adjustRightInd/>
              <w:snapToGrid/>
              <w:spacing w:after="0" w:line="560" w:lineRule="exact"/>
              <w:ind w:left="0" w:leftChars="0" w:firstLine="48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公司获资助后，切实加强对专项资金的使用管理，严格执行财务规章制度和会计核算办法。</w:t>
            </w:r>
          </w:p>
          <w:p>
            <w:pPr>
              <w:keepNext w:val="0"/>
              <w:keepLines w:val="0"/>
              <w:pageBreakBefore w:val="0"/>
              <w:kinsoku/>
              <w:wordWrap/>
              <w:overflowPunct/>
              <w:topLinePunct w:val="0"/>
              <w:bidi w:val="0"/>
              <w:adjustRightInd/>
              <w:snapToGrid/>
              <w:spacing w:after="0" w:line="560" w:lineRule="exact"/>
              <w:ind w:left="0" w:leftChars="0" w:firstLine="48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主动配合项目跟踪、检查、评价工作，自觉接受财政、审计、监察部门的监督检查。 </w:t>
            </w:r>
          </w:p>
          <w:p>
            <w:pPr>
              <w:keepNext w:val="0"/>
              <w:keepLines w:val="0"/>
              <w:pageBreakBefore w:val="0"/>
              <w:kinsoku/>
              <w:wordWrap/>
              <w:overflowPunct/>
              <w:topLinePunct w:val="0"/>
              <w:bidi w:val="0"/>
              <w:adjustRightInd/>
              <w:snapToGrid/>
              <w:spacing w:after="0" w:line="560" w:lineRule="exact"/>
              <w:ind w:left="0" w:leftChars="0" w:firstLine="4086" w:firstLineChars="1946"/>
              <w:textAlignment w:val="auto"/>
              <w:outlineLvl w:val="9"/>
              <w:rPr>
                <w:rFonts w:hint="default" w:ascii="Times New Roman" w:hAnsi="Times New Roman" w:eastAsia="黑体" w:cs="Times New Roman"/>
                <w:kern w:val="0"/>
                <w:sz w:val="21"/>
                <w:szCs w:val="21"/>
              </w:rPr>
            </w:pPr>
          </w:p>
          <w:p>
            <w:pPr>
              <w:keepNext w:val="0"/>
              <w:keepLines w:val="0"/>
              <w:pageBreakBefore w:val="0"/>
              <w:kinsoku/>
              <w:wordWrap/>
              <w:overflowPunct/>
              <w:topLinePunct w:val="0"/>
              <w:bidi w:val="0"/>
              <w:adjustRightInd/>
              <w:snapToGrid/>
              <w:spacing w:after="0" w:line="560" w:lineRule="exact"/>
              <w:ind w:firstLine="4800" w:firstLineChars="2000"/>
              <w:textAlignment w:val="auto"/>
              <w:outlineLvl w:val="9"/>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法定代表人（签章）：</w:t>
            </w:r>
          </w:p>
          <w:p>
            <w:pPr>
              <w:keepNext w:val="0"/>
              <w:keepLines w:val="0"/>
              <w:pageBreakBefore w:val="0"/>
              <w:kinsoku/>
              <w:wordWrap/>
              <w:overflowPunct/>
              <w:topLinePunct w:val="0"/>
              <w:bidi w:val="0"/>
              <w:adjustRightInd/>
              <w:snapToGrid/>
              <w:spacing w:after="0" w:line="560" w:lineRule="exact"/>
              <w:ind w:left="0" w:leftChars="0" w:firstLine="4670" w:firstLineChars="1946"/>
              <w:textAlignment w:val="auto"/>
              <w:outlineLvl w:val="9"/>
              <w:rPr>
                <w:rFonts w:hint="default" w:ascii="Times New Roman" w:hAnsi="Times New Roman" w:eastAsia="黑体" w:cs="Times New Roman"/>
                <w:kern w:val="0"/>
                <w:sz w:val="24"/>
                <w:szCs w:val="24"/>
              </w:rPr>
            </w:pPr>
          </w:p>
          <w:p>
            <w:pPr>
              <w:keepNext w:val="0"/>
              <w:keepLines w:val="0"/>
              <w:pageBreakBefore w:val="0"/>
              <w:kinsoku/>
              <w:wordWrap/>
              <w:overflowPunct/>
              <w:topLinePunct w:val="0"/>
              <w:bidi w:val="0"/>
              <w:adjustRightInd/>
              <w:snapToGrid/>
              <w:spacing w:after="0" w:line="560" w:lineRule="exact"/>
              <w:ind w:firstLine="4800" w:firstLineChars="2000"/>
              <w:textAlignment w:val="auto"/>
              <w:outlineLvl w:val="9"/>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企业名称（盖章）：</w:t>
            </w:r>
          </w:p>
          <w:p>
            <w:pPr>
              <w:keepNext w:val="0"/>
              <w:keepLines w:val="0"/>
              <w:pageBreakBefore w:val="0"/>
              <w:kinsoku/>
              <w:wordWrap/>
              <w:overflowPunct/>
              <w:topLinePunct w:val="0"/>
              <w:bidi w:val="0"/>
              <w:adjustRightInd/>
              <w:snapToGrid/>
              <w:spacing w:after="0" w:line="560" w:lineRule="exact"/>
              <w:ind w:left="0" w:leftChars="0" w:firstLine="4670" w:firstLineChars="1946"/>
              <w:textAlignment w:val="auto"/>
              <w:outlineLvl w:val="9"/>
              <w:rPr>
                <w:rFonts w:hint="default" w:ascii="Times New Roman" w:hAnsi="Times New Roman" w:eastAsia="黑体" w:cs="Times New Roman"/>
                <w:kern w:val="0"/>
                <w:sz w:val="24"/>
                <w:szCs w:val="24"/>
              </w:rPr>
            </w:pPr>
          </w:p>
          <w:p>
            <w:pPr>
              <w:keepNext w:val="0"/>
              <w:keepLines w:val="0"/>
              <w:pageBreakBefore w:val="0"/>
              <w:kinsoku/>
              <w:wordWrap/>
              <w:overflowPunct/>
              <w:topLinePunct w:val="0"/>
              <w:bidi w:val="0"/>
              <w:adjustRightInd/>
              <w:snapToGrid/>
              <w:spacing w:after="0" w:line="560" w:lineRule="exact"/>
              <w:ind w:left="0" w:leftChars="0" w:firstLine="4670" w:firstLineChars="1946"/>
              <w:textAlignment w:val="auto"/>
              <w:outlineLvl w:val="9"/>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4"/>
                <w:szCs w:val="24"/>
              </w:rPr>
              <w:t xml:space="preserve">                      年  </w:t>
            </w:r>
            <w:r>
              <w:rPr>
                <w:rFonts w:hint="default" w:ascii="Times New Roman" w:hAnsi="Times New Roman" w:eastAsia="黑体" w:cs="Times New Roman"/>
                <w:kern w:val="0"/>
                <w:sz w:val="24"/>
                <w:szCs w:val="24"/>
                <w:lang w:val="en-US" w:eastAsia="zh-CN"/>
              </w:rPr>
              <w:t xml:space="preserve"> </w:t>
            </w:r>
            <w:r>
              <w:rPr>
                <w:rFonts w:hint="default" w:ascii="Times New Roman" w:hAnsi="Times New Roman" w:eastAsia="黑体" w:cs="Times New Roman"/>
                <w:kern w:val="0"/>
                <w:sz w:val="24"/>
                <w:szCs w:val="24"/>
              </w:rPr>
              <w:t xml:space="preserve">  月     日 </w:t>
            </w:r>
            <w:r>
              <w:rPr>
                <w:rFonts w:hint="default" w:ascii="Times New Roman" w:hAnsi="Times New Roman" w:eastAsia="黑体" w:cs="Times New Roman"/>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1"/>
                <w:szCs w:val="20"/>
              </w:rPr>
              <w:t>申报单位简介：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项目简述：</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例：场景一：1.生产经营中存在痛点。</w:t>
            </w:r>
          </w:p>
          <w:p>
            <w:pPr>
              <w:keepNext w:val="0"/>
              <w:keepLines w:val="0"/>
              <w:pageBreakBefore w:val="0"/>
              <w:kinsoku/>
              <w:wordWrap/>
              <w:overflowPunct/>
              <w:topLinePunct w:val="0"/>
              <w:bidi w:val="0"/>
              <w:adjustRightInd/>
              <w:snapToGrid/>
              <w:spacing w:after="0" w:line="560" w:lineRule="exact"/>
              <w:ind w:left="0" w:leftChars="0" w:firstLine="420" w:firstLineChars="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1"/>
                <w:szCs w:val="20"/>
              </w:rPr>
              <w:t xml:space="preserve">        2.使用XX系统解决问题。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vAlign w:val="center"/>
          </w:tcPr>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项目绩效指标：</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宋体" w:cs="Times New Roman"/>
                <w:kern w:val="0"/>
                <w:sz w:val="21"/>
                <w:szCs w:val="20"/>
              </w:rPr>
            </w:pPr>
            <w:r>
              <w:rPr>
                <w:rFonts w:hint="default" w:ascii="Times New Roman" w:hAnsi="Times New Roman" w:eastAsia="宋体" w:cs="Times New Roman"/>
                <w:kern w:val="0"/>
                <w:sz w:val="21"/>
                <w:szCs w:val="20"/>
              </w:rPr>
              <w:t>（分别从技术成果、社会效益、经济效益等方面简要描述，突出数据支撑。）</w:t>
            </w:r>
          </w:p>
          <w:p>
            <w:pPr>
              <w:keepNext w:val="0"/>
              <w:keepLines w:val="0"/>
              <w:pageBreakBefore w:val="0"/>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例：场景一：（对应项目简述场景）能耗减少5%，生产率提高10%。</w:t>
            </w:r>
          </w:p>
          <w:p>
            <w:pPr>
              <w:keepNext w:val="0"/>
              <w:keepLines w:val="0"/>
              <w:pageBreakBefore w:val="0"/>
              <w:kinsoku/>
              <w:wordWrap/>
              <w:overflowPunct/>
              <w:topLinePunct w:val="0"/>
              <w:bidi w:val="0"/>
              <w:adjustRightInd/>
              <w:snapToGrid/>
              <w:spacing w:after="0" w:line="560" w:lineRule="exact"/>
              <w:ind w:left="0" w:leftChars="0" w:firstLine="480"/>
              <w:jc w:val="left"/>
              <w:textAlignment w:val="auto"/>
              <w:outlineLvl w:val="9"/>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2" w:type="dxa"/>
            <w:gridSpan w:val="6"/>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审核意见表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8" w:type="dxa"/>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b/>
                <w:sz w:val="28"/>
                <w:szCs w:val="28"/>
              </w:rPr>
              <w:t>镇街（园区）工业和信息化主管部门意见</w:t>
            </w:r>
          </w:p>
        </w:tc>
        <w:tc>
          <w:tcPr>
            <w:tcW w:w="7564" w:type="dxa"/>
            <w:gridSpan w:val="5"/>
            <w:vAlign w:val="center"/>
          </w:tcPr>
          <w:p>
            <w:pPr>
              <w:keepNext w:val="0"/>
              <w:keepLines w:val="0"/>
              <w:pageBreakBefore w:val="0"/>
              <w:kinsoku/>
              <w:wordWrap/>
              <w:overflowPunct/>
              <w:topLinePunct w:val="0"/>
              <w:bidi w:val="0"/>
              <w:adjustRightInd/>
              <w:snapToGrid/>
              <w:spacing w:after="0" w:line="560" w:lineRule="exact"/>
              <w:ind w:left="0" w:leftChars="0" w:firstLine="3604" w:firstLineChars="1502"/>
              <w:jc w:val="center"/>
              <w:textAlignment w:val="auto"/>
              <w:outlineLvl w:val="9"/>
              <w:rPr>
                <w:rFonts w:hint="default" w:ascii="Times New Roman" w:hAnsi="Times New Roman" w:eastAsia="宋体" w:cs="Times New Roman"/>
                <w:sz w:val="24"/>
                <w:szCs w:val="24"/>
              </w:rPr>
            </w:pPr>
          </w:p>
          <w:p>
            <w:pPr>
              <w:keepNext w:val="0"/>
              <w:keepLines w:val="0"/>
              <w:pageBreakBefore w:val="0"/>
              <w:kinsoku/>
              <w:wordWrap/>
              <w:overflowPunct/>
              <w:topLinePunct w:val="0"/>
              <w:bidi w:val="0"/>
              <w:adjustRightInd/>
              <w:snapToGrid/>
              <w:spacing w:after="0" w:line="560" w:lineRule="exact"/>
              <w:ind w:left="0" w:leftChars="0" w:firstLine="3604" w:firstLineChars="1502"/>
              <w:jc w:val="center"/>
              <w:textAlignment w:val="auto"/>
              <w:outlineLvl w:val="9"/>
              <w:rPr>
                <w:rFonts w:hint="default" w:ascii="Times New Roman" w:hAnsi="Times New Roman" w:eastAsia="宋体" w:cs="Times New Roman"/>
                <w:sz w:val="24"/>
                <w:szCs w:val="24"/>
              </w:rPr>
            </w:pPr>
          </w:p>
          <w:p>
            <w:pPr>
              <w:keepNext w:val="0"/>
              <w:keepLines w:val="0"/>
              <w:pageBreakBefore w:val="0"/>
              <w:kinsoku/>
              <w:wordWrap/>
              <w:overflowPunct/>
              <w:topLinePunct w:val="0"/>
              <w:bidi w:val="0"/>
              <w:adjustRightInd/>
              <w:snapToGrid/>
              <w:spacing w:after="0" w:line="560" w:lineRule="exact"/>
              <w:jc w:val="center"/>
              <w:textAlignment w:val="auto"/>
              <w:outlineLvl w:val="9"/>
              <w:rPr>
                <w:rFonts w:hint="default" w:ascii="Times New Roman" w:hAnsi="Times New Roman" w:eastAsia="宋体" w:cs="Times New Roman"/>
                <w:sz w:val="24"/>
                <w:szCs w:val="24"/>
              </w:rPr>
            </w:pPr>
            <w:r>
              <w:rPr>
                <w:rFonts w:hint="eastAsia" w:eastAsia="宋体" w:cs="Times New Roman"/>
                <w:sz w:val="24"/>
                <w:szCs w:val="24"/>
                <w:lang w:val="en-US" w:eastAsia="zh-CN"/>
              </w:rPr>
              <w:t xml:space="preserve"> </w:t>
            </w:r>
            <w:r>
              <w:rPr>
                <w:rFonts w:hint="default" w:ascii="Times New Roman" w:hAnsi="Times New Roman" w:eastAsia="宋体" w:cs="Times New Roman"/>
                <w:sz w:val="24"/>
                <w:szCs w:val="24"/>
              </w:rPr>
              <w:t>盖章：</w:t>
            </w:r>
          </w:p>
          <w:p>
            <w:pPr>
              <w:keepNext w:val="0"/>
              <w:keepLines w:val="0"/>
              <w:pageBreakBefore w:val="0"/>
              <w:kinsoku/>
              <w:wordWrap/>
              <w:overflowPunct/>
              <w:topLinePunct w:val="0"/>
              <w:bidi w:val="0"/>
              <w:adjustRightInd/>
              <w:snapToGrid/>
              <w:spacing w:after="0" w:line="560" w:lineRule="exact"/>
              <w:jc w:val="center"/>
              <w:textAlignment w:val="auto"/>
              <w:outlineLvl w:val="9"/>
              <w:rPr>
                <w:rFonts w:hint="default" w:ascii="Times New Roman" w:hAnsi="Times New Roman" w:eastAsia="宋体" w:cs="Times New Roman"/>
                <w:kern w:val="0"/>
                <w:sz w:val="24"/>
                <w:szCs w:val="24"/>
              </w:rPr>
            </w:pPr>
            <w:r>
              <w:rPr>
                <w:rFonts w:hint="eastAsia" w:eastAsia="宋体" w:cs="Times New Roman"/>
                <w:sz w:val="24"/>
                <w:szCs w:val="24"/>
                <w:lang w:val="en-US" w:eastAsia="zh-CN"/>
              </w:rPr>
              <w:t xml:space="preserve">                                         </w:t>
            </w:r>
            <w:r>
              <w:rPr>
                <w:rFonts w:hint="default" w:ascii="Times New Roman" w:hAnsi="Times New Roman" w:eastAsia="宋体" w:cs="Times New Roman"/>
                <w:sz w:val="24"/>
                <w:szCs w:val="24"/>
              </w:rPr>
              <w:t xml:space="preserve">年     月     日                                </w:t>
            </w:r>
          </w:p>
        </w:tc>
      </w:tr>
    </w:tbl>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sectPr>
          <w:pgSz w:w="11906" w:h="16838"/>
          <w:pgMar w:top="1701" w:right="1587" w:bottom="1587" w:left="1587" w:header="567" w:footer="992" w:gutter="0"/>
          <w:pgNumType w:fmt="numberInDash"/>
          <w:cols w:space="425" w:num="1"/>
          <w:titlePg/>
          <w:docGrid w:type="lines" w:linePitch="435" w:charSpace="0"/>
        </w:sect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eastAsia="黑体" w:cs="Times New Roman"/>
        </w:rPr>
      </w:pPr>
      <w:r>
        <w:rPr>
          <w:rFonts w:hint="default" w:ascii="Times New Roman" w:hAnsi="Times New Roman" w:eastAsia="黑体" w:cs="Times New Roman"/>
        </w:rPr>
        <w:t>附件4</w:t>
      </w: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华康简标题宋" w:cs="Times New Roman"/>
          <w:color w:val="000000" w:themeColor="text1"/>
          <w:kern w:val="0"/>
          <w:szCs w:val="32"/>
          <w14:textFill>
            <w14:solidFill>
              <w14:schemeClr w14:val="tx1"/>
            </w14:solidFill>
          </w14:textFill>
        </w:rPr>
      </w:pPr>
    </w:p>
    <w:tbl>
      <w:tblPr>
        <w:tblStyle w:val="10"/>
        <w:tblW w:w="4883" w:type="pct"/>
        <w:jc w:val="center"/>
        <w:tblLayout w:type="fixed"/>
        <w:tblCellMar>
          <w:top w:w="0" w:type="dxa"/>
          <w:left w:w="108" w:type="dxa"/>
          <w:bottom w:w="0" w:type="dxa"/>
          <w:right w:w="108" w:type="dxa"/>
        </w:tblCellMar>
      </w:tblPr>
      <w:tblGrid>
        <w:gridCol w:w="13842"/>
      </w:tblGrid>
      <w:tr>
        <w:tblPrEx>
          <w:tblCellMar>
            <w:top w:w="0" w:type="dxa"/>
            <w:left w:w="108" w:type="dxa"/>
            <w:bottom w:w="0" w:type="dxa"/>
            <w:right w:w="108" w:type="dxa"/>
          </w:tblCellMar>
        </w:tblPrEx>
        <w:trPr>
          <w:trHeight w:val="567" w:hRule="atLeast"/>
          <w:jc w:val="center"/>
        </w:trPr>
        <w:tc>
          <w:tcPr>
            <w:tcW w:w="500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2025年东莞市工业和信息化产业发展专项资金智能</w:t>
            </w:r>
            <w:r>
              <w:rPr>
                <w:rFonts w:hint="default" w:ascii="Times New Roman" w:hAnsi="Times New Roman" w:eastAsia="方正小标宋简体" w:cs="Times New Roman"/>
                <w:color w:val="000000"/>
                <w:kern w:val="0"/>
                <w:sz w:val="44"/>
                <w:szCs w:val="44"/>
                <w:u w:val="single"/>
              </w:rPr>
              <w:t xml:space="preserve">      </w:t>
            </w:r>
            <w:r>
              <w:rPr>
                <w:rFonts w:hint="default" w:ascii="Times New Roman" w:hAnsi="Times New Roman" w:eastAsia="方正小标宋简体" w:cs="Times New Roman"/>
                <w:color w:val="000000"/>
                <w:kern w:val="0"/>
                <w:sz w:val="44"/>
                <w:szCs w:val="44"/>
              </w:rPr>
              <w:t>项目</w:t>
            </w:r>
          </w:p>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投入明细表</w:t>
            </w:r>
          </w:p>
          <w:tbl>
            <w:tblPr>
              <w:tblStyle w:val="10"/>
              <w:tblW w:w="4984" w:type="pct"/>
              <w:tblInd w:w="40" w:type="dxa"/>
              <w:tblLayout w:type="fixed"/>
              <w:tblCellMar>
                <w:top w:w="0" w:type="dxa"/>
                <w:left w:w="108" w:type="dxa"/>
                <w:bottom w:w="0" w:type="dxa"/>
                <w:right w:w="108" w:type="dxa"/>
              </w:tblCellMar>
            </w:tblPr>
            <w:tblGrid>
              <w:gridCol w:w="789"/>
              <w:gridCol w:w="570"/>
              <w:gridCol w:w="619"/>
              <w:gridCol w:w="834"/>
              <w:gridCol w:w="581"/>
              <w:gridCol w:w="538"/>
              <w:gridCol w:w="576"/>
              <w:gridCol w:w="584"/>
              <w:gridCol w:w="655"/>
              <w:gridCol w:w="581"/>
              <w:gridCol w:w="768"/>
              <w:gridCol w:w="584"/>
              <w:gridCol w:w="1181"/>
              <w:gridCol w:w="768"/>
              <w:gridCol w:w="581"/>
              <w:gridCol w:w="768"/>
              <w:gridCol w:w="581"/>
              <w:gridCol w:w="768"/>
              <w:gridCol w:w="560"/>
              <w:gridCol w:w="692"/>
            </w:tblGrid>
            <w:tr>
              <w:tblPrEx>
                <w:tblCellMar>
                  <w:top w:w="0" w:type="dxa"/>
                  <w:left w:w="108" w:type="dxa"/>
                  <w:bottom w:w="0" w:type="dxa"/>
                  <w:right w:w="108" w:type="dxa"/>
                </w:tblCellMar>
              </w:tblPrEx>
              <w:trPr>
                <w:trHeight w:val="1125" w:hRule="atLeast"/>
              </w:trPr>
              <w:tc>
                <w:tcPr>
                  <w:tcW w:w="1874" w:type="pct"/>
                  <w:gridSpan w:val="8"/>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企业名称（盖章）：</w:t>
                  </w:r>
                </w:p>
              </w:tc>
              <w:tc>
                <w:tcPr>
                  <w:tcW w:w="3126" w:type="pct"/>
                  <w:gridSpan w:val="1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项目名称：（注：申报智能工厂的，项目名称格式为某某公司智能工厂项目。申报智能车间的，项目名称可按主要实施内容命名，但不能简单写某某公司智能车间项目）</w:t>
                  </w:r>
                </w:p>
              </w:tc>
            </w:tr>
            <w:tr>
              <w:tblPrEx>
                <w:tblCellMar>
                  <w:top w:w="0" w:type="dxa"/>
                  <w:left w:w="108" w:type="dxa"/>
                  <w:bottom w:w="0" w:type="dxa"/>
                  <w:right w:w="108" w:type="dxa"/>
                </w:tblCellMar>
              </w:tblPrEx>
              <w:trPr>
                <w:trHeight w:val="567" w:hRule="atLeast"/>
              </w:trPr>
              <w:tc>
                <w:tcPr>
                  <w:tcW w:w="29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建设内容</w:t>
                  </w:r>
                </w:p>
              </w:tc>
              <w:tc>
                <w:tcPr>
                  <w:tcW w:w="2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典型应用场景</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投入类别</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名称</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规格/型号</w:t>
                  </w: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数量</w:t>
                  </w: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品牌</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供应商</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支出金额</w:t>
                  </w:r>
                  <w:r>
                    <w:rPr>
                      <w:rFonts w:hint="default" w:ascii="Times New Roman" w:hAnsi="Times New Roman" w:cs="Times New Roman"/>
                      <w:b/>
                      <w:bCs/>
                      <w:kern w:val="0"/>
                      <w:sz w:val="20"/>
                      <w:szCs w:val="20"/>
                    </w:rPr>
                    <w:t>（万元）</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收款单位</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资产入账时间（年/月/日）</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资产入账记账凭证号</w:t>
                  </w: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发票号码</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发票日期（年/月/日）</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付款记账凭证号</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银行转账时间（年/月/日）</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合同/协议编号</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合同/协议日期（年/月/日）</w:t>
                  </w: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是否</w:t>
                  </w:r>
                  <w:r>
                    <w:rPr>
                      <w:rFonts w:hint="default" w:ascii="Times New Roman" w:hAnsi="Times New Roman" w:eastAsia="Microsoft YaHei UI" w:cs="Times New Roman"/>
                      <w:b/>
                      <w:bCs/>
                      <w:color w:val="000000"/>
                      <w:kern w:val="0"/>
                      <w:sz w:val="20"/>
                      <w:szCs w:val="20"/>
                    </w:rPr>
                    <w:t>计入项目实际投入</w:t>
                  </w: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备注</w:t>
                  </w:r>
                </w:p>
              </w:tc>
            </w:tr>
            <w:tr>
              <w:tblPrEx>
                <w:tblCellMar>
                  <w:top w:w="0" w:type="dxa"/>
                  <w:left w:w="108" w:type="dxa"/>
                  <w:bottom w:w="0" w:type="dxa"/>
                  <w:right w:w="108" w:type="dxa"/>
                </w:tblCellMar>
              </w:tblPrEx>
              <w:trPr>
                <w:trHeight w:val="567" w:hRule="atLeast"/>
              </w:trPr>
              <w:tc>
                <w:tcPr>
                  <w:tcW w:w="290" w:type="pct"/>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例：</w:t>
                  </w:r>
                  <w:r>
                    <w:rPr>
                      <w:rFonts w:hint="default" w:ascii="Times New Roman" w:hAnsi="Times New Roman" w:eastAsia="宋体" w:cs="Times New Roman"/>
                      <w:b/>
                      <w:bCs/>
                      <w:kern w:val="0"/>
                      <w:sz w:val="20"/>
                      <w:szCs w:val="20"/>
                    </w:rPr>
                    <w:br w:type="textWrapping"/>
                  </w:r>
                  <w:r>
                    <w:rPr>
                      <w:rFonts w:hint="default" w:ascii="Times New Roman" w:hAnsi="Times New Roman" w:eastAsia="宋体" w:cs="Times New Roman"/>
                      <w:b/>
                      <w:bCs/>
                      <w:kern w:val="0"/>
                      <w:sz w:val="20"/>
                      <w:szCs w:val="20"/>
                    </w:rPr>
                    <w:t>四、生产管理</w:t>
                  </w:r>
                </w:p>
                <w:p>
                  <w:pPr>
                    <w:keepNext w:val="0"/>
                    <w:keepLines w:val="0"/>
                    <w:pageBreakBefore w:val="0"/>
                    <w:kinsoku/>
                    <w:wordWrap/>
                    <w:overflowPunct/>
                    <w:topLinePunct w:val="0"/>
                    <w:bidi w:val="0"/>
                    <w:adjustRightInd/>
                    <w:snapToGrid/>
                    <w:spacing w:after="0" w:line="560" w:lineRule="exact"/>
                    <w:ind w:left="0" w:leftChars="0" w:firstLine="402"/>
                    <w:jc w:val="center"/>
                    <w:textAlignment w:val="auto"/>
                    <w:outlineLvl w:val="9"/>
                    <w:rPr>
                      <w:rFonts w:hint="default" w:ascii="Times New Roman" w:hAnsi="Times New Roman" w:cs="Times New Roman"/>
                      <w:b/>
                      <w:bCs/>
                      <w:color w:val="000000"/>
                      <w:kern w:val="0"/>
                      <w:sz w:val="20"/>
                      <w:szCs w:val="20"/>
                    </w:rPr>
                  </w:pPr>
                </w:p>
              </w:tc>
              <w:tc>
                <w:tcPr>
                  <w:tcW w:w="210" w:type="pct"/>
                  <w:vMerge w:val="restart"/>
                  <w:tcBorders>
                    <w:top w:val="nil"/>
                    <w:left w:val="nil"/>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b/>
                      <w:bCs/>
                      <w:kern w:val="0"/>
                      <w:sz w:val="20"/>
                      <w:szCs w:val="20"/>
                    </w:rPr>
                    <w:t>12.车间智能排产</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Cs/>
                      <w:color w:val="000000"/>
                      <w:kern w:val="0"/>
                      <w:sz w:val="20"/>
                      <w:szCs w:val="20"/>
                    </w:rPr>
                  </w:pPr>
                  <w:r>
                    <w:rPr>
                      <w:rFonts w:hint="default" w:ascii="Times New Roman" w:hAnsi="Times New Roman" w:cs="Times New Roman"/>
                      <w:bCs/>
                      <w:color w:val="000000"/>
                      <w:kern w:val="0"/>
                      <w:sz w:val="20"/>
                      <w:szCs w:val="20"/>
                    </w:rPr>
                    <w:t>软件</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Cs/>
                      <w:color w:val="000000"/>
                      <w:kern w:val="0"/>
                      <w:sz w:val="20"/>
                      <w:szCs w:val="20"/>
                    </w:rPr>
                  </w:pPr>
                  <w:r>
                    <w:rPr>
                      <w:rFonts w:hint="default" w:ascii="Times New Roman" w:hAnsi="Times New Roman" w:cs="Times New Roman"/>
                      <w:bCs/>
                      <w:color w:val="000000"/>
                      <w:kern w:val="0"/>
                      <w:sz w:val="20"/>
                      <w:szCs w:val="20"/>
                    </w:rPr>
                    <w:t>1.mes创建</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XX</w:t>
                  </w: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2020/3/1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2020/2/1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eastAsia="宋体" w:cs="Times New Roman"/>
                      <w:kern w:val="0"/>
                      <w:sz w:val="20"/>
                      <w:szCs w:val="20"/>
                    </w:rPr>
                    <w:t>2020/1/1</w:t>
                  </w: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否</w:t>
                  </w: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b/>
                      <w:bCs/>
                      <w:color w:val="000000"/>
                      <w:kern w:val="0"/>
                      <w:sz w:val="20"/>
                      <w:szCs w:val="20"/>
                    </w:rPr>
                  </w:pPr>
                </w:p>
              </w:tc>
            </w:tr>
            <w:tr>
              <w:trPr>
                <w:trHeight w:val="567" w:hRule="atLeast"/>
              </w:trPr>
              <w:tc>
                <w:tcPr>
                  <w:tcW w:w="290" w:type="pct"/>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after="0" w:line="560" w:lineRule="exact"/>
                    <w:ind w:left="0" w:leftChars="0" w:firstLine="402"/>
                    <w:jc w:val="center"/>
                    <w:textAlignment w:val="auto"/>
                    <w:outlineLvl w:val="9"/>
                    <w:rPr>
                      <w:rFonts w:hint="default" w:ascii="Times New Roman" w:hAnsi="Times New Roman" w:eastAsia="宋体" w:cs="Times New Roman"/>
                      <w:b/>
                      <w:bCs/>
                      <w:kern w:val="0"/>
                      <w:sz w:val="20"/>
                      <w:szCs w:val="20"/>
                    </w:rPr>
                  </w:pPr>
                </w:p>
              </w:tc>
              <w:tc>
                <w:tcPr>
                  <w:tcW w:w="210" w:type="pct"/>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kern w:val="0"/>
                      <w:sz w:val="20"/>
                      <w:szCs w:val="20"/>
                    </w:rPr>
                  </w:pP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软件</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2.mes二次开发</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1套</w:t>
                  </w: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23.4</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2024/5/1</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2029001</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2024/3/1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2024/2/1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2024/1/1</w:t>
                  </w: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是</w:t>
                  </w: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关联交易，软件类别：供应链管理</w:t>
                  </w:r>
                </w:p>
              </w:tc>
            </w:tr>
            <w:tr>
              <w:trPr>
                <w:trHeight w:val="567" w:hRule="atLeast"/>
              </w:trPr>
              <w:tc>
                <w:tcPr>
                  <w:tcW w:w="290" w:type="pct"/>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after="0" w:line="560" w:lineRule="exact"/>
                    <w:ind w:left="0" w:leftChars="0" w:firstLine="402"/>
                    <w:jc w:val="center"/>
                    <w:textAlignment w:val="auto"/>
                    <w:outlineLvl w:val="9"/>
                    <w:rPr>
                      <w:rFonts w:hint="default" w:ascii="Times New Roman" w:hAnsi="Times New Roman" w:eastAsia="宋体" w:cs="Times New Roman"/>
                      <w:b/>
                      <w:bCs/>
                      <w:kern w:val="0"/>
                      <w:sz w:val="20"/>
                      <w:szCs w:val="20"/>
                    </w:rPr>
                  </w:pPr>
                </w:p>
              </w:tc>
              <w:tc>
                <w:tcPr>
                  <w:tcW w:w="210"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kern w:val="0"/>
                      <w:sz w:val="20"/>
                      <w:szCs w:val="20"/>
                    </w:rPr>
                  </w:pP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软件</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3.智能仓储软件</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1套</w:t>
                  </w: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32.12</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2024/5/1</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2024001-2024100、2024257、2024654</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2024/3/1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2024/2/1</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XX</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2024/1/1</w:t>
                  </w: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是</w:t>
                  </w: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软件类别：仓储管理</w:t>
                  </w:r>
                </w:p>
              </w:tc>
            </w:tr>
            <w:tr>
              <w:trPr>
                <w:trHeight w:val="567" w:hRule="atLeast"/>
              </w:trPr>
              <w:tc>
                <w:tcPr>
                  <w:tcW w:w="290"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kern w:val="0"/>
                      <w:sz w:val="20"/>
                      <w:szCs w:val="20"/>
                    </w:rPr>
                  </w:pPr>
                </w:p>
              </w:tc>
              <w:tc>
                <w:tcPr>
                  <w:tcW w:w="21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15.智能仓储</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软件</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4.智能仓储软件</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w:t>
                  </w: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是</w:t>
                  </w: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投入信息同“3.智能仓储软件”</w:t>
                  </w:r>
                </w:p>
              </w:tc>
            </w:tr>
            <w:tr>
              <w:trPr>
                <w:trHeight w:val="567" w:hRule="atLeast"/>
              </w:trPr>
              <w:tc>
                <w:tcPr>
                  <w:tcW w:w="5000" w:type="pct"/>
                  <w:gridSpan w:val="20"/>
                  <w:tcBorders>
                    <w:top w:val="single" w:color="auto" w:sz="4" w:space="0"/>
                    <w:left w:val="single" w:color="auto" w:sz="4" w:space="0"/>
                    <w:bottom w:val="single" w:color="auto" w:sz="4" w:space="0"/>
                    <w:right w:val="single" w:color="000000" w:sz="4" w:space="0"/>
                  </w:tcBorders>
                  <w:shd w:val="clear" w:color="000000" w:fill="D9D9D9"/>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FF0000"/>
                      <w:kern w:val="0"/>
                      <w:sz w:val="20"/>
                      <w:szCs w:val="20"/>
                    </w:rPr>
                  </w:pPr>
                </w:p>
              </w:tc>
            </w:tr>
            <w:tr>
              <w:trPr>
                <w:trHeight w:val="567" w:hRule="atLeast"/>
              </w:trPr>
              <w:tc>
                <w:tcPr>
                  <w:tcW w:w="29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一、工厂建设</w:t>
                  </w:r>
                </w:p>
              </w:tc>
              <w:tc>
                <w:tcPr>
                  <w:tcW w:w="2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1.工厂</w:t>
                  </w:r>
                  <w:r>
                    <w:rPr>
                      <w:rFonts w:hint="default" w:ascii="Times New Roman" w:hAnsi="Times New Roman" w:eastAsia="宋体" w:cs="Times New Roman"/>
                      <w:b/>
                      <w:bCs/>
                      <w:color w:val="000000"/>
                      <w:kern w:val="0"/>
                      <w:sz w:val="20"/>
                      <w:szCs w:val="20"/>
                      <w:lang w:eastAsia="zh-CN"/>
                    </w:rPr>
                    <w:t>（</w:t>
                  </w:r>
                  <w:r>
                    <w:rPr>
                      <w:rFonts w:hint="default" w:ascii="Times New Roman" w:hAnsi="Times New Roman" w:eastAsia="宋体" w:cs="Times New Roman"/>
                      <w:b/>
                      <w:bCs/>
                      <w:color w:val="000000"/>
                      <w:kern w:val="0"/>
                      <w:sz w:val="20"/>
                      <w:szCs w:val="20"/>
                    </w:rPr>
                    <w:t>车间</w:t>
                  </w:r>
                  <w:r>
                    <w:rPr>
                      <w:rFonts w:hint="default" w:ascii="Times New Roman" w:hAnsi="Times New Roman" w:eastAsia="宋体" w:cs="Times New Roman"/>
                      <w:b/>
                      <w:bCs/>
                      <w:color w:val="000000"/>
                      <w:kern w:val="0"/>
                      <w:sz w:val="20"/>
                      <w:szCs w:val="20"/>
                      <w:lang w:eastAsia="zh-CN"/>
                    </w:rPr>
                    <w:t>）</w:t>
                  </w:r>
                  <w:r>
                    <w:rPr>
                      <w:rFonts w:hint="default" w:ascii="Times New Roman" w:hAnsi="Times New Roman" w:eastAsia="宋体" w:cs="Times New Roman"/>
                      <w:b/>
                      <w:bCs/>
                      <w:color w:val="000000"/>
                      <w:kern w:val="0"/>
                      <w:sz w:val="20"/>
                      <w:szCs w:val="20"/>
                    </w:rPr>
                    <w:t>数字化设计</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IT设备/5G网络应用/软件/技术服务</w:t>
                  </w:r>
                  <w:r>
                    <w:rPr>
                      <w:rFonts w:hint="default" w:ascii="Times New Roman" w:hAnsi="Times New Roman" w:eastAsia="宋体" w:cs="Times New Roman"/>
                      <w:color w:val="000000"/>
                      <w:kern w:val="0"/>
                      <w:sz w:val="20"/>
                      <w:szCs w:val="20"/>
                      <w:lang w:eastAsia="zh-CN"/>
                    </w:rPr>
                    <w:t>；</w:t>
                  </w:r>
                  <w:r>
                    <w:rPr>
                      <w:rFonts w:hint="default" w:ascii="Times New Roman" w:hAnsi="Times New Roman" w:eastAsia="宋体" w:cs="Times New Roman"/>
                      <w:color w:val="000000"/>
                      <w:kern w:val="0"/>
                      <w:sz w:val="20"/>
                      <w:szCs w:val="20"/>
                    </w:rPr>
                    <w:t>4选1</w:t>
                  </w: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eastAsia="zh-CN"/>
                    </w:rPr>
                    <w:t>本</w:t>
                  </w:r>
                  <w:r>
                    <w:rPr>
                      <w:rFonts w:hint="default" w:ascii="Times New Roman" w:hAnsi="Times New Roman" w:eastAsia="宋体" w:cs="Times New Roman"/>
                      <w:color w:val="000000"/>
                      <w:kern w:val="0"/>
                      <w:sz w:val="20"/>
                      <w:szCs w:val="20"/>
                    </w:rPr>
                    <w:t>列所有软硬件从上往下连贯标序号</w:t>
                  </w: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29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p>
              </w:tc>
              <w:tc>
                <w:tcPr>
                  <w:tcW w:w="2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2.数字基础设施集成</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290" w:type="pct"/>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二、研发设计</w:t>
                  </w:r>
                </w:p>
                <w:p>
                  <w:pPr>
                    <w:keepNext w:val="0"/>
                    <w:keepLines w:val="0"/>
                    <w:pageBreakBefore w:val="0"/>
                    <w:kinsoku/>
                    <w:wordWrap/>
                    <w:overflowPunct/>
                    <w:topLinePunct w:val="0"/>
                    <w:bidi w:val="0"/>
                    <w:adjustRightInd/>
                    <w:snapToGrid/>
                    <w:spacing w:after="0" w:line="560" w:lineRule="exact"/>
                    <w:ind w:left="0" w:leftChars="0" w:firstLine="402"/>
                    <w:jc w:val="center"/>
                    <w:textAlignment w:val="auto"/>
                    <w:outlineLvl w:val="9"/>
                    <w:rPr>
                      <w:rFonts w:hint="default" w:ascii="Times New Roman" w:hAnsi="Times New Roman" w:eastAsia="宋体" w:cs="Times New Roman"/>
                      <w:b/>
                      <w:bCs/>
                      <w:color w:val="000000"/>
                      <w:kern w:val="0"/>
                      <w:sz w:val="20"/>
                      <w:szCs w:val="20"/>
                    </w:rPr>
                  </w:pPr>
                </w:p>
              </w:tc>
              <w:tc>
                <w:tcPr>
                  <w:tcW w:w="2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3.产品数字化研发与设计</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290"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after="0" w:line="560" w:lineRule="exact"/>
                    <w:ind w:left="0" w:leftChars="0" w:firstLine="402"/>
                    <w:jc w:val="center"/>
                    <w:textAlignment w:val="auto"/>
                    <w:outlineLvl w:val="9"/>
                    <w:rPr>
                      <w:rFonts w:hint="default" w:ascii="Times New Roman" w:hAnsi="Times New Roman" w:eastAsia="宋体" w:cs="Times New Roman"/>
                      <w:b/>
                      <w:bCs/>
                      <w:color w:val="000000"/>
                      <w:kern w:val="0"/>
                      <w:sz w:val="20"/>
                      <w:szCs w:val="20"/>
                    </w:rPr>
                  </w:pPr>
                </w:p>
              </w:tc>
              <w:tc>
                <w:tcPr>
                  <w:tcW w:w="21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4. 工艺数字化设计</w:t>
                  </w:r>
                </w:p>
              </w:tc>
              <w:tc>
                <w:tcPr>
                  <w:tcW w:w="22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30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19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43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2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p>
              </w:tc>
              <w:tc>
                <w:tcPr>
                  <w:tcW w:w="21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5. 虚拟试验与调试</w:t>
                  </w:r>
                </w:p>
              </w:tc>
              <w:tc>
                <w:tcPr>
                  <w:tcW w:w="22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19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4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43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1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8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06"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eastAsia="zh-CN"/>
                    </w:rPr>
                    <w:t>以</w:t>
                  </w:r>
                  <w:bookmarkStart w:id="0" w:name="_GoBack"/>
                  <w:bookmarkEnd w:id="0"/>
                  <w:r>
                    <w:rPr>
                      <w:rFonts w:hint="default" w:ascii="Times New Roman" w:hAnsi="Times New Roman" w:eastAsia="宋体" w:cs="Times New Roman"/>
                      <w:color w:val="000000"/>
                      <w:kern w:val="0"/>
                      <w:sz w:val="20"/>
                      <w:szCs w:val="20"/>
                    </w:rPr>
                    <w:t>此类推……</w:t>
                  </w:r>
                </w:p>
              </w:tc>
            </w:tr>
            <w:tr>
              <w:trPr>
                <w:trHeight w:val="567" w:hRule="atLeast"/>
              </w:trPr>
              <w:tc>
                <w:tcPr>
                  <w:tcW w:w="187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软件投入小计</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XX</w:t>
                  </w:r>
                </w:p>
              </w:tc>
              <w:tc>
                <w:tcPr>
                  <w:tcW w:w="2628"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567" w:hRule="atLeast"/>
              </w:trPr>
              <w:tc>
                <w:tcPr>
                  <w:tcW w:w="187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硬件投入小计</w:t>
                  </w:r>
                </w:p>
              </w:tc>
              <w:tc>
                <w:tcPr>
                  <w:tcW w:w="24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XX</w:t>
                  </w:r>
                </w:p>
              </w:tc>
              <w:tc>
                <w:tcPr>
                  <w:tcW w:w="2628" w:type="pct"/>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187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合计</w:t>
                  </w:r>
                </w:p>
              </w:tc>
              <w:tc>
                <w:tcPr>
                  <w:tcW w:w="2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XX</w:t>
                  </w:r>
                </w:p>
              </w:tc>
              <w:tc>
                <w:tcPr>
                  <w:tcW w:w="2628" w:type="pct"/>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c>
                <w:tcPr>
                  <w:tcW w:w="25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color w:val="000000"/>
                      <w:kern w:val="0"/>
                      <w:sz w:val="20"/>
                      <w:szCs w:val="20"/>
                    </w:rPr>
                  </w:pPr>
                </w:p>
              </w:tc>
            </w:tr>
            <w:tr>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填写说明：</w:t>
                  </w:r>
                </w:p>
              </w:tc>
            </w:tr>
            <w:tr>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1.投入明细表设了19个典型应用场景（</w:t>
                  </w:r>
                  <w:r>
                    <w:rPr>
                      <w:rFonts w:hint="default" w:ascii="Times New Roman" w:hAnsi="Times New Roman" w:eastAsia="宋体" w:cs="Times New Roman"/>
                      <w:color w:val="000000"/>
                      <w:kern w:val="0"/>
                      <w:sz w:val="20"/>
                      <w:szCs w:val="20"/>
                      <w:lang w:eastAsia="zh"/>
                    </w:rPr>
                    <w:t>详</w:t>
                  </w:r>
                  <w:r>
                    <w:rPr>
                      <w:rFonts w:hint="default" w:ascii="Times New Roman" w:hAnsi="Times New Roman" w:eastAsia="宋体" w:cs="Times New Roman"/>
                      <w:color w:val="000000"/>
                      <w:kern w:val="0"/>
                      <w:sz w:val="20"/>
                      <w:szCs w:val="20"/>
                    </w:rPr>
                    <w:t>见《申报指南》附件</w:t>
                  </w:r>
                  <w:r>
                    <w:rPr>
                      <w:rFonts w:hint="default" w:ascii="Times New Roman" w:hAnsi="Times New Roman" w:eastAsia="宋体" w:cs="Times New Roman"/>
                      <w:color w:val="000000"/>
                      <w:kern w:val="0"/>
                      <w:sz w:val="20"/>
                      <w:szCs w:val="20"/>
                      <w:lang w:eastAsia="zh"/>
                    </w:rPr>
                    <w:t>1</w:t>
                  </w:r>
                  <w:r>
                    <w:rPr>
                      <w:rFonts w:hint="default" w:ascii="Times New Roman" w:hAnsi="Times New Roman" w:eastAsia="宋体" w:cs="Times New Roman"/>
                      <w:color w:val="000000"/>
                      <w:kern w:val="0"/>
                      <w:sz w:val="20"/>
                      <w:szCs w:val="20"/>
                    </w:rPr>
                    <w:t>），展示申报单位在指定建设期内通过本项目优化了哪些应用场景。</w:t>
                  </w:r>
                </w:p>
              </w:tc>
            </w:tr>
            <w:tr>
              <w:tblPrEx>
                <w:tblCellMar>
                  <w:top w:w="0" w:type="dxa"/>
                  <w:left w:w="108" w:type="dxa"/>
                  <w:bottom w:w="0" w:type="dxa"/>
                  <w:right w:w="108" w:type="dxa"/>
                </w:tblCellMar>
              </w:tblPrEx>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2.建设期内，若应用场景有本项目软硬件投入，须完整填写实现该应用场景所需的软硬件投入情况。其中，计入项目投入的软硬件须填写所有信息；不计入项目投入的软硬件按例子填写部分信息。</w:t>
                  </w:r>
                </w:p>
              </w:tc>
            </w:tr>
            <w:tr>
              <w:tblPrEx>
                <w:tblCellMar>
                  <w:top w:w="0" w:type="dxa"/>
                  <w:left w:w="108" w:type="dxa"/>
                  <w:bottom w:w="0" w:type="dxa"/>
                  <w:right w:w="108" w:type="dxa"/>
                </w:tblCellMar>
              </w:tblPrEx>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3.若计入项目投入的软硬件涉及多应用场景，只在其中一个场景一次性填写投入金额，其余场景不填写金额，按例子加以说明。</w:t>
                  </w:r>
                </w:p>
              </w:tc>
            </w:tr>
            <w:tr>
              <w:tblPrEx>
                <w:tblCellMar>
                  <w:top w:w="0" w:type="dxa"/>
                  <w:left w:w="108" w:type="dxa"/>
                  <w:bottom w:w="0" w:type="dxa"/>
                  <w:right w:w="108" w:type="dxa"/>
                </w:tblCellMar>
              </w:tblPrEx>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4.备注列是按需填写的复合项，仅对计入项目投入的软硬件报备。必填信息有：是否涉及关联交易、软件与系统属于《申报指南》第六款哪种类别。</w:t>
                  </w:r>
                </w:p>
              </w:tc>
            </w:tr>
            <w:tr>
              <w:trPr>
                <w:trHeight w:val="567" w:hRule="atLeast"/>
              </w:trPr>
              <w:tc>
                <w:tcPr>
                  <w:tcW w:w="5000"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5.投入明细表金额单位是万元，最多精确保留小数点后2位数，保持显示与实际数字一致。</w:t>
                  </w:r>
                </w:p>
              </w:tc>
            </w:tr>
          </w:tbl>
          <w:p>
            <w:pPr>
              <w:keepNext w:val="0"/>
              <w:keepLines w:val="0"/>
              <w:pageBreakBefore w:val="0"/>
              <w:widowControl/>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华康简标题宋" w:cs="Times New Roman"/>
                <w:color w:val="000000"/>
                <w:kern w:val="0"/>
                <w:szCs w:val="32"/>
              </w:rPr>
            </w:pPr>
          </w:p>
        </w:tc>
      </w:tr>
    </w:tbl>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华康简标题宋" w:cs="Times New Roman"/>
          <w:color w:val="000000" w:themeColor="text1"/>
          <w:kern w:val="0"/>
          <w:szCs w:val="32"/>
          <w14:textFill>
            <w14:solidFill>
              <w14:schemeClr w14:val="tx1"/>
            </w14:solidFill>
          </w14:textFill>
        </w:rPr>
        <w:sectPr>
          <w:pgSz w:w="16838" w:h="11906" w:orient="landscape"/>
          <w:pgMar w:top="1800" w:right="1440" w:bottom="1800" w:left="1440" w:header="851" w:footer="992" w:gutter="0"/>
          <w:pgNumType w:fmt="numberInDash"/>
          <w:cols w:space="425" w:num="1"/>
          <w:titlePg/>
          <w:docGrid w:type="lines" w:linePitch="435" w:charSpace="0"/>
        </w:sectPr>
      </w:pPr>
    </w:p>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黑体" w:cs="Times New Roman"/>
        </w:rPr>
      </w:pPr>
      <w:r>
        <w:rPr>
          <w:rFonts w:hint="default" w:ascii="Times New Roman" w:hAnsi="Times New Roman" w:eastAsia="黑体" w:cs="Times New Roman"/>
        </w:rPr>
        <w:t>附件5</w:t>
      </w:r>
    </w:p>
    <w:p>
      <w:pPr>
        <w:keepNext w:val="0"/>
        <w:keepLines w:val="0"/>
        <w:pageBreakBefore w:val="0"/>
        <w:tabs>
          <w:tab w:val="center" w:pos="6377"/>
          <w:tab w:val="left" w:pos="9810"/>
        </w:tabs>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华康简标题宋" w:cs="Times New Roman"/>
          <w:sz w:val="44"/>
          <w:szCs w:val="44"/>
        </w:rPr>
      </w:pPr>
      <w:r>
        <w:rPr>
          <w:rFonts w:hint="default" w:ascii="Times New Roman" w:hAnsi="Times New Roman" w:cs="Times New Roman"/>
        </w:rPr>
        <w:tab/>
      </w:r>
      <w:r>
        <w:rPr>
          <w:rFonts w:hint="default" w:ascii="Times New Roman" w:hAnsi="Times New Roman" w:eastAsia="方正小标宋简体" w:cs="Times New Roman"/>
          <w:sz w:val="44"/>
          <w:szCs w:val="44"/>
        </w:rPr>
        <w:t>智能工厂（车间）项目实施情况表</w:t>
      </w:r>
    </w:p>
    <w:p>
      <w:pPr>
        <w:keepNext w:val="0"/>
        <w:keepLines w:val="0"/>
        <w:pageBreakBefore w:val="0"/>
        <w:tabs>
          <w:tab w:val="center" w:pos="6377"/>
          <w:tab w:val="left" w:pos="9810"/>
        </w:tabs>
        <w:kinsoku/>
        <w:wordWrap/>
        <w:overflowPunct/>
        <w:topLinePunct w:val="0"/>
        <w:bidi w:val="0"/>
        <w:adjustRightInd/>
        <w:snapToGrid/>
        <w:spacing w:after="0" w:line="560" w:lineRule="exact"/>
        <w:ind w:left="0" w:leftChars="0" w:firstLine="0" w:firstLineChars="0"/>
        <w:jc w:val="left"/>
        <w:textAlignment w:val="auto"/>
        <w:outlineLvl w:val="9"/>
        <w:rPr>
          <w:rFonts w:hint="default" w:ascii="Times New Roman" w:hAnsi="Times New Roman" w:eastAsia="华康简标题宋" w:cs="Times New Roman"/>
          <w:sz w:val="44"/>
          <w:szCs w:val="44"/>
        </w:rPr>
      </w:pPr>
    </w:p>
    <w:tbl>
      <w:tblPr>
        <w:tblStyle w:val="10"/>
        <w:tblW w:w="13664" w:type="dxa"/>
        <w:jc w:val="center"/>
        <w:tblLayout w:type="autofit"/>
        <w:tblCellMar>
          <w:top w:w="0" w:type="dxa"/>
          <w:left w:w="108" w:type="dxa"/>
          <w:bottom w:w="0" w:type="dxa"/>
          <w:right w:w="108" w:type="dxa"/>
        </w:tblCellMar>
      </w:tblPr>
      <w:tblGrid>
        <w:gridCol w:w="1561"/>
        <w:gridCol w:w="2695"/>
        <w:gridCol w:w="6806"/>
        <w:gridCol w:w="1275"/>
        <w:gridCol w:w="1327"/>
      </w:tblGrid>
      <w:tr>
        <w:tblPrEx>
          <w:tblCellMar>
            <w:top w:w="0" w:type="dxa"/>
            <w:left w:w="108" w:type="dxa"/>
            <w:bottom w:w="0" w:type="dxa"/>
            <w:right w:w="108" w:type="dxa"/>
          </w:tblCellMar>
        </w:tblPrEx>
        <w:trPr>
          <w:trHeight w:val="567" w:hRule="atLeast"/>
          <w:jc w:val="center"/>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建设环节</w:t>
            </w:r>
          </w:p>
        </w:tc>
        <w:tc>
          <w:tcPr>
            <w:tcW w:w="26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建设内容</w:t>
            </w:r>
          </w:p>
        </w:tc>
        <w:tc>
          <w:tcPr>
            <w:tcW w:w="68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建设指标</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实施情况</w:t>
            </w:r>
          </w:p>
        </w:tc>
        <w:tc>
          <w:tcPr>
            <w:tcW w:w="13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宋体" w:cs="Times New Roman"/>
                <w:b/>
                <w:bCs/>
                <w:color w:val="000000"/>
                <w:kern w:val="0"/>
                <w:sz w:val="22"/>
              </w:rPr>
            </w:pPr>
            <w:r>
              <w:rPr>
                <w:rFonts w:hint="default" w:ascii="Times New Roman" w:hAnsi="Times New Roman" w:eastAsia="宋体" w:cs="Times New Roman"/>
                <w:b/>
                <w:bCs/>
                <w:color w:val="000000"/>
                <w:kern w:val="0"/>
                <w:sz w:val="22"/>
              </w:rPr>
              <w:t>佐证材料</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工厂（车间）建设</w:t>
            </w:r>
          </w:p>
        </w:tc>
        <w:tc>
          <w:tcPr>
            <w:tcW w:w="26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开展工厂级（车间级）数字化规划与建设，对工艺流程、产线布局和物流路径等进行建模、仿真，模拟等，部署安全可控的智能制造设备、工业软件和系统。</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企业在国家</w:t>
            </w:r>
            <w:r>
              <w:rPr>
                <w:rFonts w:hint="default" w:ascii="Times New Roman" w:hAnsi="Times New Roman" w:eastAsia="仿宋_GB2312" w:cs="Times New Roman"/>
                <w:color w:val="000000"/>
                <w:kern w:val="0"/>
                <w:sz w:val="24"/>
                <w:szCs w:val="24"/>
                <w:lang w:bidi="ar"/>
              </w:rPr>
              <w:t>制造业数字化转型综合信息服务平台（https://szgx.miit.gov.cn/zzyszh/home）上开展数字化转型评估并达到二级以上（含二级）</w:t>
            </w:r>
            <w:r>
              <w:rPr>
                <w:rFonts w:hint="default" w:ascii="Times New Roman" w:hAnsi="Times New Roman" w:eastAsia="仿宋_GB2312" w:cs="Times New Roman"/>
                <w:color w:val="000000"/>
                <w:kern w:val="0"/>
                <w:sz w:val="24"/>
                <w:szCs w:val="24"/>
              </w:rPr>
              <w:t>。按照评估情况形成数字化规划，并按照计划组织落实。</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工厂（车间）搭建数字化模型，对工艺流程、产线布局和物流路径等进行仿真、模拟，引入AI动态优化算法，实现规划、生产、运营全流程的数字化管理，并将相关数据保存到数据库。</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建设工业互联网、物联网、5G、千兆光网等新型网络基础设施，部署安全防护设备，提升工厂（车间）的网络传输、算力基础、网络（数据）安全防护能力。</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研发设计</w:t>
            </w:r>
          </w:p>
        </w:tc>
        <w:tc>
          <w:tcPr>
            <w:tcW w:w="26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开展产品、工艺的数字化研发设计和仿真迭代，实现产品设计、工艺设计数据统一管理和协同。</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采用CAD、CAM、CAE、CAPP等数字化工具，实现数字化三维设计和工艺仿真验证。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建立PDM/PLM系统（图档管理、产品结构管理、变更管理、配置管理、需求管理），实现协同研发管理。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产品信息能够贯穿于设计、制造、质量、物流等环节，实现产品全生命周期管理。</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生产作业</w:t>
            </w:r>
          </w:p>
        </w:tc>
        <w:tc>
          <w:tcPr>
            <w:tcW w:w="26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开展关键装备和工序数智技术应用，实现关键装备异常预警、关键工序在线分析优化、关键生产过程精准控制、产品关键质量特性数字化检测。</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通过先进过程控制系统等手段，采用工业机器人或自动化装置实现自动化生产。</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数字化装备数量占主要生产装备总数量的比例超过50%。</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主要生产装备上云比例超过50%</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基于5G、智能传感等技术，部署基于AI的视觉质检系统（如深度学习图像识别），实现生产设备、物流设备、生产线等实时控制、在线运行监测、高效协同作业。</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建设质量管理系统，打通生产全流程质量数据，对产品核心质量等进行采集、分析、预测、追溯。</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建立物流跟踪及追溯系统，应用AI算法优化AGV/AMR路径规划与任务调度，采用条码扫描、射频识别、部署自主移动机器人等智能物流设备，实现工厂（车间）物料配送快速响应和动态调度。</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生产管理</w:t>
            </w:r>
          </w:p>
        </w:tc>
        <w:tc>
          <w:tcPr>
            <w:tcW w:w="26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通过对生产过程、仓储物流、设备运行、产品质量等进行数字化集成管控，应用数据分析工具，实现高效辅助计划排产和生产业务协同管理。</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建立工工业互联网平台或展示平台，实时数据库与制造过程自动化系统实现互通集成，协助企业管理层对生产经营绩效精准核算，提高整体生产经营效率。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应用企业资源管理计划（ERP）等管理系统，通过人、机、料、法、环一体化管理闭环，将精益管理理念与大数据、云计算等数智技术融合，实现资源高效流动，提高整体生产经营效率。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应用高级计划与排程系统（APS）等手段、实现多目标排产优化，缩短交付周期，提升资源利用率。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应用生产过程执行系统（MES）等手段，实现生产数据采集、计划排产管理、产品质量管理、生产设备监控、生产作业指导、生产过程追溯、车间人员排班等。</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建设自动化立体仓库和智能仓储管理系统，实现物料和成品出入库、存储、拣选的智能化，提高库存周转率和空间利用率。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lang w:eastAsia="zh"/>
              </w:rPr>
            </w:pPr>
            <w:r>
              <w:rPr>
                <w:rFonts w:hint="default" w:ascii="Times New Roman" w:hAnsi="Times New Roman" w:eastAsia="仿宋_GB2312" w:cs="Times New Roman"/>
                <w:color w:val="000000"/>
                <w:kern w:val="0"/>
                <w:sz w:val="24"/>
                <w:szCs w:val="24"/>
              </w:rPr>
              <w:t>实现企业资源管理计划（ERP）、生产过程执行系统（MES）、智能仓储系统等各类管理系统和现场控制系统的协同，提高生产效率。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4"/>
                <w:szCs w:val="24"/>
              </w:rPr>
              <w:t>建立仓储模型和配送模型，实现仓储配送与生产计划、制造执行以及企业资源管理业务的集成。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生产现场实现可视化、通过信息共享实现生产进度实时监控、生产指标自动计算，提高生产透明度和资源利用率。</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运营管理</w:t>
            </w:r>
          </w:p>
        </w:tc>
        <w:tc>
          <w:tcPr>
            <w:tcW w:w="26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通过经营管理与生产作业等业务的数据集成贯通，实现成本有效管控、订单及时交付、绩效指标动态评估等。</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构建智慧经营决策系统，应用AI驱动的经营预测模型（如LSTM、XGBoost），对营收、利润、现金流等关键经营指标进行月度/季度预测，提升科学经营决策水平。</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FF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建有工业信息安全管理制度和技术防护体系，</w:t>
            </w:r>
            <w:r>
              <w:rPr>
                <w:rFonts w:hint="default" w:ascii="Times New Roman" w:hAnsi="Times New Roman" w:eastAsia="仿宋_GB2312" w:cs="Times New Roman"/>
                <w:color w:val="000000"/>
                <w:kern w:val="0"/>
                <w:sz w:val="24"/>
                <w:szCs w:val="24"/>
                <w:lang w:bidi="ar"/>
              </w:rPr>
              <w:t>在全国工业互联网安全分类分级管理平台（</w:t>
            </w:r>
            <w:r>
              <w:rPr>
                <w:rFonts w:hint="default" w:ascii="Times New Roman" w:hAnsi="Times New Roman" w:eastAsia="仿宋_GB2312" w:cs="Times New Roman"/>
                <w:kern w:val="0"/>
                <w:sz w:val="24"/>
                <w:szCs w:val="24"/>
                <w:lang w:bidi="ar"/>
              </w:rPr>
              <w:t>https://www.cic-ciisec.org.cn:18080/login.html</w:t>
            </w:r>
            <w:r>
              <w:rPr>
                <w:rFonts w:hint="default" w:ascii="Times New Roman" w:hAnsi="Times New Roman" w:eastAsia="仿宋_GB2312" w:cs="Times New Roman"/>
                <w:color w:val="000000"/>
                <w:kern w:val="0"/>
                <w:sz w:val="24"/>
                <w:szCs w:val="24"/>
                <w:lang w:bidi="ar"/>
              </w:rPr>
              <w:t>）上开展自主定级和信息登记</w:t>
            </w:r>
            <w:r>
              <w:rPr>
                <w:rFonts w:hint="default" w:ascii="Times New Roman" w:hAnsi="Times New Roman"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rPr>
              <w:t>具备网络防护、应急响应等信息安全保障能力。</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FF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建立供应商库，应用供应商风险评估、供应链溯源等技术，开展基于数据分析的供应商评价、分类分级、寻源和优选推荐。</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FF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建立客户关系管理系统（CRM），在客户管理、营销绩效管理上实现智能化。</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FF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采用在线办公管理系统（OA），支撑企业各部门各环节协同办公。</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FF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26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应用人工智能等新技术对企业生产的各类数据经过采集、加工及分析，形成可用的知识、模型，用于对各制造环节进行评价、监控、预测、控制以及决策优化。</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r>
        <w:tblPrEx>
          <w:tblCellMar>
            <w:top w:w="0" w:type="dxa"/>
            <w:left w:w="108" w:type="dxa"/>
            <w:bottom w:w="0" w:type="dxa"/>
            <w:right w:w="108" w:type="dxa"/>
          </w:tblCellMar>
        </w:tblPrEx>
        <w:trPr>
          <w:trHeight w:val="567" w:hRule="atLeast"/>
          <w:jc w:val="center"/>
        </w:trPr>
        <w:tc>
          <w:tcPr>
            <w:tcW w:w="1561"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其他要素</w:t>
            </w:r>
          </w:p>
        </w:tc>
        <w:tc>
          <w:tcPr>
            <w:tcW w:w="26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效益情况</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关键设备数控化率提高；2.产品研发周期缩短；3.全员劳动生产率提高；4.生产或运营成本降低；5.产品不良率下降；6.单位能耗下降；7.设备综合利用率提升；8.订单准时交付率提升；9.年度同比营业收入正增长；10.年度同比净利润正增长。</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p>
        </w:tc>
      </w:tr>
      <w:tr>
        <w:tblPrEx>
          <w:tblCellMar>
            <w:top w:w="0" w:type="dxa"/>
            <w:left w:w="108" w:type="dxa"/>
            <w:bottom w:w="0" w:type="dxa"/>
            <w:right w:w="108" w:type="dxa"/>
          </w:tblCellMar>
        </w:tblPrEx>
        <w:trPr>
          <w:trHeight w:val="567" w:hRule="atLeast"/>
          <w:jc w:val="center"/>
        </w:trPr>
        <w:tc>
          <w:tcPr>
            <w:tcW w:w="156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p>
        </w:tc>
        <w:tc>
          <w:tcPr>
            <w:tcW w:w="26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示范性</w:t>
            </w:r>
          </w:p>
        </w:tc>
        <w:tc>
          <w:tcPr>
            <w:tcW w:w="68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近三年，在制造业数字化转型相关领域曾获国家、省和市专项资金奖补或认定，获得国家级数字化转型有关评估体系认证。</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center"/>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有/无</w:t>
            </w:r>
          </w:p>
        </w:tc>
        <w:tc>
          <w:tcPr>
            <w:tcW w:w="13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auto"/>
              <w:outlineLvl w:val="9"/>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bl>
    <w:p>
      <w:pPr>
        <w:keepNext w:val="0"/>
        <w:keepLines w:val="0"/>
        <w:pageBreakBefore w:val="0"/>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cs="Times New Roman"/>
        </w:rPr>
        <w:sectPr>
          <w:headerReference r:id="rId17" w:type="default"/>
          <w:footerReference r:id="rId19" w:type="default"/>
          <w:headerReference r:id="rId18" w:type="even"/>
          <w:footerReference r:id="rId20" w:type="even"/>
          <w:pgSz w:w="16838" w:h="11906" w:orient="landscape"/>
          <w:pgMar w:top="1588" w:right="2098" w:bottom="1474" w:left="1985" w:header="851" w:footer="992" w:gutter="0"/>
          <w:cols w:space="425" w:num="1"/>
          <w:titlePg/>
          <w:docGrid w:type="lines" w:linePitch="579" w:charSpace="-1024"/>
        </w:sectPr>
      </w:pPr>
    </w:p>
    <w:p>
      <w:pPr>
        <w:keepNext w:val="0"/>
        <w:keepLines w:val="0"/>
        <w:pageBreakBefore w:val="0"/>
        <w:widowControl/>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附件6</w:t>
      </w:r>
    </w:p>
    <w:p>
      <w:pPr>
        <w:keepNext w:val="0"/>
        <w:keepLines w:val="0"/>
        <w:pageBreakBefore w:val="0"/>
        <w:widowControl/>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黑体" w:cs="Times New Roman"/>
          <w:szCs w:val="32"/>
        </w:rPr>
      </w:pPr>
    </w:p>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法定代表人授权委托书</w:t>
      </w:r>
    </w:p>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szCs w:val="32"/>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本人</w:t>
      </w:r>
      <w:r>
        <w:rPr>
          <w:rFonts w:hint="default" w:ascii="Times New Roman" w:hAnsi="Times New Roman" w:cs="Times New Roman"/>
          <w:u w:val="single"/>
        </w:rPr>
        <w:t xml:space="preserve">（姓名）       </w:t>
      </w:r>
      <w:r>
        <w:rPr>
          <w:rFonts w:hint="default" w:ascii="Times New Roman" w:hAnsi="Times New Roman" w:cs="Times New Roman"/>
        </w:rPr>
        <w:t>，系</w:t>
      </w:r>
      <w:r>
        <w:rPr>
          <w:rFonts w:hint="default" w:ascii="Times New Roman" w:hAnsi="Times New Roman" w:cs="Times New Roman"/>
          <w:u w:val="single"/>
        </w:rPr>
        <w:t xml:space="preserve"> （公司名称）     </w:t>
      </w:r>
      <w:r>
        <w:rPr>
          <w:rFonts w:hint="default" w:ascii="Times New Roman" w:hAnsi="Times New Roman" w:cs="Times New Roman"/>
        </w:rPr>
        <w:t>的法定代表人，身份证号：</w:t>
      </w:r>
      <w:r>
        <w:rPr>
          <w:rFonts w:hint="default" w:ascii="Times New Roman" w:hAnsi="Times New Roman" w:cs="Times New Roman"/>
          <w:u w:val="single"/>
        </w:rPr>
        <w:t xml:space="preserve">               </w:t>
      </w:r>
      <w:r>
        <w:rPr>
          <w:rFonts w:hint="default" w:ascii="Times New Roman" w:hAnsi="Times New Roman" w:cs="Times New Roman"/>
        </w:rPr>
        <w:t>，因故不能参加</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日由东莞市工业和信息化局组织的2025年东莞市工业和信息化产业发展专项资金智能</w:t>
      </w:r>
      <w:r>
        <w:rPr>
          <w:rFonts w:hint="default" w:ascii="Times New Roman" w:hAnsi="Times New Roman" w:cs="Times New Roman"/>
          <w:u w:val="single"/>
        </w:rPr>
        <w:t xml:space="preserve">     </w:t>
      </w:r>
      <w:r>
        <w:rPr>
          <w:rFonts w:hint="default" w:ascii="Times New Roman" w:hAnsi="Times New Roman" w:cs="Times New Roman"/>
        </w:rPr>
        <w:t xml:space="preserve">项目现场核查，特委托我司    </w:t>
      </w:r>
      <w:r>
        <w:rPr>
          <w:rFonts w:hint="default" w:ascii="Times New Roman" w:hAnsi="Times New Roman" w:cs="Times New Roman"/>
          <w:u w:val="single"/>
        </w:rPr>
        <w:t xml:space="preserve">（姓名）  </w:t>
      </w:r>
      <w:r>
        <w:rPr>
          <w:rFonts w:hint="default" w:ascii="Times New Roman" w:hAnsi="Times New Roman" w:cs="Times New Roman"/>
        </w:rPr>
        <w:t>，职务：</w:t>
      </w:r>
      <w:r>
        <w:rPr>
          <w:rFonts w:hint="default" w:ascii="Times New Roman" w:hAnsi="Times New Roman" w:cs="Times New Roman"/>
          <w:u w:val="single"/>
        </w:rPr>
        <w:t xml:space="preserve">          </w:t>
      </w:r>
      <w:r>
        <w:rPr>
          <w:rFonts w:hint="default" w:ascii="Times New Roman" w:hAnsi="Times New Roman" w:cs="Times New Roman"/>
        </w:rPr>
        <w:t>，身份证号：</w:t>
      </w:r>
      <w:r>
        <w:rPr>
          <w:rFonts w:hint="default" w:ascii="Times New Roman" w:hAnsi="Times New Roman" w:cs="Times New Roman"/>
          <w:u w:val="single"/>
        </w:rPr>
        <w:t xml:space="preserve">          </w:t>
      </w:r>
      <w:r>
        <w:rPr>
          <w:rFonts w:hint="default" w:ascii="Times New Roman" w:hAnsi="Times New Roman" w:cs="Times New Roman"/>
        </w:rPr>
        <w:t>，代表本人全权负责本次现场核查工作。</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特此授权。</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企业法定代表人（签字）：</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企业名称（盖章）：   </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sectPr>
          <w:pgSz w:w="11906" w:h="16838"/>
          <w:pgMar w:top="1701" w:right="1587" w:bottom="1587" w:left="1587" w:header="283" w:footer="992" w:gutter="0"/>
          <w:cols w:space="425" w:num="1"/>
          <w:titlePg/>
          <w:docGrid w:type="lines" w:linePitch="579" w:charSpace="-1024"/>
        </w:sectPr>
      </w:pPr>
      <w:r>
        <w:rPr>
          <w:rFonts w:hint="default" w:ascii="Times New Roman" w:hAnsi="Times New Roman" w:cs="Times New Roman"/>
        </w:rPr>
        <w:t xml:space="preserve">                                  年     月     日</w:t>
      </w:r>
    </w:p>
    <w:p>
      <w:pPr>
        <w:keepNext w:val="0"/>
        <w:keepLines w:val="0"/>
        <w:pageBreakBefore w:val="0"/>
        <w:widowControl/>
        <w:kinsoku/>
        <w:wordWrap/>
        <w:overflowPunct/>
        <w:topLinePunct w:val="0"/>
        <w:bidi w:val="0"/>
        <w:adjustRightInd/>
        <w:snapToGrid/>
        <w:spacing w:after="0" w:line="560" w:lineRule="exact"/>
        <w:ind w:left="0" w:leftChars="0" w:firstLine="0" w:firstLineChars="0"/>
        <w:textAlignment w:val="auto"/>
        <w:outlineLvl w:val="9"/>
        <w:rPr>
          <w:rFonts w:hint="default" w:ascii="Times New Roman" w:hAnsi="Times New Roman" w:eastAsia="黑体" w:cs="Times New Roman"/>
          <w:szCs w:val="32"/>
        </w:rPr>
      </w:pPr>
      <w:r>
        <w:rPr>
          <w:rFonts w:hint="default" w:ascii="Times New Roman" w:hAnsi="Times New Roman" w:eastAsia="黑体" w:cs="Times New Roman"/>
          <w:szCs w:val="32"/>
        </w:rPr>
        <w:t>附件7</w:t>
      </w:r>
    </w:p>
    <w:p>
      <w:pPr>
        <w:keepNext w:val="0"/>
        <w:keepLines w:val="0"/>
        <w:pageBreakBefore w:val="0"/>
        <w:widowControl/>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szCs w:val="32"/>
        </w:rPr>
      </w:pPr>
    </w:p>
    <w:p>
      <w:pPr>
        <w:keepNext w:val="0"/>
        <w:keepLines w:val="0"/>
        <w:pageBreakBefore w:val="0"/>
        <w:widowControl/>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电子发票等票据使用承诺书</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本公司承诺，申报2025年东莞市工业和信息化产业发展专项资金智能</w:t>
      </w:r>
      <w:r>
        <w:rPr>
          <w:rFonts w:hint="default" w:ascii="Times New Roman" w:hAnsi="Times New Roman" w:cs="Times New Roman"/>
          <w:u w:val="single"/>
        </w:rPr>
        <w:t xml:space="preserve">     </w:t>
      </w:r>
      <w:r>
        <w:rPr>
          <w:rFonts w:hint="default" w:ascii="Times New Roman" w:hAnsi="Times New Roman" w:cs="Times New Roman"/>
        </w:rPr>
        <w:t>项目“</w:t>
      </w:r>
      <w:r>
        <w:rPr>
          <w:rFonts w:hint="default" w:ascii="Times New Roman" w:hAnsi="Times New Roman" w:cs="Times New Roman"/>
          <w:u w:val="single"/>
        </w:rPr>
        <w:t xml:space="preserve">          </w:t>
      </w:r>
      <w:r>
        <w:rPr>
          <w:rFonts w:hint="default" w:ascii="Times New Roman" w:hAnsi="Times New Roman" w:cs="Times New Roman"/>
        </w:rPr>
        <w:t>项目”所填报的电子发票号/电子报关单号***、***……（列明每一张发票/电子报关单）未获得市财政资金支持；承诺未经报备现场核查会计师事务所，不得擅自作废电子发票/电子报关单，否则愿意承担相关法律责任。</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rPr>
      </w:pPr>
      <w:r>
        <w:rPr>
          <w:rFonts w:hint="default" w:ascii="Times New Roman" w:hAnsi="Times New Roman" w:cs="Times New Roman"/>
        </w:rPr>
        <w:t>企业法定代表人（签字）：</w:t>
      </w:r>
    </w:p>
    <w:p>
      <w:pPr>
        <w:keepNext w:val="0"/>
        <w:keepLines w:val="0"/>
        <w:pageBreakBefore w:val="0"/>
        <w:kinsoku/>
        <w:wordWrap/>
        <w:overflowPunct/>
        <w:topLinePunct w:val="0"/>
        <w:bidi w:val="0"/>
        <w:adjustRightInd/>
        <w:snapToGrid/>
        <w:spacing w:after="0" w:line="560" w:lineRule="exact"/>
        <w:ind w:left="0" w:leftChars="0" w:firstLine="0" w:firstLineChars="0"/>
        <w:jc w:val="center"/>
        <w:textAlignment w:val="auto"/>
        <w:outlineLvl w:val="9"/>
        <w:rPr>
          <w:rFonts w:hint="default" w:ascii="Times New Roman" w:hAnsi="Times New Roman" w:cs="Times New Roman"/>
        </w:rPr>
      </w:pPr>
    </w:p>
    <w:p>
      <w:pPr>
        <w:keepNext w:val="0"/>
        <w:keepLines w:val="0"/>
        <w:pageBreakBefore w:val="0"/>
        <w:kinsoku/>
        <w:wordWrap/>
        <w:overflowPunct/>
        <w:topLinePunct w:val="0"/>
        <w:bidi w:val="0"/>
        <w:adjustRightInd/>
        <w:snapToGrid/>
        <w:spacing w:after="0" w:line="560" w:lineRule="exact"/>
        <w:ind w:left="0" w:leftChars="0" w:firstLine="2560" w:firstLineChars="800"/>
        <w:textAlignment w:val="auto"/>
        <w:outlineLvl w:val="9"/>
        <w:rPr>
          <w:rFonts w:hint="default" w:ascii="Times New Roman" w:hAnsi="Times New Roman" w:cs="Times New Roman"/>
        </w:rPr>
      </w:pPr>
      <w:r>
        <w:rPr>
          <w:rFonts w:hint="default" w:ascii="Times New Roman" w:hAnsi="Times New Roman" w:cs="Times New Roman"/>
        </w:rPr>
        <w:t>企业名称（盖章）：</w:t>
      </w:r>
    </w:p>
    <w:p>
      <w:pPr>
        <w:keepNext w:val="0"/>
        <w:keepLines w:val="0"/>
        <w:pageBreakBefore w:val="0"/>
        <w:kinsoku/>
        <w:wordWrap/>
        <w:overflowPunct/>
        <w:topLinePunct w:val="0"/>
        <w:bidi w:val="0"/>
        <w:adjustRightInd/>
        <w:snapToGrid/>
        <w:spacing w:after="0" w:line="560" w:lineRule="exact"/>
        <w:ind w:left="0" w:leftChars="0" w:firstLine="2560" w:firstLineChars="800"/>
        <w:textAlignment w:val="auto"/>
        <w:outlineLvl w:val="9"/>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kinsoku/>
        <w:wordWrap/>
        <w:overflowPunct/>
        <w:topLinePunct w:val="0"/>
        <w:bidi w:val="0"/>
        <w:adjustRightInd/>
        <w:snapToGrid/>
        <w:spacing w:after="0" w:line="560" w:lineRule="exact"/>
        <w:ind w:left="0" w:leftChars="0" w:firstLine="640"/>
        <w:textAlignment w:val="auto"/>
        <w:outlineLvl w:val="9"/>
        <w:rPr>
          <w:rFonts w:hint="default" w:ascii="Times New Roman" w:hAnsi="Times New Roman" w:cs="Times New Roman"/>
        </w:rPr>
      </w:pPr>
      <w:r>
        <w:rPr>
          <w:rFonts w:hint="default" w:ascii="Times New Roman" w:hAnsi="Times New Roman" w:cs="Times New Roman"/>
        </w:rPr>
        <w:t xml:space="preserve">                                  年     月     日</w:t>
      </w:r>
    </w:p>
    <w:sectPr>
      <w:pgSz w:w="11906" w:h="16838"/>
      <w:pgMar w:top="1701" w:right="1587" w:bottom="1587" w:left="1587" w:header="851" w:footer="992" w:gutter="0"/>
      <w:cols w:space="425" w:num="1"/>
      <w:titlePg/>
      <w:docGrid w:type="line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康简标题宋">
    <w:panose1 w:val="0201060900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8914"/>
    </w:sdtPr>
    <w:sdtEndPr>
      <w:rPr>
        <w:rFonts w:cs="Times New Roman"/>
        <w:sz w:val="28"/>
        <w:szCs w:val="28"/>
      </w:rPr>
    </w:sdtEndPr>
    <w:sdtContent>
      <w:p>
        <w:pPr>
          <w:pStyle w:val="6"/>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13 -</w:t>
        </w:r>
        <w:r>
          <w:rPr>
            <w:rFonts w:cs="Times New Roman"/>
            <w:sz w:val="28"/>
            <w:szCs w:val="28"/>
          </w:rPr>
          <w:fldChar w:fldCharType="end"/>
        </w:r>
        <w:r>
          <w:rPr>
            <w:sz w:val="28"/>
            <w:szCs w:val="28"/>
          </w:rPr>
          <w:t>—</w:t>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8913"/>
    </w:sdtPr>
    <w:sdtEndPr>
      <w:rPr>
        <w:rFonts w:cs="Times New Roman"/>
        <w:sz w:val="28"/>
        <w:szCs w:val="28"/>
      </w:rPr>
    </w:sdtEndPr>
    <w:sdtContent>
      <w:p>
        <w:pPr>
          <w:pStyle w:val="6"/>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12 -</w:t>
        </w:r>
        <w:r>
          <w:rPr>
            <w:rFonts w:cs="Times New Roman"/>
            <w:sz w:val="28"/>
            <w:szCs w:val="28"/>
          </w:rPr>
          <w:fldChar w:fldCharType="end"/>
        </w:r>
        <w:r>
          <w:rPr>
            <w:sz w:val="28"/>
            <w:szCs w:val="28"/>
          </w:rPr>
          <w:t>—</w:t>
        </w:r>
      </w:p>
    </w:sdtContent>
  </w:sdt>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8915"/>
    </w:sdtPr>
    <w:sdtEndPr>
      <w:rPr>
        <w:rFonts w:cs="Times New Roman"/>
        <w:sz w:val="28"/>
        <w:szCs w:val="28"/>
      </w:rPr>
    </w:sdtEndPr>
    <w:sdtContent>
      <w:p>
        <w:pPr>
          <w:pStyle w:val="6"/>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1 -</w:t>
        </w:r>
        <w:r>
          <w:rPr>
            <w:rFonts w:cs="Times New Roman"/>
            <w:sz w:val="28"/>
            <w:szCs w:val="28"/>
          </w:rPr>
          <w:fldChar w:fldCharType="end"/>
        </w:r>
        <w:r>
          <w:rPr>
            <w:sz w:val="28"/>
            <w:szCs w:val="28"/>
          </w:rPr>
          <w:t>—</w:t>
        </w:r>
      </w:p>
    </w:sdtContent>
  </w:sdt>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465933"/>
    </w:sdtPr>
    <w:sdtEndPr>
      <w:rPr>
        <w:rFonts w:cs="Times New Roman"/>
        <w:sz w:val="28"/>
        <w:szCs w:val="28"/>
      </w:rPr>
    </w:sdtEndPr>
    <w:sdtContent>
      <w:p>
        <w:pPr>
          <w:pStyle w:val="6"/>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19 -</w:t>
        </w:r>
        <w:r>
          <w:rPr>
            <w:rFonts w:cs="Times New Roman"/>
            <w:sz w:val="28"/>
            <w:szCs w:val="28"/>
          </w:rPr>
          <w:fldChar w:fldCharType="end"/>
        </w:r>
        <w:r>
          <w:rPr>
            <w:sz w:val="28"/>
            <w:szCs w:val="28"/>
          </w:rPr>
          <w:t>—</w:t>
        </w:r>
      </w:p>
    </w:sdtContent>
  </w:sdt>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36860"/>
    </w:sdtPr>
    <w:sdtEndPr>
      <w:rPr>
        <w:rFonts w:cs="Times New Roman"/>
        <w:sz w:val="28"/>
        <w:szCs w:val="28"/>
      </w:rPr>
    </w:sdtEndPr>
    <w:sdtContent>
      <w:p>
        <w:pPr>
          <w:pStyle w:val="6"/>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20 -</w:t>
        </w:r>
        <w:r>
          <w:rPr>
            <w:rFonts w:cs="Times New Roman"/>
            <w:sz w:val="28"/>
            <w:szCs w:val="28"/>
          </w:rPr>
          <w:fldChar w:fldCharType="end"/>
        </w:r>
        <w:r>
          <w:rPr>
            <w:sz w:val="28"/>
            <w:szCs w:val="28"/>
          </w:rPr>
          <w:t>—</w:t>
        </w:r>
      </w:p>
    </w:sdtContent>
  </w:sdt>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832321"/>
    </w:sdtPr>
    <w:sdtEndPr>
      <w:rPr>
        <w:rFonts w:cs="Times New Roman"/>
        <w:sz w:val="28"/>
        <w:szCs w:val="28"/>
      </w:rPr>
    </w:sdtEndPr>
    <w:sdtContent>
      <w:p>
        <w:pPr>
          <w:pStyle w:val="6"/>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w:t>
        </w:r>
        <w:r>
          <w:rPr>
            <w:rFonts w:cs="Times New Roman"/>
            <w:sz w:val="28"/>
            <w:szCs w:val="28"/>
          </w:rPr>
          <w:t xml:space="preserve"> 21 -</w:t>
        </w:r>
        <w:r>
          <w:rPr>
            <w:rFonts w:cs="Times New Roman"/>
            <w:sz w:val="28"/>
            <w:szCs w:val="28"/>
          </w:rPr>
          <w:fldChar w:fldCharType="end"/>
        </w:r>
        <w:r>
          <w:rPr>
            <w:sz w:val="28"/>
            <w:szCs w:val="28"/>
          </w:rPr>
          <w:t>—</w:t>
        </w:r>
      </w:p>
    </w:sdtContent>
  </w:sdt>
  <w:p>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00739"/>
    </w:sdtPr>
    <w:sdtEndPr>
      <w:rPr>
        <w:rFonts w:cs="Times New Roman"/>
        <w:sz w:val="28"/>
        <w:szCs w:val="28"/>
      </w:rPr>
    </w:sdtEndPr>
    <w:sdtContent>
      <w:p>
        <w:pPr>
          <w:pStyle w:val="6"/>
          <w:ind w:firstLine="360"/>
          <w:jc w:val="right"/>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39</w:t>
        </w:r>
        <w:r>
          <w:rPr>
            <w:rFonts w:cs="Times New Roman"/>
            <w:sz w:val="28"/>
            <w:szCs w:val="28"/>
          </w:rPr>
          <w:fldChar w:fldCharType="end"/>
        </w:r>
        <w:r>
          <w:rPr>
            <w:sz w:val="28"/>
            <w:szCs w:val="28"/>
          </w:rPr>
          <w:t>—</w:t>
        </w:r>
      </w:p>
    </w:sdtContent>
  </w:sdt>
  <w:p>
    <w:pPr>
      <w:pStyle w:val="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728717"/>
    </w:sdtPr>
    <w:sdtEndPr>
      <w:rPr>
        <w:rFonts w:cs="Times New Roman"/>
        <w:sz w:val="28"/>
        <w:szCs w:val="28"/>
      </w:rPr>
    </w:sdtEndPr>
    <w:sdtContent>
      <w:p>
        <w:pPr>
          <w:pStyle w:val="6"/>
          <w:ind w:firstLine="360"/>
          <w:rPr>
            <w:rFonts w:cs="Times New Roman"/>
            <w:sz w:val="28"/>
            <w:szCs w:val="28"/>
          </w:rPr>
        </w:pPr>
        <w:r>
          <w:rPr>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40</w:t>
        </w:r>
        <w:r>
          <w:rPr>
            <w:rFonts w:cs="Times New Roman"/>
            <w:sz w:val="28"/>
            <w:szCs w:val="28"/>
          </w:rPr>
          <w:fldChar w:fldCharType="end"/>
        </w:r>
        <w:r>
          <w:rPr>
            <w:sz w:val="28"/>
            <w:szCs w:val="28"/>
          </w:rPr>
          <w:t>—</w:t>
        </w:r>
      </w:p>
    </w:sdtContent>
  </w:sdt>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ind w:firstLine="640"/>
      </w:pPr>
      <w:r>
        <w:separator/>
      </w:r>
    </w:p>
  </w:footnote>
  <w:footnote w:type="continuationSeparator" w:id="7">
    <w:p>
      <w:pPr>
        <w:spacing w:before="0" w:after="0" w:line="240" w:lineRule="auto"/>
        <w:ind w:firstLine="640"/>
      </w:pPr>
      <w:r>
        <w:continuationSeparator/>
      </w:r>
    </w:p>
  </w:footnote>
  <w:footnote w:id="0">
    <w:p>
      <w:pPr>
        <w:wordWrap w:val="0"/>
        <w:adjustRightInd w:val="0"/>
        <w:snapToGrid w:val="0"/>
        <w:spacing w:after="0" w:line="240" w:lineRule="auto"/>
        <w:ind w:firstLine="480"/>
        <w:jc w:val="left"/>
        <w:rPr>
          <w:rFonts w:eastAsia="宋体" w:cs="Times New Roman"/>
          <w:sz w:val="24"/>
          <w:szCs w:val="24"/>
        </w:rPr>
      </w:pPr>
      <w:r>
        <w:rPr>
          <w:rFonts w:eastAsia="宋体" w:cs="Times New Roman"/>
          <w:sz w:val="24"/>
          <w:szCs w:val="24"/>
          <w:vertAlign w:val="superscript"/>
        </w:rPr>
        <w:footnoteRef/>
      </w:r>
      <w:r>
        <w:rPr>
          <w:rFonts w:eastAsia="宋体" w:cs="Times New Roman"/>
          <w:sz w:val="24"/>
          <w:szCs w:val="24"/>
        </w:rPr>
        <w:t xml:space="preserve"> </w:t>
      </w:r>
      <w:r>
        <w:rPr>
          <w:rFonts w:hint="eastAsia" w:eastAsia="宋体" w:cs="Times New Roman"/>
          <w:sz w:val="24"/>
          <w:szCs w:val="24"/>
        </w:rPr>
        <w:t>登录申报系统，访问办件详情页下载水印件，办件详情页链接【http://zwfw.dg.gov.cn/html/portal/apply/particulars.html?sblsh=流水号】（请替换具体流水号），在“材料附件”位置下载水印件。</w:t>
      </w:r>
    </w:p>
  </w:footnote>
  <w:footnote w:id="1">
    <w:p>
      <w:pPr>
        <w:wordWrap w:val="0"/>
        <w:adjustRightInd w:val="0"/>
        <w:snapToGrid w:val="0"/>
        <w:spacing w:after="0" w:line="240" w:lineRule="auto"/>
        <w:ind w:firstLine="480"/>
        <w:jc w:val="left"/>
        <w:rPr>
          <w:rFonts w:asciiTheme="minorEastAsia" w:hAnsiTheme="minorEastAsia" w:eastAsiaTheme="minorEastAsia" w:cstheme="minorEastAsia"/>
          <w:sz w:val="24"/>
          <w:szCs w:val="24"/>
        </w:rPr>
      </w:pPr>
      <w:r>
        <w:rPr>
          <w:rFonts w:eastAsia="宋体" w:cs="Times New Roman"/>
          <w:sz w:val="24"/>
          <w:szCs w:val="24"/>
          <w:vertAlign w:val="superscript"/>
        </w:rPr>
        <w:footnoteRef/>
      </w:r>
      <w:r>
        <w:rPr>
          <w:rFonts w:eastAsia="宋体" w:cs="Times New Roman"/>
          <w:sz w:val="24"/>
          <w:szCs w:val="24"/>
        </w:rPr>
        <w:t xml:space="preserve"> 登录</w:t>
      </w:r>
      <w:r>
        <w:rPr>
          <w:rFonts w:hint="eastAsia" w:eastAsia="宋体" w:cs="Times New Roman"/>
          <w:sz w:val="24"/>
          <w:szCs w:val="24"/>
        </w:rPr>
        <w:t>“</w:t>
      </w:r>
      <w:r>
        <w:rPr>
          <w:rFonts w:eastAsia="宋体" w:cs="Times New Roman"/>
          <w:sz w:val="24"/>
          <w:szCs w:val="24"/>
        </w:rPr>
        <w:t>i莞家</w:t>
      </w:r>
      <w:r>
        <w:rPr>
          <w:rFonts w:hint="eastAsia" w:eastAsia="宋体" w:cs="Times New Roman"/>
          <w:sz w:val="24"/>
          <w:szCs w:val="24"/>
        </w:rPr>
        <w:t>”</w:t>
      </w:r>
      <w:r>
        <w:rPr>
          <w:rFonts w:eastAsia="宋体" w:cs="Times New Roman"/>
          <w:sz w:val="24"/>
          <w:szCs w:val="24"/>
        </w:rPr>
        <w:t>小程序下载水印件，路径：人脸识别登录之后，首页点击</w:t>
      </w:r>
      <w:r>
        <w:rPr>
          <w:rFonts w:hint="eastAsia" w:eastAsia="宋体" w:cs="Times New Roman"/>
          <w:sz w:val="24"/>
          <w:szCs w:val="24"/>
        </w:rPr>
        <w:t>“</w:t>
      </w:r>
      <w:r>
        <w:rPr>
          <w:rFonts w:eastAsia="宋体" w:cs="Times New Roman"/>
          <w:sz w:val="24"/>
          <w:szCs w:val="24"/>
        </w:rPr>
        <w:t>企莞家</w:t>
      </w:r>
      <w:r>
        <w:rPr>
          <w:rFonts w:hint="eastAsia" w:eastAsia="宋体" w:cs="Times New Roman"/>
          <w:sz w:val="24"/>
          <w:szCs w:val="24"/>
        </w:rPr>
        <w:t>”</w:t>
      </w:r>
      <w:r>
        <w:rPr>
          <w:rFonts w:eastAsia="宋体" w:cs="Times New Roman"/>
          <w:sz w:val="24"/>
          <w:szCs w:val="24"/>
        </w:rPr>
        <w:t>--右下角</w:t>
      </w:r>
      <w:r>
        <w:rPr>
          <w:rFonts w:hint="eastAsia" w:eastAsia="宋体" w:cs="Times New Roman"/>
          <w:sz w:val="24"/>
          <w:szCs w:val="24"/>
        </w:rPr>
        <w:t>“</w:t>
      </w:r>
      <w:r>
        <w:rPr>
          <w:rFonts w:eastAsia="宋体" w:cs="Times New Roman"/>
          <w:sz w:val="24"/>
          <w:szCs w:val="24"/>
        </w:rPr>
        <w:t>企业空间</w:t>
      </w:r>
      <w:r>
        <w:rPr>
          <w:rFonts w:hint="eastAsia" w:eastAsia="宋体" w:cs="Times New Roman"/>
          <w:sz w:val="24"/>
          <w:szCs w:val="24"/>
        </w:rPr>
        <w:t>”</w:t>
      </w:r>
      <w:r>
        <w:rPr>
          <w:rFonts w:eastAsia="宋体" w:cs="Times New Roman"/>
          <w:sz w:val="24"/>
          <w:szCs w:val="24"/>
        </w:rPr>
        <w:t>--</w:t>
      </w:r>
      <w:r>
        <w:rPr>
          <w:rFonts w:hint="eastAsia" w:eastAsia="宋体" w:cs="Times New Roman"/>
          <w:sz w:val="24"/>
          <w:szCs w:val="24"/>
        </w:rPr>
        <w:t>“</w:t>
      </w:r>
      <w:r>
        <w:rPr>
          <w:rFonts w:eastAsia="宋体" w:cs="Times New Roman"/>
          <w:sz w:val="24"/>
          <w:szCs w:val="24"/>
        </w:rPr>
        <w:t>我的办件</w:t>
      </w:r>
      <w:r>
        <w:rPr>
          <w:rFonts w:hint="eastAsia" w:eastAsia="宋体" w:cs="Times New Roman"/>
          <w:sz w:val="24"/>
          <w:szCs w:val="24"/>
        </w:rPr>
        <w:t>”</w:t>
      </w:r>
      <w:r>
        <w:rPr>
          <w:rFonts w:eastAsia="宋体" w:cs="Times New Roman"/>
          <w:sz w:val="24"/>
          <w:szCs w:val="24"/>
        </w:rPr>
        <w:t>--按提示绑定企业，绑定后点击</w:t>
      </w:r>
      <w:r>
        <w:rPr>
          <w:rFonts w:hint="eastAsia" w:eastAsia="宋体" w:cs="Times New Roman"/>
          <w:sz w:val="24"/>
          <w:szCs w:val="24"/>
        </w:rPr>
        <w:t>“</w:t>
      </w:r>
      <w:r>
        <w:rPr>
          <w:rFonts w:eastAsia="宋体" w:cs="Times New Roman"/>
          <w:sz w:val="24"/>
          <w:szCs w:val="24"/>
        </w:rPr>
        <w:t>选择办事</w:t>
      </w:r>
      <w:r>
        <w:rPr>
          <w:rFonts w:hint="eastAsia" w:eastAsia="宋体" w:cs="Times New Roman"/>
          <w:sz w:val="24"/>
          <w:szCs w:val="24"/>
        </w:rPr>
        <w:t>”</w:t>
      </w:r>
      <w:r>
        <w:rPr>
          <w:rFonts w:eastAsia="宋体" w:cs="Times New Roman"/>
          <w:sz w:val="24"/>
          <w:szCs w:val="24"/>
        </w:rPr>
        <w:t>--在</w:t>
      </w:r>
      <w:r>
        <w:rPr>
          <w:rFonts w:hint="eastAsia" w:eastAsia="宋体" w:cs="Times New Roman"/>
          <w:sz w:val="24"/>
          <w:szCs w:val="24"/>
        </w:rPr>
        <w:t>“</w:t>
      </w:r>
      <w:r>
        <w:rPr>
          <w:rFonts w:eastAsia="宋体" w:cs="Times New Roman"/>
          <w:sz w:val="24"/>
          <w:szCs w:val="24"/>
        </w:rPr>
        <w:t>我的办件</w:t>
      </w:r>
      <w:r>
        <w:rPr>
          <w:rFonts w:hint="eastAsia" w:eastAsia="宋体" w:cs="Times New Roman"/>
          <w:sz w:val="24"/>
          <w:szCs w:val="24"/>
        </w:rPr>
        <w:t>”</w:t>
      </w:r>
      <w:r>
        <w:rPr>
          <w:rFonts w:eastAsia="宋体" w:cs="Times New Roman"/>
          <w:sz w:val="24"/>
          <w:szCs w:val="24"/>
        </w:rPr>
        <w:t>中找到对应业务记录--点击记录，在</w:t>
      </w:r>
      <w:r>
        <w:rPr>
          <w:rFonts w:hint="eastAsia" w:eastAsia="宋体" w:cs="Times New Roman"/>
          <w:sz w:val="24"/>
          <w:szCs w:val="24"/>
        </w:rPr>
        <w:t>“</w:t>
      </w:r>
      <w:r>
        <w:rPr>
          <w:rFonts w:eastAsia="宋体" w:cs="Times New Roman"/>
          <w:sz w:val="24"/>
          <w:szCs w:val="24"/>
        </w:rPr>
        <w:t>材料附件</w:t>
      </w:r>
      <w:r>
        <w:rPr>
          <w:rFonts w:hint="eastAsia" w:eastAsia="宋体" w:cs="Times New Roman"/>
          <w:sz w:val="24"/>
          <w:szCs w:val="24"/>
        </w:rPr>
        <w:t>”</w:t>
      </w:r>
      <w:r>
        <w:rPr>
          <w:rFonts w:eastAsia="宋体" w:cs="Times New Roman"/>
          <w:sz w:val="24"/>
          <w:szCs w:val="24"/>
        </w:rPr>
        <w:t>位置找到</w:t>
      </w:r>
      <w:r>
        <w:rPr>
          <w:rFonts w:hint="eastAsia" w:asciiTheme="minorEastAsia" w:hAnsiTheme="minorEastAsia" w:eastAsiaTheme="minorEastAsia" w:cstheme="minorEastAsia"/>
          <w:sz w:val="24"/>
          <w:szCs w:val="24"/>
        </w:rPr>
        <w:t>对应申请材料--点击水印件后出现“复制下载链接”按钮，点击该按钮后复制到浏览器下载。</w:t>
      </w:r>
    </w:p>
  </w:footnote>
  <w:footnote w:id="2">
    <w:p>
      <w:pPr>
        <w:wordWrap w:val="0"/>
        <w:adjustRightInd w:val="0"/>
        <w:snapToGrid w:val="0"/>
        <w:spacing w:after="0" w:line="24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footnoteRef/>
      </w:r>
      <w:r>
        <w:rPr>
          <w:rFonts w:hint="eastAsia" w:asciiTheme="minorEastAsia" w:hAnsiTheme="minorEastAsia" w:eastAsiaTheme="minorEastAsia" w:cstheme="minorEastAsia"/>
          <w:sz w:val="24"/>
          <w:szCs w:val="24"/>
          <w:vertAlign w:val="superscript"/>
        </w:rPr>
        <w:t xml:space="preserve"> </w:t>
      </w:r>
      <w:r>
        <w:rPr>
          <w:rFonts w:hint="eastAsia" w:asciiTheme="minorEastAsia" w:hAnsiTheme="minorEastAsia" w:eastAsiaTheme="minorEastAsia" w:cstheme="minorEastAsia"/>
          <w:sz w:val="24"/>
          <w:szCs w:val="24"/>
        </w:rPr>
        <w:t>带水印的申报材料：当申报材料通过市工信局形式审查后，申报系统1日内对申报材料加盖“流水号”水印，未通过市工信局形式审查或者形式审查不通过的申报材料，不加盖“流水号”水印。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w:tab/>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F35DA"/>
    <w:multiLevelType w:val="multilevel"/>
    <w:tmpl w:val="064F35DA"/>
    <w:lvl w:ilvl="0" w:tentative="0">
      <w:start w:val="1"/>
      <w:numFmt w:val="japaneseCounting"/>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315"/>
  <w:drawingGridVerticalSpacing w:val="579"/>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DF"/>
    <w:rsid w:val="00003D65"/>
    <w:rsid w:val="000111EE"/>
    <w:rsid w:val="00013275"/>
    <w:rsid w:val="00035E40"/>
    <w:rsid w:val="00045849"/>
    <w:rsid w:val="000462AF"/>
    <w:rsid w:val="0005427A"/>
    <w:rsid w:val="0006065B"/>
    <w:rsid w:val="0006323D"/>
    <w:rsid w:val="00063F21"/>
    <w:rsid w:val="00065494"/>
    <w:rsid w:val="00066165"/>
    <w:rsid w:val="00067E08"/>
    <w:rsid w:val="0007481B"/>
    <w:rsid w:val="000757D5"/>
    <w:rsid w:val="00081C54"/>
    <w:rsid w:val="000909C7"/>
    <w:rsid w:val="000939AB"/>
    <w:rsid w:val="00093D32"/>
    <w:rsid w:val="000B2432"/>
    <w:rsid w:val="000C2B7D"/>
    <w:rsid w:val="000D1B27"/>
    <w:rsid w:val="000D425D"/>
    <w:rsid w:val="000E0B90"/>
    <w:rsid w:val="000E2492"/>
    <w:rsid w:val="000E39CF"/>
    <w:rsid w:val="000E4985"/>
    <w:rsid w:val="000E4CBE"/>
    <w:rsid w:val="000E7296"/>
    <w:rsid w:val="000F003D"/>
    <w:rsid w:val="001003F0"/>
    <w:rsid w:val="001102EB"/>
    <w:rsid w:val="00112286"/>
    <w:rsid w:val="00120B96"/>
    <w:rsid w:val="00122DF9"/>
    <w:rsid w:val="00135ECA"/>
    <w:rsid w:val="00164774"/>
    <w:rsid w:val="0016793E"/>
    <w:rsid w:val="001708B0"/>
    <w:rsid w:val="0017302D"/>
    <w:rsid w:val="00181C17"/>
    <w:rsid w:val="00183C19"/>
    <w:rsid w:val="001854B5"/>
    <w:rsid w:val="001908E0"/>
    <w:rsid w:val="00192308"/>
    <w:rsid w:val="00194CF0"/>
    <w:rsid w:val="001A0807"/>
    <w:rsid w:val="001A1152"/>
    <w:rsid w:val="001A18E6"/>
    <w:rsid w:val="001A1A5E"/>
    <w:rsid w:val="001A6112"/>
    <w:rsid w:val="001B4011"/>
    <w:rsid w:val="001B46A4"/>
    <w:rsid w:val="001B54C1"/>
    <w:rsid w:val="001C67CF"/>
    <w:rsid w:val="001E5A59"/>
    <w:rsid w:val="001F4480"/>
    <w:rsid w:val="00206386"/>
    <w:rsid w:val="00207748"/>
    <w:rsid w:val="00214A51"/>
    <w:rsid w:val="00214FB6"/>
    <w:rsid w:val="00214FC0"/>
    <w:rsid w:val="00222F47"/>
    <w:rsid w:val="002239C2"/>
    <w:rsid w:val="00224186"/>
    <w:rsid w:val="00225123"/>
    <w:rsid w:val="00241CF3"/>
    <w:rsid w:val="00245FAE"/>
    <w:rsid w:val="00255073"/>
    <w:rsid w:val="002552D5"/>
    <w:rsid w:val="00266592"/>
    <w:rsid w:val="0027591B"/>
    <w:rsid w:val="00276863"/>
    <w:rsid w:val="00276D97"/>
    <w:rsid w:val="00285C91"/>
    <w:rsid w:val="00287E68"/>
    <w:rsid w:val="002935CA"/>
    <w:rsid w:val="0029683D"/>
    <w:rsid w:val="002978C3"/>
    <w:rsid w:val="00297BF9"/>
    <w:rsid w:val="002A25DA"/>
    <w:rsid w:val="002A3E26"/>
    <w:rsid w:val="002A431D"/>
    <w:rsid w:val="002A5B87"/>
    <w:rsid w:val="002C41C8"/>
    <w:rsid w:val="002C4B5A"/>
    <w:rsid w:val="002D2CAA"/>
    <w:rsid w:val="002E18B3"/>
    <w:rsid w:val="002E28E7"/>
    <w:rsid w:val="002E4566"/>
    <w:rsid w:val="002E64BB"/>
    <w:rsid w:val="002F4DFF"/>
    <w:rsid w:val="002F5A9E"/>
    <w:rsid w:val="002F66B7"/>
    <w:rsid w:val="002F760F"/>
    <w:rsid w:val="00303272"/>
    <w:rsid w:val="00306FA5"/>
    <w:rsid w:val="00310FAC"/>
    <w:rsid w:val="0031278C"/>
    <w:rsid w:val="003159AC"/>
    <w:rsid w:val="003167B8"/>
    <w:rsid w:val="003169B4"/>
    <w:rsid w:val="003170AA"/>
    <w:rsid w:val="003230FE"/>
    <w:rsid w:val="00324A08"/>
    <w:rsid w:val="00325957"/>
    <w:rsid w:val="00331FD3"/>
    <w:rsid w:val="0033625C"/>
    <w:rsid w:val="003373CF"/>
    <w:rsid w:val="00342A13"/>
    <w:rsid w:val="003441EE"/>
    <w:rsid w:val="0034745E"/>
    <w:rsid w:val="00347BA4"/>
    <w:rsid w:val="00352A9B"/>
    <w:rsid w:val="003542E9"/>
    <w:rsid w:val="00365C27"/>
    <w:rsid w:val="003662F3"/>
    <w:rsid w:val="00367B65"/>
    <w:rsid w:val="00373743"/>
    <w:rsid w:val="00373EF4"/>
    <w:rsid w:val="00375FE3"/>
    <w:rsid w:val="00376F45"/>
    <w:rsid w:val="00377647"/>
    <w:rsid w:val="0038399E"/>
    <w:rsid w:val="00383C68"/>
    <w:rsid w:val="00386F54"/>
    <w:rsid w:val="00391960"/>
    <w:rsid w:val="00395A7C"/>
    <w:rsid w:val="003968CC"/>
    <w:rsid w:val="003A1A8F"/>
    <w:rsid w:val="003A2014"/>
    <w:rsid w:val="003A5D3B"/>
    <w:rsid w:val="003B3E0C"/>
    <w:rsid w:val="003B5D25"/>
    <w:rsid w:val="003B5E6D"/>
    <w:rsid w:val="003B648B"/>
    <w:rsid w:val="003B6758"/>
    <w:rsid w:val="003C510E"/>
    <w:rsid w:val="003E44C8"/>
    <w:rsid w:val="003E6F8F"/>
    <w:rsid w:val="003F69BD"/>
    <w:rsid w:val="003F7E49"/>
    <w:rsid w:val="0040564C"/>
    <w:rsid w:val="004227D3"/>
    <w:rsid w:val="0042453A"/>
    <w:rsid w:val="00431F85"/>
    <w:rsid w:val="004404BB"/>
    <w:rsid w:val="004520D4"/>
    <w:rsid w:val="00457495"/>
    <w:rsid w:val="004617D9"/>
    <w:rsid w:val="00461D43"/>
    <w:rsid w:val="00463279"/>
    <w:rsid w:val="00471A2E"/>
    <w:rsid w:val="0047413A"/>
    <w:rsid w:val="0048088C"/>
    <w:rsid w:val="0048440F"/>
    <w:rsid w:val="00484CE2"/>
    <w:rsid w:val="00484F15"/>
    <w:rsid w:val="00487C22"/>
    <w:rsid w:val="00493AFF"/>
    <w:rsid w:val="004942B6"/>
    <w:rsid w:val="00494778"/>
    <w:rsid w:val="00495B8B"/>
    <w:rsid w:val="004A4D43"/>
    <w:rsid w:val="004D1C89"/>
    <w:rsid w:val="004D70FB"/>
    <w:rsid w:val="004D765A"/>
    <w:rsid w:val="004E0D88"/>
    <w:rsid w:val="004E5333"/>
    <w:rsid w:val="004F16E3"/>
    <w:rsid w:val="004F2727"/>
    <w:rsid w:val="004F2C54"/>
    <w:rsid w:val="004F6276"/>
    <w:rsid w:val="00501021"/>
    <w:rsid w:val="005064CE"/>
    <w:rsid w:val="00510656"/>
    <w:rsid w:val="00516599"/>
    <w:rsid w:val="0052217B"/>
    <w:rsid w:val="005225A2"/>
    <w:rsid w:val="00523189"/>
    <w:rsid w:val="0052475C"/>
    <w:rsid w:val="00527B84"/>
    <w:rsid w:val="0053254E"/>
    <w:rsid w:val="005358FE"/>
    <w:rsid w:val="0055332C"/>
    <w:rsid w:val="00557596"/>
    <w:rsid w:val="00557CD6"/>
    <w:rsid w:val="00560557"/>
    <w:rsid w:val="00563C8B"/>
    <w:rsid w:val="00580EE1"/>
    <w:rsid w:val="00581BF0"/>
    <w:rsid w:val="00596354"/>
    <w:rsid w:val="005A0B75"/>
    <w:rsid w:val="005A49C4"/>
    <w:rsid w:val="005C0958"/>
    <w:rsid w:val="005C4987"/>
    <w:rsid w:val="005D23CC"/>
    <w:rsid w:val="005D295B"/>
    <w:rsid w:val="005D4B18"/>
    <w:rsid w:val="005E0168"/>
    <w:rsid w:val="005E7B52"/>
    <w:rsid w:val="005F3F6B"/>
    <w:rsid w:val="005F447E"/>
    <w:rsid w:val="005F5AD6"/>
    <w:rsid w:val="005F67AC"/>
    <w:rsid w:val="005F70F4"/>
    <w:rsid w:val="005F7630"/>
    <w:rsid w:val="00602601"/>
    <w:rsid w:val="00610DBA"/>
    <w:rsid w:val="0061755E"/>
    <w:rsid w:val="00623A6C"/>
    <w:rsid w:val="00624D00"/>
    <w:rsid w:val="00626CA2"/>
    <w:rsid w:val="00633756"/>
    <w:rsid w:val="00635609"/>
    <w:rsid w:val="00636225"/>
    <w:rsid w:val="00637192"/>
    <w:rsid w:val="00650CD8"/>
    <w:rsid w:val="006517A2"/>
    <w:rsid w:val="00653F37"/>
    <w:rsid w:val="00661BDF"/>
    <w:rsid w:val="00662299"/>
    <w:rsid w:val="00664671"/>
    <w:rsid w:val="00665347"/>
    <w:rsid w:val="00670A6F"/>
    <w:rsid w:val="00670B8F"/>
    <w:rsid w:val="00687DAB"/>
    <w:rsid w:val="00690E9C"/>
    <w:rsid w:val="00693F4B"/>
    <w:rsid w:val="00695EB6"/>
    <w:rsid w:val="006A33F6"/>
    <w:rsid w:val="006A4382"/>
    <w:rsid w:val="006A7C3A"/>
    <w:rsid w:val="006B0BEF"/>
    <w:rsid w:val="006B14B1"/>
    <w:rsid w:val="006D4549"/>
    <w:rsid w:val="006E0C1B"/>
    <w:rsid w:val="006F0237"/>
    <w:rsid w:val="006F4C68"/>
    <w:rsid w:val="006F7046"/>
    <w:rsid w:val="006F7052"/>
    <w:rsid w:val="006F772D"/>
    <w:rsid w:val="00700032"/>
    <w:rsid w:val="00702FC5"/>
    <w:rsid w:val="007034E3"/>
    <w:rsid w:val="0070741C"/>
    <w:rsid w:val="00710421"/>
    <w:rsid w:val="00715AE3"/>
    <w:rsid w:val="00716990"/>
    <w:rsid w:val="00720006"/>
    <w:rsid w:val="00721E3A"/>
    <w:rsid w:val="007253C6"/>
    <w:rsid w:val="00726058"/>
    <w:rsid w:val="00726A18"/>
    <w:rsid w:val="007276A0"/>
    <w:rsid w:val="00732371"/>
    <w:rsid w:val="00733E54"/>
    <w:rsid w:val="007343F1"/>
    <w:rsid w:val="007345B9"/>
    <w:rsid w:val="00742622"/>
    <w:rsid w:val="0074447E"/>
    <w:rsid w:val="007458EC"/>
    <w:rsid w:val="00757D70"/>
    <w:rsid w:val="00760463"/>
    <w:rsid w:val="00764FDC"/>
    <w:rsid w:val="0076759D"/>
    <w:rsid w:val="00767FDD"/>
    <w:rsid w:val="00771073"/>
    <w:rsid w:val="0077793D"/>
    <w:rsid w:val="00783260"/>
    <w:rsid w:val="00785424"/>
    <w:rsid w:val="007A4AC5"/>
    <w:rsid w:val="007B2ADE"/>
    <w:rsid w:val="007B4595"/>
    <w:rsid w:val="007B575E"/>
    <w:rsid w:val="007C4616"/>
    <w:rsid w:val="007D0F57"/>
    <w:rsid w:val="007D33FD"/>
    <w:rsid w:val="007D495B"/>
    <w:rsid w:val="007E5739"/>
    <w:rsid w:val="007F2AB5"/>
    <w:rsid w:val="007F3CA7"/>
    <w:rsid w:val="007F48AC"/>
    <w:rsid w:val="007F662E"/>
    <w:rsid w:val="00804271"/>
    <w:rsid w:val="00806C56"/>
    <w:rsid w:val="008158EB"/>
    <w:rsid w:val="00822AE9"/>
    <w:rsid w:val="00822B40"/>
    <w:rsid w:val="00825C29"/>
    <w:rsid w:val="00827A0F"/>
    <w:rsid w:val="00830CFF"/>
    <w:rsid w:val="0083210F"/>
    <w:rsid w:val="0083350E"/>
    <w:rsid w:val="008435D8"/>
    <w:rsid w:val="00845505"/>
    <w:rsid w:val="00853933"/>
    <w:rsid w:val="008556C3"/>
    <w:rsid w:val="00855B51"/>
    <w:rsid w:val="00861E39"/>
    <w:rsid w:val="00871285"/>
    <w:rsid w:val="00875D8E"/>
    <w:rsid w:val="00891BA8"/>
    <w:rsid w:val="008925E5"/>
    <w:rsid w:val="008939A9"/>
    <w:rsid w:val="0089499D"/>
    <w:rsid w:val="00896E2E"/>
    <w:rsid w:val="00897916"/>
    <w:rsid w:val="008A570B"/>
    <w:rsid w:val="008A574F"/>
    <w:rsid w:val="008A5AAE"/>
    <w:rsid w:val="008A7410"/>
    <w:rsid w:val="008B323F"/>
    <w:rsid w:val="008B6640"/>
    <w:rsid w:val="008B7045"/>
    <w:rsid w:val="008C366F"/>
    <w:rsid w:val="008C3DD8"/>
    <w:rsid w:val="008C3ED8"/>
    <w:rsid w:val="008D33EB"/>
    <w:rsid w:val="008E2507"/>
    <w:rsid w:val="00901630"/>
    <w:rsid w:val="00901A1D"/>
    <w:rsid w:val="00901F20"/>
    <w:rsid w:val="0090345E"/>
    <w:rsid w:val="00903DE7"/>
    <w:rsid w:val="0090685B"/>
    <w:rsid w:val="00906AB0"/>
    <w:rsid w:val="00907BCF"/>
    <w:rsid w:val="00912834"/>
    <w:rsid w:val="00915BB8"/>
    <w:rsid w:val="00920384"/>
    <w:rsid w:val="0092140E"/>
    <w:rsid w:val="00923850"/>
    <w:rsid w:val="009251A0"/>
    <w:rsid w:val="00930ED8"/>
    <w:rsid w:val="00931070"/>
    <w:rsid w:val="00947458"/>
    <w:rsid w:val="00950B19"/>
    <w:rsid w:val="00950F29"/>
    <w:rsid w:val="00950F31"/>
    <w:rsid w:val="009523A3"/>
    <w:rsid w:val="00952F93"/>
    <w:rsid w:val="00953265"/>
    <w:rsid w:val="009543DE"/>
    <w:rsid w:val="009614A9"/>
    <w:rsid w:val="00967DAF"/>
    <w:rsid w:val="00970D9E"/>
    <w:rsid w:val="009769A4"/>
    <w:rsid w:val="00983D31"/>
    <w:rsid w:val="00984AB6"/>
    <w:rsid w:val="00991E45"/>
    <w:rsid w:val="00992EEE"/>
    <w:rsid w:val="00997AA3"/>
    <w:rsid w:val="009A0577"/>
    <w:rsid w:val="009A1C8B"/>
    <w:rsid w:val="009A3117"/>
    <w:rsid w:val="009A3F3B"/>
    <w:rsid w:val="009A4FA1"/>
    <w:rsid w:val="009B15DC"/>
    <w:rsid w:val="009B47C8"/>
    <w:rsid w:val="009C07D2"/>
    <w:rsid w:val="009D71C2"/>
    <w:rsid w:val="009E7014"/>
    <w:rsid w:val="009F146F"/>
    <w:rsid w:val="009F4684"/>
    <w:rsid w:val="00A07EB3"/>
    <w:rsid w:val="00A15CFB"/>
    <w:rsid w:val="00A17453"/>
    <w:rsid w:val="00A223C3"/>
    <w:rsid w:val="00A22D6E"/>
    <w:rsid w:val="00A26B62"/>
    <w:rsid w:val="00A32341"/>
    <w:rsid w:val="00A34A88"/>
    <w:rsid w:val="00A50FEF"/>
    <w:rsid w:val="00A510BA"/>
    <w:rsid w:val="00A52CB6"/>
    <w:rsid w:val="00A56F79"/>
    <w:rsid w:val="00A64B60"/>
    <w:rsid w:val="00A64D6A"/>
    <w:rsid w:val="00A6660A"/>
    <w:rsid w:val="00A673B4"/>
    <w:rsid w:val="00A74CAF"/>
    <w:rsid w:val="00A77295"/>
    <w:rsid w:val="00A80DD4"/>
    <w:rsid w:val="00A83480"/>
    <w:rsid w:val="00A93238"/>
    <w:rsid w:val="00AB1642"/>
    <w:rsid w:val="00AC17E5"/>
    <w:rsid w:val="00AC22E5"/>
    <w:rsid w:val="00AC4D3A"/>
    <w:rsid w:val="00AC502C"/>
    <w:rsid w:val="00AC6404"/>
    <w:rsid w:val="00AE20DD"/>
    <w:rsid w:val="00AE25AF"/>
    <w:rsid w:val="00AE2EA6"/>
    <w:rsid w:val="00AE4406"/>
    <w:rsid w:val="00AF3CA8"/>
    <w:rsid w:val="00AF58ED"/>
    <w:rsid w:val="00B017AB"/>
    <w:rsid w:val="00B02864"/>
    <w:rsid w:val="00B036EC"/>
    <w:rsid w:val="00B04EF2"/>
    <w:rsid w:val="00B06280"/>
    <w:rsid w:val="00B062CF"/>
    <w:rsid w:val="00B109CA"/>
    <w:rsid w:val="00B126AF"/>
    <w:rsid w:val="00B13AFE"/>
    <w:rsid w:val="00B15BD7"/>
    <w:rsid w:val="00B161C2"/>
    <w:rsid w:val="00B17DF4"/>
    <w:rsid w:val="00B2321E"/>
    <w:rsid w:val="00B274E3"/>
    <w:rsid w:val="00B27F76"/>
    <w:rsid w:val="00B30AC2"/>
    <w:rsid w:val="00B37082"/>
    <w:rsid w:val="00B37997"/>
    <w:rsid w:val="00B44D4D"/>
    <w:rsid w:val="00B45050"/>
    <w:rsid w:val="00B536CC"/>
    <w:rsid w:val="00B566DD"/>
    <w:rsid w:val="00B57818"/>
    <w:rsid w:val="00B60798"/>
    <w:rsid w:val="00B62E5E"/>
    <w:rsid w:val="00B62FA4"/>
    <w:rsid w:val="00B656FD"/>
    <w:rsid w:val="00B67CE9"/>
    <w:rsid w:val="00B7278D"/>
    <w:rsid w:val="00B768DB"/>
    <w:rsid w:val="00B808C0"/>
    <w:rsid w:val="00B82682"/>
    <w:rsid w:val="00B84A34"/>
    <w:rsid w:val="00B872EA"/>
    <w:rsid w:val="00B943D0"/>
    <w:rsid w:val="00B96F28"/>
    <w:rsid w:val="00BC1AB8"/>
    <w:rsid w:val="00BD03CE"/>
    <w:rsid w:val="00BD2DBB"/>
    <w:rsid w:val="00BD5F92"/>
    <w:rsid w:val="00BE1C51"/>
    <w:rsid w:val="00BE54FC"/>
    <w:rsid w:val="00BE6133"/>
    <w:rsid w:val="00BE6FB2"/>
    <w:rsid w:val="00BF3EE0"/>
    <w:rsid w:val="00C019FB"/>
    <w:rsid w:val="00C07555"/>
    <w:rsid w:val="00C0764B"/>
    <w:rsid w:val="00C07BF7"/>
    <w:rsid w:val="00C103BC"/>
    <w:rsid w:val="00C11D0B"/>
    <w:rsid w:val="00C23690"/>
    <w:rsid w:val="00C35D56"/>
    <w:rsid w:val="00C4753A"/>
    <w:rsid w:val="00C47C1F"/>
    <w:rsid w:val="00C50928"/>
    <w:rsid w:val="00C50E1E"/>
    <w:rsid w:val="00C54230"/>
    <w:rsid w:val="00C55A6A"/>
    <w:rsid w:val="00C605FA"/>
    <w:rsid w:val="00C607C2"/>
    <w:rsid w:val="00C61811"/>
    <w:rsid w:val="00C653F9"/>
    <w:rsid w:val="00C70D04"/>
    <w:rsid w:val="00C7185B"/>
    <w:rsid w:val="00C80BE0"/>
    <w:rsid w:val="00C92926"/>
    <w:rsid w:val="00C9664E"/>
    <w:rsid w:val="00CA26F5"/>
    <w:rsid w:val="00CA29E3"/>
    <w:rsid w:val="00CB18E6"/>
    <w:rsid w:val="00CC5288"/>
    <w:rsid w:val="00CC7F4C"/>
    <w:rsid w:val="00CD114B"/>
    <w:rsid w:val="00CD50FE"/>
    <w:rsid w:val="00CE4BC9"/>
    <w:rsid w:val="00CE76BE"/>
    <w:rsid w:val="00CF19A3"/>
    <w:rsid w:val="00CF1A62"/>
    <w:rsid w:val="00CF1E64"/>
    <w:rsid w:val="00CF3BCA"/>
    <w:rsid w:val="00CF57BE"/>
    <w:rsid w:val="00CF6FA2"/>
    <w:rsid w:val="00D03BF4"/>
    <w:rsid w:val="00D04A1E"/>
    <w:rsid w:val="00D11A05"/>
    <w:rsid w:val="00D131FD"/>
    <w:rsid w:val="00D15135"/>
    <w:rsid w:val="00D161ED"/>
    <w:rsid w:val="00D16714"/>
    <w:rsid w:val="00D23C06"/>
    <w:rsid w:val="00D24B09"/>
    <w:rsid w:val="00D25103"/>
    <w:rsid w:val="00D2742B"/>
    <w:rsid w:val="00D45B37"/>
    <w:rsid w:val="00D47650"/>
    <w:rsid w:val="00D56A3E"/>
    <w:rsid w:val="00D5744E"/>
    <w:rsid w:val="00D6756E"/>
    <w:rsid w:val="00D77FAC"/>
    <w:rsid w:val="00D902DF"/>
    <w:rsid w:val="00D9471D"/>
    <w:rsid w:val="00D9702B"/>
    <w:rsid w:val="00D97C3D"/>
    <w:rsid w:val="00DA08A8"/>
    <w:rsid w:val="00DA274F"/>
    <w:rsid w:val="00DA68B4"/>
    <w:rsid w:val="00DB791B"/>
    <w:rsid w:val="00DC4837"/>
    <w:rsid w:val="00DC7A70"/>
    <w:rsid w:val="00DD39A2"/>
    <w:rsid w:val="00DD43DB"/>
    <w:rsid w:val="00DD4C6A"/>
    <w:rsid w:val="00DD71FF"/>
    <w:rsid w:val="00DE7478"/>
    <w:rsid w:val="00DF2D50"/>
    <w:rsid w:val="00DF7B7D"/>
    <w:rsid w:val="00E023F9"/>
    <w:rsid w:val="00E124FD"/>
    <w:rsid w:val="00E21E98"/>
    <w:rsid w:val="00E22015"/>
    <w:rsid w:val="00E27330"/>
    <w:rsid w:val="00E32B25"/>
    <w:rsid w:val="00E476FD"/>
    <w:rsid w:val="00E61CCB"/>
    <w:rsid w:val="00E71664"/>
    <w:rsid w:val="00E71959"/>
    <w:rsid w:val="00E80F4B"/>
    <w:rsid w:val="00E812B7"/>
    <w:rsid w:val="00E81914"/>
    <w:rsid w:val="00E84684"/>
    <w:rsid w:val="00E8770F"/>
    <w:rsid w:val="00E87FCC"/>
    <w:rsid w:val="00E93FCA"/>
    <w:rsid w:val="00E94F29"/>
    <w:rsid w:val="00E95995"/>
    <w:rsid w:val="00EA1432"/>
    <w:rsid w:val="00EC10F0"/>
    <w:rsid w:val="00EC6B8E"/>
    <w:rsid w:val="00EE6DC0"/>
    <w:rsid w:val="00EE75BA"/>
    <w:rsid w:val="00EF2A5F"/>
    <w:rsid w:val="00F077FD"/>
    <w:rsid w:val="00F166A2"/>
    <w:rsid w:val="00F2777D"/>
    <w:rsid w:val="00F307AF"/>
    <w:rsid w:val="00F35195"/>
    <w:rsid w:val="00F43200"/>
    <w:rsid w:val="00F45101"/>
    <w:rsid w:val="00F47333"/>
    <w:rsid w:val="00F47478"/>
    <w:rsid w:val="00F502ED"/>
    <w:rsid w:val="00F52606"/>
    <w:rsid w:val="00F53FEA"/>
    <w:rsid w:val="00F540B1"/>
    <w:rsid w:val="00F650E3"/>
    <w:rsid w:val="00F65774"/>
    <w:rsid w:val="00F70AA3"/>
    <w:rsid w:val="00F85C6B"/>
    <w:rsid w:val="00F86FFC"/>
    <w:rsid w:val="00F902AA"/>
    <w:rsid w:val="00F913FD"/>
    <w:rsid w:val="00F93DBB"/>
    <w:rsid w:val="00FA75D2"/>
    <w:rsid w:val="00FB7909"/>
    <w:rsid w:val="00FD08DE"/>
    <w:rsid w:val="00FD2CFC"/>
    <w:rsid w:val="00FD5953"/>
    <w:rsid w:val="00FD674B"/>
    <w:rsid w:val="00FD77FF"/>
    <w:rsid w:val="00FE04F2"/>
    <w:rsid w:val="00FE44F9"/>
    <w:rsid w:val="00FE4CC8"/>
    <w:rsid w:val="00FF32CB"/>
    <w:rsid w:val="00FF6B5F"/>
    <w:rsid w:val="07775865"/>
    <w:rsid w:val="14D33A6E"/>
    <w:rsid w:val="26FF2178"/>
    <w:rsid w:val="35907C59"/>
    <w:rsid w:val="36FC6349"/>
    <w:rsid w:val="39F63191"/>
    <w:rsid w:val="39FE454E"/>
    <w:rsid w:val="3B27811A"/>
    <w:rsid w:val="3F487CD9"/>
    <w:rsid w:val="405F2CF9"/>
    <w:rsid w:val="44ED431A"/>
    <w:rsid w:val="499D1E68"/>
    <w:rsid w:val="54B06E8E"/>
    <w:rsid w:val="585C660C"/>
    <w:rsid w:val="5979773F"/>
    <w:rsid w:val="5BEBAA8B"/>
    <w:rsid w:val="5EF7A632"/>
    <w:rsid w:val="5F77CDB5"/>
    <w:rsid w:val="653E5F89"/>
    <w:rsid w:val="67FF4848"/>
    <w:rsid w:val="68CF6D35"/>
    <w:rsid w:val="6B7FEDE9"/>
    <w:rsid w:val="74F78998"/>
    <w:rsid w:val="75EF3E3C"/>
    <w:rsid w:val="77FFD51C"/>
    <w:rsid w:val="793FD71D"/>
    <w:rsid w:val="79D71AA5"/>
    <w:rsid w:val="7DFFA65B"/>
    <w:rsid w:val="7FFBE4C0"/>
    <w:rsid w:val="9C7B20ED"/>
    <w:rsid w:val="A8F22FFF"/>
    <w:rsid w:val="B97C66EF"/>
    <w:rsid w:val="DD7FC86F"/>
    <w:rsid w:val="DEEC46AF"/>
    <w:rsid w:val="E7F74D55"/>
    <w:rsid w:val="EF2D13A3"/>
    <w:rsid w:val="EFFE245B"/>
    <w:rsid w:val="F0ECA355"/>
    <w:rsid w:val="F3ABCC60"/>
    <w:rsid w:val="F7FCB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5"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79"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7"/>
    <w:qFormat/>
    <w:uiPriority w:val="9"/>
    <w:pPr>
      <w:keepNext/>
      <w:keepLines/>
      <w:outlineLvl w:val="0"/>
    </w:pPr>
    <w:rPr>
      <w:rFonts w:eastAsia="黑体"/>
      <w:bCs/>
      <w:kern w:val="44"/>
      <w:szCs w:val="44"/>
    </w:rPr>
  </w:style>
  <w:style w:type="paragraph" w:styleId="2">
    <w:name w:val="heading 2"/>
    <w:basedOn w:val="1"/>
    <w:next w:val="1"/>
    <w:link w:val="16"/>
    <w:unhideWhenUsed/>
    <w:qFormat/>
    <w:uiPriority w:val="9"/>
    <w:pPr>
      <w:keepNext/>
      <w:keepLines/>
      <w:outlineLvl w:val="1"/>
    </w:pPr>
    <w:rPr>
      <w:rFonts w:eastAsia="楷体_GB2312" w:asciiTheme="majorHAnsi" w:hAnsiTheme="majorHAnsi" w:cstheme="majorBidi"/>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unhideWhenUsed/>
    <w:qFormat/>
    <w:uiPriority w:val="99"/>
    <w:pPr>
      <w:spacing w:line="240" w:lineRule="auto"/>
      <w:ind w:firstLine="0" w:firstLineChars="0"/>
    </w:pPr>
    <w:rPr>
      <w:rFonts w:eastAsia="宋体" w:cs="Times New Roman"/>
      <w:sz w:val="30"/>
      <w:szCs w:val="20"/>
    </w:rPr>
  </w:style>
  <w:style w:type="paragraph" w:styleId="5">
    <w:name w:val="Balloon Text"/>
    <w:basedOn w:val="1"/>
    <w:link w:val="23"/>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5"/>
    <w:pPr>
      <w:ind w:firstLine="0" w:firstLineChars="0"/>
      <w:jc w:val="left"/>
    </w:pPr>
    <w:rPr>
      <w:rFonts w:ascii="黑体" w:hAnsi="黑体" w:eastAsia="黑体" w:cstheme="majorBidi"/>
      <w:bCs/>
      <w:kern w:val="28"/>
      <w:szCs w:val="32"/>
    </w:rPr>
  </w:style>
  <w:style w:type="paragraph" w:styleId="9">
    <w:name w:val="Title"/>
    <w:basedOn w:val="1"/>
    <w:next w:val="1"/>
    <w:link w:val="18"/>
    <w:qFormat/>
    <w:uiPriority w:val="10"/>
    <w:pPr>
      <w:jc w:val="center"/>
    </w:pPr>
    <w:rPr>
      <w:rFonts w:asciiTheme="majorHAnsi" w:hAnsiTheme="majorHAnsi" w:cstheme="majorBidi"/>
      <w:bCs/>
      <w:szCs w:val="32"/>
    </w:rPr>
  </w:style>
  <w:style w:type="table" w:styleId="11">
    <w:name w:val="Table Grid"/>
    <w:basedOn w:val="10"/>
    <w:unhideWhenUsed/>
    <w:qFormat/>
    <w:uiPriority w:val="39"/>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Char"/>
    <w:basedOn w:val="12"/>
    <w:link w:val="7"/>
    <w:qFormat/>
    <w:uiPriority w:val="99"/>
    <w:rPr>
      <w:rFonts w:eastAsia="仿宋_GB2312"/>
      <w:sz w:val="18"/>
      <w:szCs w:val="18"/>
    </w:rPr>
  </w:style>
  <w:style w:type="character" w:customStyle="1" w:styleId="15">
    <w:name w:val="页脚 Char"/>
    <w:basedOn w:val="12"/>
    <w:link w:val="6"/>
    <w:qFormat/>
    <w:uiPriority w:val="99"/>
    <w:rPr>
      <w:rFonts w:eastAsia="仿宋_GB2312"/>
      <w:sz w:val="18"/>
      <w:szCs w:val="18"/>
    </w:rPr>
  </w:style>
  <w:style w:type="character" w:customStyle="1" w:styleId="16">
    <w:name w:val="标题 2 Char"/>
    <w:basedOn w:val="12"/>
    <w:link w:val="2"/>
    <w:qFormat/>
    <w:uiPriority w:val="9"/>
    <w:rPr>
      <w:rFonts w:eastAsia="楷体_GB2312" w:asciiTheme="majorHAnsi" w:hAnsiTheme="majorHAnsi" w:cstheme="majorBidi"/>
      <w:bCs/>
      <w:sz w:val="32"/>
      <w:szCs w:val="32"/>
    </w:rPr>
  </w:style>
  <w:style w:type="character" w:customStyle="1" w:styleId="17">
    <w:name w:val="标题 1 Char"/>
    <w:basedOn w:val="12"/>
    <w:link w:val="3"/>
    <w:qFormat/>
    <w:uiPriority w:val="9"/>
    <w:rPr>
      <w:rFonts w:eastAsia="黑体"/>
      <w:bCs/>
      <w:kern w:val="44"/>
      <w:sz w:val="32"/>
      <w:szCs w:val="44"/>
    </w:rPr>
  </w:style>
  <w:style w:type="character" w:customStyle="1" w:styleId="18">
    <w:name w:val="标题 Char"/>
    <w:basedOn w:val="12"/>
    <w:link w:val="9"/>
    <w:qFormat/>
    <w:uiPriority w:val="10"/>
    <w:rPr>
      <w:rFonts w:eastAsia="仿宋_GB2312" w:asciiTheme="majorHAnsi" w:hAnsiTheme="majorHAnsi" w:cstheme="majorBidi"/>
      <w:bCs/>
      <w:sz w:val="32"/>
      <w:szCs w:val="32"/>
    </w:rPr>
  </w:style>
  <w:style w:type="paragraph" w:styleId="19">
    <w:name w:val="No Spacing"/>
    <w:qFormat/>
    <w:uiPriority w:val="1"/>
    <w:pPr>
      <w:widowControl w:val="0"/>
      <w:spacing w:after="160" w:line="579" w:lineRule="exact"/>
      <w:jc w:val="center"/>
    </w:pPr>
    <w:rPr>
      <w:rFonts w:ascii="Times New Roman" w:hAnsi="Times New Roman" w:eastAsia="方正小标宋简体" w:cstheme="minorBidi"/>
      <w:kern w:val="2"/>
      <w:sz w:val="44"/>
      <w:szCs w:val="22"/>
      <w:lang w:val="en-US" w:eastAsia="zh-CN" w:bidi="ar-SA"/>
    </w:rPr>
  </w:style>
  <w:style w:type="character" w:customStyle="1" w:styleId="20">
    <w:name w:val="副标题 Char"/>
    <w:basedOn w:val="12"/>
    <w:link w:val="8"/>
    <w:qFormat/>
    <w:uiPriority w:val="5"/>
    <w:rPr>
      <w:rFonts w:ascii="黑体" w:hAnsi="黑体" w:eastAsia="黑体" w:cstheme="majorBidi"/>
      <w:bCs/>
      <w:kern w:val="28"/>
      <w:szCs w:val="32"/>
    </w:rPr>
  </w:style>
  <w:style w:type="character" w:customStyle="1" w:styleId="21">
    <w:name w:val="fontstyle01"/>
    <w:basedOn w:val="12"/>
    <w:qFormat/>
    <w:uiPriority w:val="0"/>
    <w:rPr>
      <w:rFonts w:hint="eastAsia" w:ascii="仿宋_GB2312" w:eastAsia="仿宋_GB2312"/>
      <w:color w:val="000000"/>
      <w:sz w:val="32"/>
      <w:szCs w:val="32"/>
    </w:rPr>
  </w:style>
  <w:style w:type="table" w:customStyle="1" w:styleId="22">
    <w:name w:val="网格型1"/>
    <w:basedOn w:val="10"/>
    <w:unhideWhenUse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批注框文本 Char"/>
    <w:basedOn w:val="12"/>
    <w:link w:val="5"/>
    <w:semiHidden/>
    <w:qFormat/>
    <w:uiPriority w:val="99"/>
    <w:rPr>
      <w:sz w:val="18"/>
      <w:szCs w:val="18"/>
    </w:rPr>
  </w:style>
  <w:style w:type="character" w:customStyle="1" w:styleId="24">
    <w:name w:val="正文文本 Char"/>
    <w:basedOn w:val="12"/>
    <w:link w:val="4"/>
    <w:qFormat/>
    <w:uiPriority w:val="99"/>
    <w:rPr>
      <w:rFonts w:eastAsia="宋体" w:cs="Times New Roman"/>
      <w:sz w:val="30"/>
      <w:szCs w:val="20"/>
    </w:rPr>
  </w:style>
  <w:style w:type="paragraph" w:customStyle="1" w:styleId="25">
    <w:name w:val="修订1"/>
    <w:hidden/>
    <w:semiHidden/>
    <w:qFormat/>
    <w:uiPriority w:val="99"/>
    <w:pPr>
      <w:spacing w:after="160" w:line="278" w:lineRule="auto"/>
    </w:pPr>
    <w:rPr>
      <w:rFonts w:ascii="Times New Roman" w:hAnsi="Times New Roman" w:eastAsia="仿宋_GB2312" w:cstheme="minorBidi"/>
      <w:kern w:val="2"/>
      <w:sz w:val="32"/>
      <w:szCs w:val="22"/>
      <w:lang w:val="en-US" w:eastAsia="zh-CN" w:bidi="ar-SA"/>
    </w:rPr>
  </w:style>
  <w:style w:type="paragraph" w:styleId="26">
    <w:name w:val="List Paragraph"/>
    <w:basedOn w:val="1"/>
    <w:qFormat/>
    <w:uiPriority w:val="99"/>
    <w:pPr>
      <w:ind w:firstLine="420"/>
    </w:pPr>
  </w:style>
  <w:style w:type="character" w:styleId="27">
    <w:name w:val="Placeholder Text"/>
    <w:basedOn w:val="12"/>
    <w:semiHidden/>
    <w:qFormat/>
    <w:uiPriority w:val="99"/>
    <w:rPr>
      <w:color w:val="808080"/>
    </w:rPr>
  </w:style>
  <w:style w:type="paragraph" w:customStyle="1" w:styleId="28">
    <w:name w:val="修订2"/>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JXJ</Company>
  <Pages>42</Pages>
  <Words>2195</Words>
  <Characters>12515</Characters>
  <Lines>104</Lines>
  <Paragraphs>29</Paragraphs>
  <TotalTime>8</TotalTime>
  <ScaleCrop>false</ScaleCrop>
  <LinksUpToDate>false</LinksUpToDate>
  <CharactersWithSpaces>14681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2025-09-08T08:48:00Z</dcterms:created>
  <dc:creator>邝炜宗</dc:creator>
  <cp:lastModifiedBy>蓝郁郁</cp:lastModifiedBy>
  <cp:lastPrinted>2025-09-05T08:52:00Z</cp:lastPrinted>
  <dcterms:modified xsi:type="dcterms:W3CDTF">2025-09-10T06:50:27Z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44B7E7E0E32846FA95F1CD9BD411196F</vt:lpwstr>
  </property>
</Properties>
</file>