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F4C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textAlignment w:val="auto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2</w:t>
      </w:r>
    </w:p>
    <w:p w14:paraId="6848A3FC">
      <w:pPr>
        <w:pStyle w:val="2"/>
        <w:rPr>
          <w:rFonts w:hint="eastAsia"/>
          <w:lang w:eastAsia="zh-CN"/>
        </w:rPr>
      </w:pPr>
    </w:p>
    <w:p w14:paraId="104FD6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  <w:t>贵州省创新型中小企业评价标准</w:t>
      </w:r>
    </w:p>
    <w:p w14:paraId="73B089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19751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一、公告条件</w:t>
      </w:r>
    </w:p>
    <w:p w14:paraId="095856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评价得分达到60分以上（其中创新能力指标得分不低于20分、成长性指标及专业化指标得分均不低于15分），或满足下列条件之一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2B048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（一）近三年内获得过国家级、省级科技奖励。</w:t>
      </w:r>
    </w:p>
    <w:p w14:paraId="17C863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（二）获得高新技术企业、国家级技术创新示范企业、知识产权优势企业和知识产权示范企业等荣誉（均为有效期内）。</w:t>
      </w:r>
    </w:p>
    <w:p w14:paraId="77F19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（三）拥有经认定的省部级以上研发机构。</w:t>
      </w:r>
    </w:p>
    <w:p w14:paraId="2177BB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（四）近三年新增股权融资总额（合格机构投资者的实缴额）500万元以上。</w:t>
      </w:r>
    </w:p>
    <w:p w14:paraId="557A53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二、评价指标</w:t>
      </w:r>
    </w:p>
    <w:p w14:paraId="6F29F9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包括创新能力、成长性、专业化三类六个指标，评价结果依分值计算，满分为100分。</w:t>
      </w:r>
    </w:p>
    <w:p w14:paraId="2F685A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（一）创新能力指标（满分40分）</w:t>
      </w:r>
    </w:p>
    <w:p w14:paraId="0EAE30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672" w:leftChars="32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1.与企业主导产品相关的有效知识产权数量（满分20分）</w:t>
      </w:r>
    </w:p>
    <w:p w14:paraId="4AE5E6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672" w:leftChars="32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A.I类高价值知识产权1项以上（20分）</w:t>
      </w:r>
    </w:p>
    <w:p w14:paraId="15619B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672" w:leftChars="32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B.自主研发的I类知识产权1项以上（15分）</w:t>
      </w:r>
    </w:p>
    <w:p w14:paraId="661BC4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672" w:leftChars="32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C.I类知识产权1项以上（10分）</w:t>
      </w:r>
    </w:p>
    <w:p w14:paraId="14DF84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672" w:leftChars="32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D.II类知识产权1项以上（5分）</w:t>
      </w:r>
    </w:p>
    <w:p w14:paraId="79277A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E.无（0分）</w:t>
      </w:r>
    </w:p>
    <w:p w14:paraId="3525D7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2.上年度研发费用总额占营业收入总额比重（满分20分）</w:t>
      </w:r>
    </w:p>
    <w:p w14:paraId="3FBCF1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A.5%以上（20分）</w:t>
      </w:r>
    </w:p>
    <w:p w14:paraId="75681C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B.3%-5%（15分）</w:t>
      </w:r>
    </w:p>
    <w:p w14:paraId="318B50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C.2%-3%（10分）</w:t>
      </w:r>
    </w:p>
    <w:p w14:paraId="24857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D.1%-2%（5分）</w:t>
      </w:r>
    </w:p>
    <w:p w14:paraId="3061C7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E.1%以下（0分）</w:t>
      </w:r>
    </w:p>
    <w:p w14:paraId="447C58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（二）成长性指标（满分30分）</w:t>
      </w:r>
    </w:p>
    <w:p w14:paraId="1D9FE3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3.上年度主营业务收入增长率（满分20分）</w:t>
      </w:r>
    </w:p>
    <w:p w14:paraId="2649D0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A.15%以上（20分）</w:t>
      </w:r>
    </w:p>
    <w:p w14:paraId="53189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B.10%-15%（15分）</w:t>
      </w:r>
    </w:p>
    <w:p w14:paraId="1BE9F1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C.5%-10%（10分）</w:t>
      </w:r>
    </w:p>
    <w:p w14:paraId="38672A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D.0%-5%（5分）</w:t>
      </w:r>
    </w:p>
    <w:p w14:paraId="06A9B6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E.0%以下（0分）</w:t>
      </w:r>
    </w:p>
    <w:p w14:paraId="001AF3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4.上年度资产负债率（满分10分）</w:t>
      </w:r>
    </w:p>
    <w:p w14:paraId="05E842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A.55%以下（10分）</w:t>
      </w:r>
    </w:p>
    <w:p w14:paraId="03AB24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B.55%-75%（5分）</w:t>
      </w:r>
    </w:p>
    <w:p w14:paraId="372920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C.75%以上（0分）</w:t>
      </w:r>
    </w:p>
    <w:p w14:paraId="60FD7B5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专业化指标（满分30分）</w:t>
      </w:r>
    </w:p>
    <w:p w14:paraId="16097F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5.主导产品所属领域情况（满分10分）</w:t>
      </w:r>
    </w:p>
    <w:p w14:paraId="31B95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A.属于《战略性新兴产业分类》（10分）</w:t>
      </w:r>
    </w:p>
    <w:p w14:paraId="082D1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B.属于其他领域（5分）</w:t>
      </w:r>
    </w:p>
    <w:p w14:paraId="60A7B8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6.上年度主营业务收入总额占营业收入总额比重（满分20分）</w:t>
      </w:r>
    </w:p>
    <w:p w14:paraId="0049A7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A.70%以上（20分）</w:t>
      </w:r>
    </w:p>
    <w:p w14:paraId="1C53BA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B.60%-70%（15分）</w:t>
      </w:r>
    </w:p>
    <w:p w14:paraId="3D10EA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C.55%-60%（10分）</w:t>
      </w:r>
    </w:p>
    <w:p w14:paraId="28A200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D.50%-55%（5分）</w:t>
      </w:r>
    </w:p>
    <w:p w14:paraId="5D6164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E.50%以下（0分）</w:t>
      </w:r>
    </w:p>
    <w:p w14:paraId="142BB1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 w14:paraId="3022CD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textAlignment w:val="auto"/>
      </w:pPr>
    </w:p>
    <w:p w14:paraId="04231134">
      <w:r>
        <w:br w:type="page"/>
      </w:r>
    </w:p>
    <w:p w14:paraId="6974C1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AAEA2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贵州省专精特新中小企业认定标准</w:t>
      </w:r>
    </w:p>
    <w:p w14:paraId="603AE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BBFF7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一、认定条件</w:t>
      </w:r>
    </w:p>
    <w:p w14:paraId="74C272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同时满足以下四项条件即视为满足认定条件∶</w:t>
      </w:r>
    </w:p>
    <w:p w14:paraId="3E36109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从事特定细分市场时间达到2年以上。</w:t>
      </w:r>
    </w:p>
    <w:p w14:paraId="037A517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上年度研发费用总额不低于100万元，且占营业收入总额比重不低于3%。</w:t>
      </w:r>
    </w:p>
    <w:p w14:paraId="5C7A66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（三）上年度营业收入总额在1000万元以上，或上年度营业收入总额在1000万元以下，但近2年新增股权融资总额（合格机构投资者的实缴额）达到2000万元以上。</w:t>
      </w:r>
    </w:p>
    <w:p w14:paraId="1E900F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（四）评价得分达到60分以上或满足下列条件之一∶</w:t>
      </w:r>
    </w:p>
    <w:p w14:paraId="56E686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1.近三年获得过省级科技奖励，并在获奖单位中排名前三；或获得国家级科技奖励，并在获奖单位中排名前五。</w:t>
      </w:r>
    </w:p>
    <w:p w14:paraId="6039EF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2.近两年研发费用总额均值在1000万元以上。</w:t>
      </w:r>
    </w:p>
    <w:p w14:paraId="4D1DED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3.近两年新增股权融资总额（合格机构投资者的实缴额）6000万元以上。</w:t>
      </w:r>
    </w:p>
    <w:p w14:paraId="2C9473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4.近三年进入“创客中国”中小企业创新创业大赛全国500强企业组名单。</w:t>
      </w:r>
    </w:p>
    <w:p w14:paraId="067F78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二、评价指标</w:t>
      </w:r>
    </w:p>
    <w:p w14:paraId="30BB9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包括专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业化、精细化、特色化和创新能力四类十三个指标，评价结果依分值计算，满分为100分。</w:t>
      </w:r>
    </w:p>
    <w:p w14:paraId="26CA1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（一）专业化指标（满分25分）</w:t>
      </w:r>
    </w:p>
    <w:p w14:paraId="7E9681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1.上年度主营业务收入总额占营业收入总额比重（满分5分）</w:t>
      </w:r>
    </w:p>
    <w:p w14:paraId="36A533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A.80%以上（5分）</w:t>
      </w:r>
    </w:p>
    <w:p w14:paraId="2BB4FD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B.70%-80%（3分）</w:t>
      </w:r>
    </w:p>
    <w:p w14:paraId="23FE3A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C.60%-70%（1分）</w:t>
      </w:r>
    </w:p>
    <w:p w14:paraId="653E0A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D.60%以下（0分）</w:t>
      </w:r>
    </w:p>
    <w:p w14:paraId="7EA2BF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2.近2年主营业务收入平均增长率（满分10分）</w:t>
      </w:r>
    </w:p>
    <w:p w14:paraId="2E3FC9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A.10%以上（10分）</w:t>
      </w:r>
    </w:p>
    <w:p w14:paraId="711425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B.8%-10%（8分）</w:t>
      </w:r>
    </w:p>
    <w:p w14:paraId="197CEF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C.6%-8%（6分）</w:t>
      </w:r>
    </w:p>
    <w:p w14:paraId="5F8A4A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D.4%-6%（4分）</w:t>
      </w:r>
    </w:p>
    <w:p w14:paraId="0DEBB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E.0%-4%（2分）</w:t>
      </w:r>
    </w:p>
    <w:p w14:paraId="01FD64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F.0%以下（0分）</w:t>
      </w:r>
    </w:p>
    <w:p w14:paraId="5C6A6E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3.从事特定细分市场年限（满分5分）</w:t>
      </w:r>
    </w:p>
    <w:p w14:paraId="23D357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每满2年得1分，最高不超过5分。</w:t>
      </w:r>
    </w:p>
    <w:p w14:paraId="6BE28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4.主导产品所属领域情况（满分5分）</w:t>
      </w:r>
    </w:p>
    <w:p w14:paraId="5A106D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A.在产业链供应链关键环节及关键领域“补短板”“锻长板”“填空白”取得实际成效（5分）</w:t>
      </w:r>
    </w:p>
    <w:p w14:paraId="339CE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B.属于工业“六基”领域、中华老字号名录或企业主导产品服务关键产业链重点龙头企业（3分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</w:t>
      </w:r>
    </w:p>
    <w:p w14:paraId="1DD7A9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C.不属于以上情况（0分）</w:t>
      </w:r>
    </w:p>
    <w:p w14:paraId="4F8E45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（二）精细化指标（满分25分）</w:t>
      </w:r>
    </w:p>
    <w:p w14:paraId="148FA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5.数字化水平（满分5分）</w:t>
      </w:r>
    </w:p>
    <w:p w14:paraId="130AEB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A.三级以上（5分）</w:t>
      </w:r>
    </w:p>
    <w:p w14:paraId="4CBF09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B.二级（3分）</w:t>
      </w:r>
    </w:p>
    <w:p w14:paraId="081776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C.一级（0分）</w:t>
      </w:r>
    </w:p>
    <w:p w14:paraId="3AFEA2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6.质量管理水平（每满足一项加3分，最高不超过5分）</w:t>
      </w:r>
    </w:p>
    <w:p w14:paraId="3846B6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A.获得省级以上质量奖荣誉</w:t>
      </w:r>
    </w:p>
    <w:p w14:paraId="6B8BB1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B.建立质量管理体系，获得ISO9001等质量管理体系认证证书</w:t>
      </w:r>
    </w:p>
    <w:p w14:paraId="7355AB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C.拥有自主品牌</w:t>
      </w:r>
    </w:p>
    <w:p w14:paraId="0F7D84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D.参与制修订标准</w:t>
      </w:r>
    </w:p>
    <w:p w14:paraId="7647D0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7.上年度净利润率（满分10分）</w:t>
      </w:r>
    </w:p>
    <w:p w14:paraId="48C17F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A.10%以上（10分）</w:t>
      </w:r>
    </w:p>
    <w:p w14:paraId="3D6304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B.8%-10%（8分）</w:t>
      </w:r>
    </w:p>
    <w:p w14:paraId="3D755C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C.6%-8%（6分）</w:t>
      </w:r>
    </w:p>
    <w:p w14:paraId="063C21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D.4%-6%（4分）</w:t>
      </w:r>
    </w:p>
    <w:p w14:paraId="3B7E3E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E.2%-4%（2分）</w:t>
      </w:r>
    </w:p>
    <w:p w14:paraId="5F26C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F.2%以下（0分）</w:t>
      </w:r>
    </w:p>
    <w:p w14:paraId="61BBA9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8.上年度资产负债率（满分5分）</w:t>
      </w:r>
    </w:p>
    <w:p w14:paraId="00605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A.50%以下（5分）</w:t>
      </w:r>
    </w:p>
    <w:p w14:paraId="04D995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B.50%-60%（3分）</w:t>
      </w:r>
    </w:p>
    <w:p w14:paraId="597941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C.60%-70%（1分）</w:t>
      </w:r>
    </w:p>
    <w:p w14:paraId="107F93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D.70%以上（0分）</w:t>
      </w:r>
    </w:p>
    <w:p w14:paraId="0B85E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（三）特色化指标（满分15分）</w:t>
      </w:r>
    </w:p>
    <w:p w14:paraId="6056B5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9-1符合本省产业发展导向情况（满分5分）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</w:t>
      </w:r>
    </w:p>
    <w:p w14:paraId="421A3F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A.属于《贵州省中小企业“专精特新”培育实施方案》重点培育产业（5分）</w:t>
      </w:r>
    </w:p>
    <w:p w14:paraId="4942CA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B.属于市（州）重点支持的产业领域（3分）</w:t>
      </w:r>
    </w:p>
    <w:p w14:paraId="257544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C.不属于以上情况（0分）</w:t>
      </w:r>
    </w:p>
    <w:p w14:paraId="1DD938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9-2 实施特色化经营情况（每满足一项加2分，最高10分）</w:t>
      </w:r>
    </w:p>
    <w:p w14:paraId="37034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A.掌握特色工艺、技术、配方或服务，并有相关专利技术或其他支撑材料</w:t>
      </w:r>
    </w:p>
    <w:p w14:paraId="369A4B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B.实现绿色低碳发展，拥有绿色产品，或绿色车间或绿色工厂称号，固废综合利用率达30%以上</w:t>
      </w:r>
    </w:p>
    <w:p w14:paraId="690B75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企业或产品获得省级及以上技术创新、品牌、质量、专利等奖项、称号认定或省级及以上行业协会重大奖项和称号认定</w:t>
      </w:r>
    </w:p>
    <w:p w14:paraId="5928C4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D.企业已上市或已启动上市计划</w:t>
      </w:r>
    </w:p>
    <w:p w14:paraId="75CD14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E.近三年进入“创客中国”贵州省中小企业创新创业大赛50强名单</w:t>
      </w:r>
    </w:p>
    <w:p w14:paraId="1F00DF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F.近两年企业实施数字化转型，企业发展得到提升改造</w:t>
      </w:r>
    </w:p>
    <w:p w14:paraId="188F1B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（四）创新能力指标（满分35分）</w:t>
      </w:r>
    </w:p>
    <w:p w14:paraId="7468DD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10.与企业主导产品相关的有效知识产权数量（满分10分）</w:t>
      </w:r>
    </w:p>
    <w:p w14:paraId="0C8C5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A.I类高价值知识产权1项以上（10分）</w:t>
      </w:r>
    </w:p>
    <w:p w14:paraId="196784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B.自主研发I类知识产权1项以上（8分）</w:t>
      </w:r>
    </w:p>
    <w:p w14:paraId="139371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C.I类知识产权1项以上（6分）</w:t>
      </w:r>
    </w:p>
    <w:p w14:paraId="5AAABE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D.II类知识产权1项以上（2分）</w:t>
      </w:r>
    </w:p>
    <w:p w14:paraId="75ABDF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E.无（0分）</w:t>
      </w:r>
    </w:p>
    <w:p w14:paraId="4978A3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11.上年度研发费用投入（满分10分）</w:t>
      </w:r>
    </w:p>
    <w:p w14:paraId="0C2709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A.研发费用总额500万元以上或研发费用总额占营业收入总额比重在10%以上（10分）</w:t>
      </w:r>
    </w:p>
    <w:p w14:paraId="0EC85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B.研发费用总额400-500万元或研发费用总额占营业收入总额比重在8%-10%（8分）</w:t>
      </w:r>
    </w:p>
    <w:p w14:paraId="03D01C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C.研发费用总额300-400万元或研发费用总额占营业收入总额比重在6%-8%（6分）</w:t>
      </w:r>
    </w:p>
    <w:p w14:paraId="7A63FA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D.研发费用总额200-300万元或研发费用总额占营业收入总额比重在4%-6%（4分）</w:t>
      </w:r>
    </w:p>
    <w:p w14:paraId="7881DC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E.研发费用总额100-200万元或研发费用总额占营业收入总额比重在3%-4%（2分）</w:t>
      </w:r>
    </w:p>
    <w:p w14:paraId="6B9602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F.不属于以上情况（0分）</w:t>
      </w:r>
    </w:p>
    <w:p w14:paraId="6DB9C7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12.上年度研发人员占比（满分5分）</w:t>
      </w:r>
    </w:p>
    <w:p w14:paraId="1E4B8F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A.20%以上（5分）</w:t>
      </w:r>
      <w:bookmarkStart w:id="0" w:name="_GoBack"/>
      <w:bookmarkEnd w:id="0"/>
    </w:p>
    <w:p w14:paraId="5ABC34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B.10%-20%（3分）</w:t>
      </w:r>
    </w:p>
    <w:p w14:paraId="58B975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C.5%-10%（1分）</w:t>
      </w:r>
    </w:p>
    <w:p w14:paraId="5B4D77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D.5%以下（0分）</w:t>
      </w:r>
    </w:p>
    <w:p w14:paraId="11489B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13.建立研发机构级别（满分10分）</w:t>
      </w:r>
    </w:p>
    <w:p w14:paraId="0DA8DB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A.国家级（10分）</w:t>
      </w:r>
    </w:p>
    <w:p w14:paraId="5FE823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B.省级（8分）</w:t>
      </w:r>
    </w:p>
    <w:p w14:paraId="52A248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C.市级（4分）</w:t>
      </w:r>
    </w:p>
    <w:p w14:paraId="33D86F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D.市级以下（2分）</w:t>
      </w:r>
    </w:p>
    <w:p w14:paraId="48B30E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E.未建立研发机构（0分）</w:t>
      </w:r>
    </w:p>
    <w:p w14:paraId="057ADF46"/>
    <w:p w14:paraId="1EFD38D0">
      <w:pPr>
        <w:pStyle w:val="2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F38B8B"/>
    <w:multiLevelType w:val="singleLevel"/>
    <w:tmpl w:val="76F38B8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FFF54CA"/>
    <w:multiLevelType w:val="singleLevel"/>
    <w:tmpl w:val="7FFF54C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7B0A9"/>
    <w:rsid w:val="39B20344"/>
    <w:rsid w:val="44E7B0A9"/>
    <w:rsid w:val="78B78C5F"/>
    <w:rsid w:val="E7F7D0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2178</Words>
  <Characters>2616</Characters>
  <Lines>0</Lines>
  <Paragraphs>0</Paragraphs>
  <TotalTime>3</TotalTime>
  <ScaleCrop>false</ScaleCrop>
  <LinksUpToDate>false</LinksUpToDate>
  <CharactersWithSpaces>2618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2024-01-04T01:31:00Z</dcterms:created>
  <dc:creator>ysgz</dc:creator>
  <cp:lastModifiedBy>來年</cp:lastModifiedBy>
  <dcterms:modified xsi:type="dcterms:W3CDTF">2025-09-10T08:42:39Z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712FEEE3B5BD45F8A16883ECABB16125_13</vt:lpwstr>
  </property>
</Properties>
</file>