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FE52AB">
      <w:pPr>
        <w:jc w:val="center"/>
        <w:rPr>
          <w:b/>
          <w:bCs/>
          <w:sz w:val="48"/>
          <w:szCs w:val="48"/>
        </w:rPr>
      </w:pPr>
    </w:p>
    <w:p w14:paraId="5B21622D">
      <w:pPr>
        <w:jc w:val="center"/>
        <w:rPr>
          <w:b/>
          <w:bCs/>
          <w:sz w:val="48"/>
          <w:szCs w:val="48"/>
        </w:rPr>
      </w:pPr>
    </w:p>
    <w:p w14:paraId="29FBF0FE">
      <w:pPr>
        <w:jc w:val="center"/>
        <w:rPr>
          <w:b/>
          <w:bCs/>
          <w:sz w:val="48"/>
          <w:szCs w:val="48"/>
        </w:rPr>
      </w:pPr>
    </w:p>
    <w:p w14:paraId="0DC25075">
      <w:pPr>
        <w:jc w:val="center"/>
        <w:rPr>
          <w:b/>
          <w:bCs/>
          <w:sz w:val="48"/>
          <w:szCs w:val="48"/>
        </w:rPr>
      </w:pPr>
    </w:p>
    <w:p w14:paraId="66C9D43F">
      <w:pPr>
        <w:jc w:val="center"/>
        <w:rPr>
          <w:b/>
          <w:bCs/>
          <w:sz w:val="48"/>
          <w:szCs w:val="48"/>
        </w:rPr>
      </w:pPr>
    </w:p>
    <w:p w14:paraId="14B57237">
      <w:pPr>
        <w:jc w:val="center"/>
        <w:rPr>
          <w:rFonts w:hint="eastAsia"/>
          <w:b/>
          <w:bCs/>
          <w:sz w:val="48"/>
          <w:szCs w:val="48"/>
        </w:rPr>
      </w:pPr>
      <w:r>
        <w:rPr>
          <w:rFonts w:hint="eastAsia"/>
          <w:b/>
          <w:bCs/>
          <w:sz w:val="48"/>
          <w:szCs w:val="48"/>
        </w:rPr>
        <w:t>2</w:t>
      </w:r>
      <w:r>
        <w:rPr>
          <w:b/>
          <w:bCs/>
          <w:sz w:val="48"/>
          <w:szCs w:val="48"/>
        </w:rPr>
        <w:t>025</w:t>
      </w:r>
      <w:r>
        <w:rPr>
          <w:rFonts w:hint="eastAsia"/>
          <w:b/>
          <w:bCs/>
          <w:sz w:val="48"/>
          <w:szCs w:val="48"/>
        </w:rPr>
        <w:t>年</w:t>
      </w:r>
      <w:r>
        <w:rPr>
          <w:rFonts w:hint="eastAsia"/>
          <w:b/>
          <w:bCs/>
          <w:sz w:val="48"/>
          <w:szCs w:val="48"/>
          <w:lang w:val="en-US" w:eastAsia="zh-CN"/>
        </w:rPr>
        <w:t>贵阳市</w:t>
      </w:r>
      <w:r>
        <w:rPr>
          <w:rFonts w:hint="eastAsia"/>
          <w:b/>
          <w:bCs/>
          <w:sz w:val="48"/>
          <w:szCs w:val="48"/>
        </w:rPr>
        <w:t>第二批科技创新券</w:t>
      </w:r>
    </w:p>
    <w:p w14:paraId="793A0F2A">
      <w:pPr>
        <w:jc w:val="center"/>
        <w:rPr>
          <w:b/>
          <w:bCs/>
          <w:sz w:val="48"/>
          <w:szCs w:val="48"/>
        </w:rPr>
      </w:pPr>
      <w:r>
        <w:rPr>
          <w:rFonts w:hint="eastAsia"/>
          <w:b/>
          <w:bCs/>
          <w:sz w:val="48"/>
          <w:szCs w:val="48"/>
        </w:rPr>
        <w:t>操作手册</w:t>
      </w:r>
    </w:p>
    <w:p w14:paraId="1F78D67F">
      <w:pPr>
        <w:jc w:val="center"/>
        <w:rPr>
          <w:b/>
          <w:bCs/>
          <w:sz w:val="48"/>
          <w:szCs w:val="48"/>
        </w:rPr>
      </w:pPr>
    </w:p>
    <w:p w14:paraId="441CCD3F">
      <w:pPr>
        <w:jc w:val="center"/>
        <w:rPr>
          <w:b/>
          <w:bCs/>
          <w:sz w:val="48"/>
          <w:szCs w:val="48"/>
        </w:rPr>
      </w:pPr>
    </w:p>
    <w:p w14:paraId="725BC66E">
      <w:pPr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br w:type="page"/>
      </w:r>
    </w:p>
    <w:p w14:paraId="16A85C03">
      <w:pPr>
        <w:jc w:val="center"/>
        <w:rPr>
          <w:b/>
          <w:bCs/>
          <w:sz w:val="48"/>
          <w:szCs w:val="48"/>
        </w:rPr>
      </w:pPr>
      <w:bookmarkStart w:id="0" w:name="_GoBack"/>
      <w:bookmarkEnd w:id="0"/>
    </w:p>
    <w:p w14:paraId="1776C126">
      <w:pPr>
        <w:jc w:val="center"/>
        <w:rPr>
          <w:b/>
          <w:bCs/>
          <w:sz w:val="48"/>
          <w:szCs w:val="48"/>
        </w:rPr>
      </w:pPr>
    </w:p>
    <w:p w14:paraId="4689D2C8">
      <w:pPr>
        <w:jc w:val="center"/>
        <w:rPr>
          <w:b/>
          <w:bCs/>
          <w:sz w:val="48"/>
          <w:szCs w:val="48"/>
        </w:rPr>
      </w:pPr>
    </w:p>
    <w:p w14:paraId="2464EDF5">
      <w:pPr>
        <w:jc w:val="center"/>
        <w:rPr>
          <w:b/>
          <w:bCs/>
          <w:sz w:val="48"/>
          <w:szCs w:val="48"/>
        </w:rPr>
      </w:pPr>
    </w:p>
    <w:p w14:paraId="3F5E454F">
      <w:pPr>
        <w:jc w:val="center"/>
        <w:rPr>
          <w:b/>
          <w:bCs/>
          <w:sz w:val="48"/>
          <w:szCs w:val="48"/>
        </w:rPr>
      </w:pPr>
    </w:p>
    <w:p w14:paraId="7FAFFE5C">
      <w:pPr>
        <w:widowControl/>
        <w:jc w:val="left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565B77F7"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jc w:val="left"/>
        <w:textAlignment w:val="auto"/>
        <w:outlineLvl w:val="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</w:t>
      </w:r>
      <w:r>
        <w:rPr>
          <w:rFonts w:hint="eastAsia" w:ascii="黑体" w:hAnsi="黑体" w:eastAsia="黑体" w:cs="黑体"/>
          <w:sz w:val="32"/>
          <w:szCs w:val="32"/>
        </w:rPr>
        <w:t>企业申领</w:t>
      </w:r>
    </w:p>
    <w:p w14:paraId="7B772F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本批次创新券发放对象为贵阳市申报2025年度高新技术企业的企业，用于支持企业开展与高企申报相关的科技创新活动。企业通过贵商易平台-科技云专区-科技创新券板（</w:t>
      </w:r>
      <w:r>
        <w:rPr>
          <w:rFonts w:hint="eastAsia" w:ascii="仿宋_GB2312" w:hAnsi="仿宋_GB2312" w:eastAsia="仿宋_GB2312" w:cs="仿宋_GB2312"/>
          <w:sz w:val="32"/>
          <w:szCs w:val="32"/>
        </w:rPr>
        <w:fldChar w:fldCharType="begin"/>
      </w:r>
      <w:r>
        <w:rPr>
          <w:rFonts w:hint="eastAsia" w:ascii="仿宋_GB2312" w:hAnsi="仿宋_GB2312" w:eastAsia="仿宋_GB2312" w:cs="仿宋_GB2312"/>
          <w:sz w:val="32"/>
          <w:szCs w:val="32"/>
        </w:rPr>
        <w:instrText xml:space="preserve"> HYPERLINK "https://market.guishangyi.cn" </w:instrText>
      </w:r>
      <w:r>
        <w:rPr>
          <w:rFonts w:hint="eastAsia" w:ascii="仿宋_GB2312" w:hAnsi="仿宋_GB2312" w:eastAsia="仿宋_GB2312" w:cs="仿宋_GB2312"/>
          <w:sz w:val="32"/>
          <w:szCs w:val="32"/>
        </w:rPr>
        <w:fldChar w:fldCharType="separate"/>
      </w:r>
      <w:r>
        <w:rPr>
          <w:rStyle w:val="4"/>
          <w:rFonts w:hint="eastAsia" w:ascii="仿宋_GB2312" w:hAnsi="仿宋_GB2312" w:eastAsia="仿宋_GB2312" w:cs="仿宋_GB2312"/>
          <w:sz w:val="32"/>
          <w:szCs w:val="32"/>
        </w:rPr>
        <w:t>https://market.guishangyi.cn</w:t>
      </w:r>
      <w:r>
        <w:rPr>
          <w:rStyle w:val="4"/>
          <w:rFonts w:hint="eastAsia" w:ascii="仿宋_GB2312" w:hAnsi="仿宋_GB2312" w:eastAsia="仿宋_GB2312" w:cs="仿宋_GB2312"/>
          <w:sz w:val="32"/>
          <w:szCs w:val="32"/>
        </w:rPr>
        <w:fldChar w:fldCharType="end"/>
      </w:r>
      <w:r>
        <w:rPr>
          <w:rFonts w:hint="eastAsia" w:ascii="仿宋_GB2312" w:hAnsi="仿宋_GB2312" w:eastAsia="仿宋_GB2312" w:cs="仿宋_GB2312"/>
          <w:sz w:val="32"/>
          <w:szCs w:val="32"/>
        </w:rPr>
        <w:t>/service/ticketIndex2025）申领创新券。</w:t>
      </w:r>
    </w:p>
    <w:p w14:paraId="364FE1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1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  <w:t>1.1申领前置条件</w:t>
      </w:r>
    </w:p>
    <w:p w14:paraId="211A74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开始申领科技创新券前，请确保当前企业已在科技云专区完成“企业信息填报”方可申领，若企业暂未完成科技云专区“企业信息填报”，系统则会提示当前企业暂未完成填报，可点击去填报按钮直接前往企业信息填报系统进行填报，在填报信息审核通过后，即可进行科技创新券申领。</w:t>
      </w:r>
    </w:p>
    <w:p w14:paraId="64B1A272">
      <w:pPr>
        <w:rPr>
          <w:rFonts w:hint="eastAsia" w:ascii="仿宋" w:hAnsi="仿宋" w:eastAsia="仿宋"/>
          <w:sz w:val="24"/>
          <w:szCs w:val="24"/>
        </w:rPr>
      </w:pPr>
      <w:r>
        <w:drawing>
          <wp:inline distT="0" distB="0" distL="0" distR="0">
            <wp:extent cx="5274310" cy="2643505"/>
            <wp:effectExtent l="0" t="0" r="2540" b="44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43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743A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1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  <w:t>1.2开始申领</w:t>
      </w:r>
    </w:p>
    <w:p w14:paraId="245401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点击立即领取按钮，即可进入2025第二批科技创新券申领表单页面，在选择企业注册地以及上传加盖公章的信息真实性承诺书，点击提交审核，即可提交申领审核。</w:t>
      </w:r>
    </w:p>
    <w:p w14:paraId="6DDB7C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/>
          <w:sz w:val="24"/>
          <w:szCs w:val="24"/>
        </w:rPr>
      </w:pPr>
      <w:r>
        <w:drawing>
          <wp:inline distT="0" distB="0" distL="114300" distR="114300">
            <wp:extent cx="5261610" cy="3251835"/>
            <wp:effectExtent l="0" t="0" r="15240" b="571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3251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6FD9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1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  <w:t>1.3领取成功</w:t>
      </w:r>
    </w:p>
    <w:p w14:paraId="6B9E7E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在提交申领审核后，等待申领审核通过，页面按钮变为领取成功，即可通过左上角个人中心-我的优惠券入口，进入账户券包查看已领取的科技创新券。</w:t>
      </w:r>
    </w:p>
    <w:p w14:paraId="315210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5272405" cy="2713355"/>
            <wp:effectExtent l="0" t="0" r="4445" b="10795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71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0D8CDB">
      <w:pPr>
        <w:rPr>
          <w:rFonts w:ascii="仿宋" w:hAnsi="仿宋" w:eastAsia="仿宋"/>
          <w:sz w:val="24"/>
          <w:szCs w:val="24"/>
        </w:rPr>
      </w:pPr>
    </w:p>
    <w:p w14:paraId="6EA25B78"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jc w:val="left"/>
        <w:textAlignment w:val="auto"/>
        <w:outlineLvl w:val="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二、申请兑付</w:t>
      </w:r>
    </w:p>
    <w:p w14:paraId="400AA6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在企业申领成功后，可在券包内查看已领取的科技创新券，并通过去兑付按钮进行兑付申请提交。</w:t>
      </w:r>
    </w:p>
    <w:p w14:paraId="6AB617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/>
          <w:sz w:val="24"/>
          <w:szCs w:val="24"/>
        </w:rPr>
      </w:pPr>
      <w:r>
        <w:drawing>
          <wp:inline distT="0" distB="0" distL="114300" distR="114300">
            <wp:extent cx="5265420" cy="2874010"/>
            <wp:effectExtent l="0" t="0" r="11430" b="2540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874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BF29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1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  <w:t>2.1提交兑付审核</w:t>
      </w:r>
    </w:p>
    <w:p w14:paraId="2CE199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通过券包中，点击2025第二批科技创新券券面中的去兑付按钮，可进入科技创新券兑付表单页面，填写表单完成后，系统将自动计算当前合同可兑付额度，点击提交审核即可成功提交兑付审核。</w:t>
      </w:r>
    </w:p>
    <w:p w14:paraId="4D2E98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/>
          <w:sz w:val="24"/>
          <w:szCs w:val="24"/>
        </w:rPr>
      </w:pPr>
      <w:r>
        <w:drawing>
          <wp:inline distT="0" distB="0" distL="114300" distR="114300">
            <wp:extent cx="5267325" cy="3483610"/>
            <wp:effectExtent l="0" t="0" r="9525" b="2540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483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9ED6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1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  <w:t>2.2兑付审核拒绝</w:t>
      </w:r>
    </w:p>
    <w:p w14:paraId="305BF4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通过科技创新券券面中的用券记录，可查看当前科技创新券额度、剩余金额以及申请兑付记录，若兑付记录状态为“初审拒绝”或“复审拒绝”，则当前兑付申请无法重新提交，只能重新发起新的兑付，可通过兑付记录展开按钮查看兑付审核记录，查看拒绝理由。</w:t>
      </w:r>
    </w:p>
    <w:p w14:paraId="014084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/>
          <w:sz w:val="24"/>
          <w:szCs w:val="24"/>
        </w:rPr>
      </w:pPr>
      <w:r>
        <w:drawing>
          <wp:inline distT="0" distB="0" distL="114300" distR="114300">
            <wp:extent cx="5271135" cy="2844800"/>
            <wp:effectExtent l="0" t="0" r="5715" b="12700"/>
            <wp:docPr id="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84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5C80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1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  <w:t>2.3兑付审核驳回</w:t>
      </w:r>
    </w:p>
    <w:p w14:paraId="5D2976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若兑付记录状态为“初审驳回”或“复审驳回”，则可点击兑付记录中的重新提交按钮进行修改，在修改完成后点击提交审核，即可将当前兑付重新提交至后台审核（若为复审驳回后重新提交，兑付记录需要重新进入初审状态）。</w:t>
      </w:r>
    </w:p>
    <w:p w14:paraId="0E2261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/>
          <w:sz w:val="24"/>
          <w:szCs w:val="24"/>
        </w:rPr>
      </w:pPr>
      <w:r>
        <w:drawing>
          <wp:inline distT="0" distB="0" distL="114300" distR="114300">
            <wp:extent cx="5270500" cy="2792095"/>
            <wp:effectExtent l="0" t="0" r="6350" b="8255"/>
            <wp:docPr id="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792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6F57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1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lang w:val="en-US" w:eastAsia="zh-CN"/>
        </w:rPr>
        <w:t>2.4兑付审核通过</w:t>
      </w:r>
    </w:p>
    <w:p w14:paraId="4A9F43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若兑付记录状态为“复审通过”，即代表当前兑付记录已审核完成，兑付审核已通过。</w:t>
      </w:r>
    </w:p>
    <w:p w14:paraId="4EB8CF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仿宋" w:hAnsi="仿宋" w:eastAsia="仿宋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5267325" cy="2825115"/>
            <wp:effectExtent l="0" t="0" r="9525" b="13335"/>
            <wp:docPr id="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82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D480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/>
          <w:sz w:val="24"/>
          <w:szCs w:val="24"/>
        </w:rPr>
      </w:pPr>
    </w:p>
    <w:p w14:paraId="59CE6029">
      <w:pPr>
        <w:jc w:val="left"/>
        <w:rPr>
          <w:rFonts w:hint="eastAsia"/>
          <w:b/>
          <w:bCs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856"/>
    <w:rsid w:val="001310DE"/>
    <w:rsid w:val="00165BDE"/>
    <w:rsid w:val="005456E8"/>
    <w:rsid w:val="00640856"/>
    <w:rsid w:val="00795574"/>
    <w:rsid w:val="009856C0"/>
    <w:rsid w:val="00A90CAD"/>
    <w:rsid w:val="00AE10C0"/>
    <w:rsid w:val="00D66A8C"/>
    <w:rsid w:val="00E00B0A"/>
    <w:rsid w:val="113E38FC"/>
    <w:rsid w:val="125F726F"/>
    <w:rsid w:val="1BE62524"/>
    <w:rsid w:val="1DBC6FD6"/>
    <w:rsid w:val="56A01425"/>
    <w:rsid w:val="64FF71CF"/>
    <w:rsid w:val="7B7E1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nhideWhenUsed/>
    <w:qFormat/>
    <w:uiPriority w:val="99"/>
    <w:rPr>
      <w:color w:val="0000FF"/>
      <w:u w:val="single"/>
    </w:r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803</Words>
  <Characters>880</Characters>
  <Lines>6</Lines>
  <Paragraphs>1</Paragraphs>
  <TotalTime>326</TotalTime>
  <ScaleCrop>false</ScaleCrop>
  <LinksUpToDate>false</LinksUpToDate>
  <CharactersWithSpaces>880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2025-09-09T07:53:00Z</dcterms:created>
  <dc:creator>一澔 王</dc:creator>
  <cp:lastModifiedBy>小丑</cp:lastModifiedBy>
  <dcterms:modified xsi:type="dcterms:W3CDTF">2025-09-12T08:31:04Z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eyJoZGlkIjoiYTc2ZGZiNzZiNDVlOGViOWVmM2JhOTY0NGJkNjUyYzgiLCJ1c2VySWQiOiI0Mjc5OTI4NzIifQ==</vt:lpwstr>
  </property>
  <property fmtid="{D5CDD505-2E9C-101B-9397-08002B2CF9AE}" pid="3" name="KSOProductBuildVer">
    <vt:lpwstr>2052-12.1.0.22529</vt:lpwstr>
  </property>
  <property fmtid="{D5CDD505-2E9C-101B-9397-08002B2CF9AE}" pid="4" name="ICV">
    <vt:lpwstr>5019E1A49CC5472BB22DC99683DB81A8_13</vt:lpwstr>
  </property>
</Properties>
</file>