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DD672">
      <w:pPr>
        <w:keepNext w:val="0"/>
        <w:keepLines w:val="0"/>
        <w:pageBreakBefore w:val="0"/>
        <w:widowControl w:val="0"/>
        <w:kinsoku/>
        <w:wordWrap/>
        <w:overflowPunct/>
        <w:topLinePunct w:val="0"/>
        <w:autoSpaceDE w:val="0"/>
        <w:autoSpaceDN w:val="0"/>
        <w:bidi w:val="0"/>
        <w:adjustRightInd/>
        <w:snapToGrid/>
        <w:spacing w:line="560" w:lineRule="exact"/>
        <w:ind w:firstLine="0"/>
        <w:jc w:val="center"/>
        <w:textAlignment w:val="auto"/>
        <w:outlineLvl w:val="0"/>
        <w:rPr>
          <w:rFonts w:ascii="方正小标宋_GBK" w:eastAsia="方正小标宋_GBK"/>
          <w:color w:val="000000" w:themeColor="text1"/>
          <w:sz w:val="44"/>
          <w:szCs w:val="44"/>
          <w:highlight w:val="none"/>
        </w:rPr>
      </w:pPr>
      <w:bookmarkStart w:id="0" w:name="_Toc130835430"/>
      <w:r>
        <w:rPr>
          <w:rFonts w:hint="eastAsia" w:ascii="方正小标宋_GBK" w:eastAsia="方正小标宋_GBK"/>
          <w:color w:val="000000" w:themeColor="text1"/>
          <w:sz w:val="44"/>
          <w:szCs w:val="44"/>
          <w:highlight w:val="none"/>
        </w:rPr>
        <w:t>贵阳贵安科技创新券管理办法</w:t>
      </w:r>
      <w:r>
        <w:rPr>
          <w:rFonts w:ascii="方正小标宋_GBK" w:eastAsia="方正小标宋_GBK"/>
          <w:color w:val="000000" w:themeColor="text1"/>
          <w:sz w:val="44"/>
          <w:szCs w:val="44"/>
          <w:highlight w:val="none"/>
        </w:rPr>
        <w:t>（</w:t>
      </w:r>
      <w:r>
        <w:rPr>
          <w:rFonts w:hint="eastAsia" w:ascii="方正小标宋_GBK" w:eastAsia="方正小标宋_GBK"/>
          <w:color w:val="000000" w:themeColor="text1"/>
          <w:sz w:val="44"/>
          <w:szCs w:val="44"/>
          <w:highlight w:val="none"/>
          <w:lang w:val="en-US" w:eastAsia="zh-CN"/>
        </w:rPr>
        <w:t>试行</w:t>
      </w:r>
      <w:r>
        <w:rPr>
          <w:rFonts w:ascii="方正小标宋_GBK" w:eastAsia="方正小标宋_GBK"/>
          <w:color w:val="000000" w:themeColor="text1"/>
          <w:sz w:val="44"/>
          <w:szCs w:val="44"/>
          <w:highlight w:val="none"/>
        </w:rPr>
        <w:t>）</w:t>
      </w:r>
    </w:p>
    <w:bookmarkEnd w:id="0"/>
    <w:p w14:paraId="17E8B116">
      <w:pPr>
        <w:keepNext w:val="0"/>
        <w:keepLines w:val="0"/>
        <w:pageBreakBefore w:val="0"/>
        <w:widowControl w:val="0"/>
        <w:suppressAutoHyphens/>
        <w:kinsoku/>
        <w:wordWrap/>
        <w:overflowPunct/>
        <w:topLinePunct w:val="0"/>
        <w:autoSpaceDE w:val="0"/>
        <w:autoSpaceDN w:val="0"/>
        <w:bidi w:val="0"/>
        <w:adjustRightInd/>
        <w:snapToGrid w:val="0"/>
        <w:spacing w:after="157" w:afterLines="50" w:line="560" w:lineRule="exact"/>
        <w:ind w:firstLine="0"/>
        <w:jc w:val="center"/>
        <w:textAlignment w:val="auto"/>
        <w:outlineLvl w:val="0"/>
        <w:rPr>
          <w:rFonts w:hint="eastAsia" w:ascii="黑体" w:eastAsia="黑体" w:cs="黑体"/>
          <w:color w:val="000000" w:themeColor="text1"/>
          <w:szCs w:val="32"/>
          <w:highlight w:val="none"/>
        </w:rPr>
      </w:pPr>
    </w:p>
    <w:p w14:paraId="65A115E7">
      <w:pPr>
        <w:keepNext w:val="0"/>
        <w:keepLines w:val="0"/>
        <w:pageBreakBefore w:val="0"/>
        <w:widowControl w:val="0"/>
        <w:suppressAutoHyphens/>
        <w:kinsoku/>
        <w:wordWrap/>
        <w:overflowPunct/>
        <w:topLinePunct w:val="0"/>
        <w:autoSpaceDE w:val="0"/>
        <w:autoSpaceDN w:val="0"/>
        <w:bidi w:val="0"/>
        <w:adjustRightInd/>
        <w:snapToGrid w:val="0"/>
        <w:spacing w:after="157" w:afterLines="50" w:line="560" w:lineRule="exact"/>
        <w:ind w:firstLine="0"/>
        <w:jc w:val="center"/>
        <w:textAlignment w:val="auto"/>
        <w:outlineLvl w:val="0"/>
        <w:rPr>
          <w:rFonts w:ascii="黑体" w:eastAsia="黑体" w:cs="黑体"/>
          <w:color w:val="000000" w:themeColor="text1"/>
          <w:szCs w:val="32"/>
          <w:highlight w:val="none"/>
        </w:rPr>
      </w:pPr>
      <w:r>
        <w:rPr>
          <w:rFonts w:hint="eastAsia" w:ascii="黑体" w:eastAsia="黑体" w:cs="黑体"/>
          <w:color w:val="000000" w:themeColor="text1"/>
          <w:szCs w:val="32"/>
          <w:highlight w:val="none"/>
        </w:rPr>
        <w:t>第一章 总则</w:t>
      </w:r>
    </w:p>
    <w:p w14:paraId="0894B72E">
      <w:pPr>
        <w:spacing w:line="560" w:lineRule="exact"/>
        <w:ind w:firstLine="643" w:firstLineChars="200"/>
        <w:rPr>
          <w:rFonts w:hint="eastAsia" w:ascii="仿宋" w:hAnsi="仿宋" w:cs="仿宋"/>
          <w:b w:val="0"/>
          <w:bCs w:val="0"/>
          <w:color w:val="000000" w:themeColor="text1"/>
          <w:szCs w:val="32"/>
          <w:highlight w:val="none"/>
        </w:rPr>
      </w:pPr>
      <w:r>
        <w:rPr>
          <w:rFonts w:hint="eastAsia" w:ascii="仿宋" w:hAnsi="仿宋" w:cs="仿宋"/>
          <w:b/>
          <w:bCs/>
          <w:color w:val="000000" w:themeColor="text1"/>
          <w:szCs w:val="32"/>
          <w:highlight w:val="none"/>
        </w:rPr>
        <w:t xml:space="preserve">第一条 </w:t>
      </w:r>
      <w:r>
        <w:rPr>
          <w:rFonts w:hint="eastAsia" w:ascii="仿宋" w:hAnsi="仿宋" w:cs="仿宋"/>
          <w:b w:val="0"/>
          <w:bCs w:val="0"/>
          <w:color w:val="000000" w:themeColor="text1"/>
          <w:szCs w:val="32"/>
          <w:highlight w:val="none"/>
          <w:lang w:val="en-US" w:eastAsia="zh-CN"/>
        </w:rPr>
        <w:t>为强化企业科技创新主体地位，促进科技创新资源市场化配置，加速科技成果转化，以科技创新赋能产业发展，特制定本办法</w:t>
      </w:r>
      <w:r>
        <w:rPr>
          <w:rFonts w:hint="eastAsia" w:ascii="仿宋" w:hAnsi="仿宋" w:cs="仿宋"/>
          <w:b w:val="0"/>
          <w:bCs w:val="0"/>
          <w:color w:val="000000" w:themeColor="text1"/>
          <w:szCs w:val="32"/>
          <w:highlight w:val="none"/>
        </w:rPr>
        <w:t>。</w:t>
      </w:r>
    </w:p>
    <w:p w14:paraId="28035C22">
      <w:pPr>
        <w:spacing w:line="560" w:lineRule="exact"/>
        <w:ind w:firstLine="643" w:firstLineChars="200"/>
        <w:rPr>
          <w:rFonts w:ascii="仿宋" w:hAnsi="仿宋" w:cs="仿宋"/>
          <w:color w:val="000000" w:themeColor="text1"/>
          <w:szCs w:val="32"/>
          <w:highlight w:val="none"/>
        </w:rPr>
      </w:pPr>
      <w:r>
        <w:rPr>
          <w:rFonts w:hint="eastAsia" w:ascii="仿宋" w:hAnsi="仿宋" w:cs="仿宋"/>
          <w:b/>
          <w:bCs/>
          <w:color w:val="000000" w:themeColor="text1"/>
          <w:szCs w:val="32"/>
          <w:highlight w:val="none"/>
        </w:rPr>
        <w:t>第二条</w:t>
      </w:r>
      <w:r>
        <w:rPr>
          <w:rFonts w:hint="eastAsia" w:ascii="仿宋" w:hAnsi="仿宋" w:cs="仿宋"/>
          <w:color w:val="000000" w:themeColor="text1"/>
          <w:szCs w:val="32"/>
          <w:highlight w:val="none"/>
        </w:rPr>
        <w:t xml:space="preserve"> 本办法所称科技创新券（以下简称“创新券”）是指由贵阳贵安科技主管部门向符合本办法的企业发放的一种有价电子凭证，用于支持企业开展自主创新，以及向服务机构购买与其科技创新活动相关的服务。创新券的组织实施依托“贵商易”平台作为技术支撑。</w:t>
      </w:r>
    </w:p>
    <w:p w14:paraId="709F08C5">
      <w:pPr>
        <w:spacing w:line="560" w:lineRule="exact"/>
        <w:ind w:firstLine="643" w:firstLineChars="200"/>
        <w:rPr>
          <w:rFonts w:ascii="仿宋" w:hAnsi="仿宋" w:cs="仿宋"/>
          <w:color w:val="000000" w:themeColor="text1"/>
          <w:szCs w:val="32"/>
          <w:highlight w:val="none"/>
        </w:rPr>
      </w:pPr>
      <w:r>
        <w:rPr>
          <w:rFonts w:hint="eastAsia" w:ascii="仿宋" w:hAnsi="仿宋" w:cs="仿宋"/>
          <w:b/>
          <w:bCs/>
          <w:color w:val="000000" w:themeColor="text1"/>
          <w:szCs w:val="32"/>
          <w:highlight w:val="none"/>
        </w:rPr>
        <w:t>第三条</w:t>
      </w:r>
      <w:r>
        <w:rPr>
          <w:rFonts w:hint="eastAsia" w:ascii="仿宋" w:hAnsi="仿宋" w:cs="仿宋"/>
          <w:color w:val="000000" w:themeColor="text1"/>
          <w:szCs w:val="32"/>
          <w:highlight w:val="none"/>
        </w:rPr>
        <w:t xml:space="preserve"> 创新券所需资金来源于贵阳市财政科技资金和贵安新区财政科技资金。</w:t>
      </w:r>
    </w:p>
    <w:p w14:paraId="50CCD44C">
      <w:pPr>
        <w:keepNext w:val="0"/>
        <w:keepLines w:val="0"/>
        <w:pageBreakBefore w:val="0"/>
        <w:widowControl w:val="0"/>
        <w:suppressAutoHyphens/>
        <w:kinsoku/>
        <w:wordWrap/>
        <w:overflowPunct/>
        <w:topLinePunct w:val="0"/>
        <w:autoSpaceDE w:val="0"/>
        <w:autoSpaceDN w:val="0"/>
        <w:bidi w:val="0"/>
        <w:adjustRightInd/>
        <w:snapToGrid w:val="0"/>
        <w:spacing w:after="157" w:afterLines="50" w:line="560" w:lineRule="exact"/>
        <w:ind w:firstLine="0"/>
        <w:jc w:val="center"/>
        <w:textAlignment w:val="auto"/>
        <w:outlineLvl w:val="0"/>
        <w:rPr>
          <w:rFonts w:hint="eastAsia" w:ascii="黑体" w:eastAsia="黑体" w:cs="黑体"/>
          <w:color w:val="000000" w:themeColor="text1"/>
          <w:szCs w:val="32"/>
          <w:highlight w:val="none"/>
        </w:rPr>
      </w:pPr>
      <w:r>
        <w:rPr>
          <w:rFonts w:hint="eastAsia" w:ascii="黑体" w:eastAsia="黑体" w:cs="黑体"/>
          <w:color w:val="000000" w:themeColor="text1"/>
          <w:szCs w:val="32"/>
          <w:highlight w:val="none"/>
        </w:rPr>
        <w:t>第二章 职责分工</w:t>
      </w:r>
    </w:p>
    <w:p w14:paraId="240A6407">
      <w:pPr>
        <w:spacing w:line="560" w:lineRule="exact"/>
        <w:ind w:firstLine="643" w:firstLineChars="200"/>
        <w:rPr>
          <w:rFonts w:hint="eastAsia" w:ascii="仿宋" w:hAnsi="仿宋" w:cs="仿宋"/>
          <w:b w:val="0"/>
          <w:bCs w:val="0"/>
          <w:color w:val="000000" w:themeColor="text1"/>
          <w:szCs w:val="32"/>
          <w:highlight w:val="none"/>
        </w:rPr>
      </w:pPr>
      <w:r>
        <w:rPr>
          <w:rFonts w:hint="eastAsia" w:ascii="仿宋" w:hAnsi="仿宋" w:cs="仿宋"/>
          <w:b/>
          <w:bCs/>
          <w:color w:val="000000" w:themeColor="text1"/>
          <w:szCs w:val="32"/>
          <w:highlight w:val="none"/>
        </w:rPr>
        <w:t>第四条</w:t>
      </w:r>
      <w:r>
        <w:rPr>
          <w:rFonts w:hint="eastAsia" w:ascii="仿宋" w:hAnsi="仿宋" w:cs="仿宋"/>
          <w:color w:val="000000" w:themeColor="text1"/>
          <w:szCs w:val="32"/>
          <w:highlight w:val="none"/>
        </w:rPr>
        <w:t xml:space="preserve"> 贵阳市科学技术局（以下简称“市科技局”）、贵州贵安新区管理委员会大数据和科技创新局（以下简称“贵安新区大数据和科技创新局”）是创新券的统筹管理部门，负责创新券政策及年度申报指南制定、经费预算、监督指导。贵阳市各区</w:t>
      </w:r>
      <w:r>
        <w:rPr>
          <w:rFonts w:hint="eastAsia" w:ascii="仿宋" w:hAnsi="仿宋" w:cs="仿宋"/>
          <w:color w:val="000000" w:themeColor="text1"/>
          <w:szCs w:val="32"/>
          <w:highlight w:val="none"/>
          <w:lang w:eastAsia="zh-CN"/>
        </w:rPr>
        <w:t>（市、县）、各开发区</w:t>
      </w:r>
      <w:r>
        <w:rPr>
          <w:rFonts w:hint="eastAsia" w:ascii="仿宋" w:hAnsi="仿宋" w:cs="仿宋"/>
          <w:color w:val="000000" w:themeColor="text1"/>
          <w:szCs w:val="32"/>
          <w:highlight w:val="none"/>
        </w:rPr>
        <w:t>科技管理部门按照属地原则，负责指导辖区内企业开展创新券申领、使用和兑付工作，</w:t>
      </w:r>
      <w:r>
        <w:rPr>
          <w:rFonts w:hint="eastAsia" w:ascii="仿宋" w:hAnsi="仿宋" w:cs="仿宋"/>
          <w:b w:val="0"/>
          <w:bCs w:val="0"/>
          <w:color w:val="000000" w:themeColor="text1"/>
          <w:szCs w:val="32"/>
          <w:highlight w:val="none"/>
        </w:rPr>
        <w:t>对辖区内企业创新券资金使用的真实性、合法性、规范性进行监管，按年度提交各辖区创新券工作报告，配合市科技局追回违规使用的贵阳市创新券资金。</w:t>
      </w:r>
    </w:p>
    <w:p w14:paraId="09ED4D5F">
      <w:pPr>
        <w:spacing w:line="560" w:lineRule="exact"/>
        <w:ind w:firstLine="643" w:firstLineChars="200"/>
        <w:rPr>
          <w:rFonts w:ascii="仿宋" w:hAnsi="仿宋" w:cs="仿宋"/>
          <w:color w:val="000000" w:themeColor="text1"/>
          <w:szCs w:val="32"/>
          <w:highlight w:val="none"/>
        </w:rPr>
      </w:pPr>
      <w:r>
        <w:rPr>
          <w:rFonts w:hint="eastAsia" w:ascii="仿宋" w:hAnsi="仿宋" w:cs="仿宋"/>
          <w:b/>
          <w:bCs/>
          <w:color w:val="000000" w:themeColor="text1"/>
          <w:szCs w:val="32"/>
          <w:highlight w:val="none"/>
        </w:rPr>
        <w:t xml:space="preserve">第五条 </w:t>
      </w:r>
      <w:r>
        <w:rPr>
          <w:rFonts w:hint="eastAsia" w:ascii="仿宋" w:hAnsi="仿宋" w:cs="仿宋"/>
          <w:color w:val="000000" w:themeColor="text1"/>
          <w:szCs w:val="32"/>
          <w:highlight w:val="none"/>
        </w:rPr>
        <w:t>贵阳贵安工业和信息化部门负责协调“贵商易”平台提供创新券技术支撑服务，引导各类企业积极参与科技创新活动。</w:t>
      </w:r>
    </w:p>
    <w:p w14:paraId="3DA506AC">
      <w:pPr>
        <w:spacing w:line="560" w:lineRule="exact"/>
        <w:ind w:firstLine="643" w:firstLineChars="200"/>
        <w:rPr>
          <w:rFonts w:hint="eastAsia" w:ascii="仿宋" w:hAnsi="仿宋" w:eastAsia="仿宋" w:cs="仿宋"/>
          <w:color w:val="000000" w:themeColor="text1"/>
          <w:szCs w:val="32"/>
          <w:highlight w:val="none"/>
          <w:lang w:eastAsia="zh-CN"/>
        </w:rPr>
      </w:pPr>
      <w:r>
        <w:rPr>
          <w:rFonts w:hint="eastAsia" w:ascii="仿宋" w:hAnsi="仿宋" w:cs="仿宋"/>
          <w:b/>
          <w:bCs/>
          <w:color w:val="000000" w:themeColor="text1"/>
          <w:szCs w:val="32"/>
          <w:highlight w:val="none"/>
        </w:rPr>
        <w:t>第六条</w:t>
      </w:r>
      <w:r>
        <w:rPr>
          <w:rFonts w:hint="eastAsia" w:ascii="仿宋" w:hAnsi="仿宋" w:cs="仿宋"/>
          <w:color w:val="000000" w:themeColor="text1"/>
          <w:szCs w:val="32"/>
          <w:highlight w:val="none"/>
        </w:rPr>
        <w:t xml:space="preserve"> 贵阳市财政局（以下简称“市财政局”）、贵州贵安新区管理委员会财政金融工作局（以下简称“贵安新区财政金融工作局”）负责创新券所需资金的预算管理，按程序下达预算指标、</w:t>
      </w:r>
      <w:r>
        <w:rPr>
          <w:rFonts w:hint="eastAsia" w:ascii="仿宋" w:hAnsi="仿宋" w:cs="仿宋"/>
          <w:b w:val="0"/>
          <w:bCs w:val="0"/>
          <w:color w:val="000000" w:themeColor="text1"/>
          <w:szCs w:val="32"/>
          <w:highlight w:val="none"/>
        </w:rPr>
        <w:t>保障创新券资金及时拨付，并对资金使用情况进行绩效评价</w:t>
      </w:r>
      <w:r>
        <w:rPr>
          <w:rFonts w:hint="eastAsia" w:ascii="仿宋" w:hAnsi="仿宋" w:cs="仿宋"/>
          <w:b w:val="0"/>
          <w:bCs w:val="0"/>
          <w:color w:val="000000" w:themeColor="text1"/>
          <w:szCs w:val="32"/>
          <w:highlight w:val="none"/>
          <w:lang w:eastAsia="zh-CN"/>
        </w:rPr>
        <w:t>。</w:t>
      </w:r>
    </w:p>
    <w:p w14:paraId="3E593D77">
      <w:pPr>
        <w:spacing w:line="560" w:lineRule="exact"/>
        <w:ind w:firstLine="643" w:firstLineChars="200"/>
        <w:rPr>
          <w:rFonts w:ascii="仿宋" w:hAnsi="仿宋" w:cs="仿宋"/>
          <w:color w:val="000000" w:themeColor="text1"/>
          <w:szCs w:val="32"/>
          <w:highlight w:val="none"/>
        </w:rPr>
      </w:pPr>
      <w:r>
        <w:rPr>
          <w:rFonts w:hint="eastAsia" w:ascii="仿宋" w:hAnsi="仿宋" w:cs="仿宋"/>
          <w:b/>
          <w:bCs/>
          <w:color w:val="000000" w:themeColor="text1"/>
          <w:szCs w:val="32"/>
          <w:highlight w:val="none"/>
        </w:rPr>
        <w:t xml:space="preserve">第七条 </w:t>
      </w:r>
      <w:r>
        <w:rPr>
          <w:rFonts w:hint="eastAsia" w:ascii="仿宋" w:hAnsi="仿宋" w:cs="仿宋"/>
          <w:color w:val="000000" w:themeColor="text1"/>
          <w:szCs w:val="32"/>
          <w:highlight w:val="none"/>
        </w:rPr>
        <w:t>市科技局、贵安新区大数据和科技创新局委托第三方机构负责创新券申领、使用和兑付相关的日常运营服务工作，第三方机构需设立创新券管理中心（以下简称“管理中心”）。</w:t>
      </w:r>
    </w:p>
    <w:p w14:paraId="4D5ECD5F">
      <w:pPr>
        <w:spacing w:line="560" w:lineRule="exact"/>
        <w:ind w:firstLine="643" w:firstLineChars="200"/>
        <w:rPr>
          <w:rFonts w:ascii="仿宋" w:hAnsi="仿宋" w:cs="仿宋"/>
          <w:color w:val="000000" w:themeColor="text1"/>
          <w:szCs w:val="32"/>
          <w:highlight w:val="none"/>
        </w:rPr>
      </w:pPr>
      <w:r>
        <w:rPr>
          <w:rFonts w:hint="eastAsia" w:ascii="仿宋" w:hAnsi="仿宋" w:cs="仿宋"/>
          <w:b/>
          <w:bCs/>
          <w:color w:val="000000" w:themeColor="text1"/>
          <w:szCs w:val="32"/>
          <w:highlight w:val="none"/>
        </w:rPr>
        <w:t xml:space="preserve">第八条 </w:t>
      </w:r>
      <w:r>
        <w:rPr>
          <w:rFonts w:hint="eastAsia" w:ascii="仿宋" w:hAnsi="仿宋" w:cs="仿宋"/>
          <w:color w:val="000000" w:themeColor="text1"/>
          <w:szCs w:val="32"/>
          <w:highlight w:val="none"/>
        </w:rPr>
        <w:t>“贵商易”平台负责统筹服务机构入驻工作，负责提供系统搭建及运维、风险提示、数据留存分析等保障服务，配合管理中心做好日常运营服务工作。</w:t>
      </w:r>
    </w:p>
    <w:p w14:paraId="4C112582">
      <w:pPr>
        <w:widowControl/>
        <w:spacing w:line="560" w:lineRule="exact"/>
        <w:ind w:firstLine="643" w:firstLineChars="200"/>
        <w:jc w:val="left"/>
        <w:rPr>
          <w:rFonts w:ascii="仿宋_GB2312" w:eastAsia="仿宋_GB2312" w:cs="仿宋_GB2312"/>
          <w:color w:val="000000" w:themeColor="text1"/>
          <w:szCs w:val="32"/>
          <w:highlight w:val="none"/>
        </w:rPr>
      </w:pPr>
      <w:r>
        <w:rPr>
          <w:rFonts w:hint="eastAsia" w:ascii="仿宋" w:hAnsi="仿宋" w:cs="仿宋"/>
          <w:b/>
          <w:bCs/>
          <w:color w:val="000000" w:themeColor="text1"/>
          <w:szCs w:val="32"/>
          <w:highlight w:val="none"/>
        </w:rPr>
        <w:t xml:space="preserve">第九条 </w:t>
      </w:r>
      <w:r>
        <w:rPr>
          <w:rFonts w:hint="eastAsia" w:ascii="仿宋" w:hAnsi="仿宋" w:cs="仿宋"/>
          <w:color w:val="000000" w:themeColor="text1"/>
          <w:szCs w:val="32"/>
          <w:highlight w:val="none"/>
        </w:rPr>
        <w:t>市科技局下属事业单位贵阳生产力促进中心、贵安新区大数据和科技创新局负责对管理中心和“贵商易”平台的创新券运营工作进行监督管理</w:t>
      </w:r>
      <w:r>
        <w:rPr>
          <w:rFonts w:hint="eastAsia" w:ascii="仿宋" w:hAnsi="仿宋" w:cs="仿宋"/>
          <w:b w:val="0"/>
          <w:bCs w:val="0"/>
          <w:color w:val="000000" w:themeColor="text1"/>
          <w:szCs w:val="32"/>
          <w:highlight w:val="none"/>
        </w:rPr>
        <w:t>，对创新券兑付进行复核以及对服务交易真实性、合法性和规范性进行检查，开展创新券年度绩效分析评价，确保创新券规范运行。</w:t>
      </w:r>
    </w:p>
    <w:p w14:paraId="57B82817">
      <w:pPr>
        <w:keepNext w:val="0"/>
        <w:keepLines w:val="0"/>
        <w:pageBreakBefore w:val="0"/>
        <w:widowControl w:val="0"/>
        <w:kinsoku/>
        <w:wordWrap/>
        <w:overflowPunct/>
        <w:topLinePunct w:val="0"/>
        <w:autoSpaceDE w:val="0"/>
        <w:autoSpaceDN w:val="0"/>
        <w:bidi w:val="0"/>
        <w:adjustRightInd/>
        <w:snapToGrid w:val="0"/>
        <w:spacing w:after="157" w:afterLines="50" w:line="560" w:lineRule="exact"/>
        <w:ind w:firstLine="0"/>
        <w:jc w:val="center"/>
        <w:textAlignment w:val="auto"/>
        <w:outlineLvl w:val="0"/>
        <w:rPr>
          <w:rFonts w:ascii="黑体" w:eastAsia="黑体" w:cs="黑体"/>
          <w:color w:val="000000" w:themeColor="text1"/>
          <w:szCs w:val="32"/>
          <w:highlight w:val="none"/>
        </w:rPr>
      </w:pPr>
      <w:r>
        <w:rPr>
          <w:rFonts w:hint="eastAsia" w:ascii="黑体" w:eastAsia="黑体" w:cs="黑体"/>
          <w:color w:val="000000" w:themeColor="text1"/>
          <w:szCs w:val="32"/>
          <w:highlight w:val="none"/>
        </w:rPr>
        <w:t>第三章 申领对象与服务机构</w:t>
      </w:r>
    </w:p>
    <w:p w14:paraId="69B344ED">
      <w:pPr>
        <w:widowControl/>
        <w:spacing w:line="560" w:lineRule="exact"/>
        <w:rPr>
          <w:rFonts w:ascii="仿宋" w:hAnsi="仿宋" w:cs="仿宋"/>
          <w:bCs/>
          <w:color w:val="000000" w:themeColor="text1"/>
          <w:szCs w:val="32"/>
          <w:highlight w:val="none"/>
        </w:rPr>
      </w:pPr>
      <w:r>
        <w:rPr>
          <w:rFonts w:hint="eastAsia" w:ascii="仿宋" w:hAnsi="仿宋" w:cs="仿宋"/>
          <w:b/>
          <w:bCs/>
          <w:color w:val="000000" w:themeColor="text1"/>
          <w:szCs w:val="32"/>
          <w:highlight w:val="none"/>
        </w:rPr>
        <w:t xml:space="preserve">第十条 </w:t>
      </w:r>
      <w:r>
        <w:rPr>
          <w:rFonts w:hint="eastAsia" w:ascii="仿宋" w:hAnsi="仿宋" w:cs="仿宋"/>
          <w:bCs/>
          <w:color w:val="000000" w:themeColor="text1"/>
          <w:szCs w:val="32"/>
          <w:highlight w:val="none"/>
        </w:rPr>
        <w:t>申领创新券的企业应在贵阳贵安注册，具有独立法人主体资格，且未被“国家企业信用信息公示系统(贵州)”、“信用中国（</w:t>
      </w:r>
      <w:r>
        <w:rPr>
          <w:rFonts w:hint="eastAsia" w:ascii="仿宋" w:hAnsi="仿宋" w:cs="仿宋"/>
          <w:bCs/>
          <w:color w:val="000000" w:themeColor="text1"/>
          <w:szCs w:val="32"/>
          <w:highlight w:val="none"/>
          <w:lang w:val="en-US" w:eastAsia="zh-CN"/>
        </w:rPr>
        <w:t>贵州</w:t>
      </w:r>
      <w:r>
        <w:rPr>
          <w:rFonts w:hint="eastAsia" w:ascii="仿宋" w:hAnsi="仿宋" w:cs="仿宋"/>
          <w:bCs/>
          <w:color w:val="000000" w:themeColor="text1"/>
          <w:szCs w:val="32"/>
          <w:highlight w:val="none"/>
        </w:rPr>
        <w:t>）”等列入失信黑名单。</w:t>
      </w:r>
    </w:p>
    <w:p w14:paraId="34E8826B">
      <w:pPr>
        <w:spacing w:line="560" w:lineRule="exact"/>
        <w:ind w:firstLine="643" w:firstLineChars="200"/>
        <w:rPr>
          <w:rFonts w:ascii="仿宋" w:hAnsi="仿宋" w:cs="仿宋"/>
          <w:color w:val="000000" w:themeColor="text1"/>
          <w:szCs w:val="32"/>
          <w:highlight w:val="none"/>
        </w:rPr>
      </w:pPr>
      <w:r>
        <w:rPr>
          <w:rFonts w:hint="eastAsia" w:ascii="仿宋" w:hAnsi="仿宋" w:cs="仿宋"/>
          <w:b/>
          <w:bCs/>
          <w:color w:val="000000" w:themeColor="text1"/>
          <w:szCs w:val="32"/>
          <w:highlight w:val="none"/>
        </w:rPr>
        <w:t xml:space="preserve">第十一条 </w:t>
      </w:r>
      <w:r>
        <w:rPr>
          <w:rFonts w:hint="eastAsia" w:ascii="仿宋" w:hAnsi="仿宋" w:cs="仿宋"/>
          <w:color w:val="000000" w:themeColor="text1"/>
          <w:szCs w:val="32"/>
          <w:highlight w:val="none"/>
        </w:rPr>
        <w:t>本办法所称服务机构，是指提供科技服务的高校、科研院所、企业等。服务机构可通过“贵商易”平台申请入驻，经审核后纳入创新券服务机构库。服务机构应具备以下条件：</w:t>
      </w:r>
    </w:p>
    <w:p w14:paraId="6B8AFFC0">
      <w:pPr>
        <w:spacing w:line="560" w:lineRule="exact"/>
        <w:ind w:firstLine="640" w:firstLineChars="200"/>
        <w:rPr>
          <w:rFonts w:ascii="仿宋" w:hAnsi="仿宋" w:cs="仿宋"/>
          <w:color w:val="000000" w:themeColor="text1"/>
          <w:szCs w:val="32"/>
          <w:highlight w:val="none"/>
        </w:rPr>
      </w:pPr>
      <w:r>
        <w:rPr>
          <w:rFonts w:hint="eastAsia" w:ascii="仿宋" w:hAnsi="仿宋" w:cs="仿宋"/>
          <w:color w:val="000000" w:themeColor="text1"/>
          <w:szCs w:val="32"/>
          <w:highlight w:val="none"/>
        </w:rPr>
        <w:t>（一）法人、非法人组织；</w:t>
      </w:r>
    </w:p>
    <w:p w14:paraId="62F283DE">
      <w:pPr>
        <w:spacing w:line="560" w:lineRule="exact"/>
        <w:ind w:firstLine="640" w:firstLineChars="200"/>
        <w:rPr>
          <w:rFonts w:ascii="仿宋" w:hAnsi="仿宋" w:cs="仿宋"/>
          <w:color w:val="000000" w:themeColor="text1"/>
          <w:szCs w:val="32"/>
          <w:highlight w:val="none"/>
        </w:rPr>
      </w:pPr>
      <w:r>
        <w:rPr>
          <w:rFonts w:hint="eastAsia" w:ascii="仿宋" w:hAnsi="仿宋" w:cs="仿宋"/>
          <w:color w:val="000000" w:themeColor="text1"/>
          <w:szCs w:val="32"/>
          <w:highlight w:val="none"/>
        </w:rPr>
        <w:t>（二）财务制度健全，有明确的服务内容和收费标准；</w:t>
      </w:r>
    </w:p>
    <w:p w14:paraId="05C57554">
      <w:pPr>
        <w:widowControl/>
        <w:spacing w:line="560" w:lineRule="exact"/>
        <w:ind w:firstLine="640" w:firstLineChars="200"/>
        <w:rPr>
          <w:rFonts w:ascii="仿宋" w:hAnsi="仿宋" w:cs="仿宋"/>
          <w:szCs w:val="32"/>
          <w:highlight w:val="none"/>
        </w:rPr>
      </w:pPr>
      <w:r>
        <w:rPr>
          <w:rFonts w:hint="eastAsia" w:ascii="仿宋" w:hAnsi="仿宋" w:cs="仿宋"/>
          <w:color w:val="000000" w:themeColor="text1"/>
          <w:szCs w:val="32"/>
          <w:highlight w:val="none"/>
        </w:rPr>
        <w:t>（三）</w:t>
      </w:r>
      <w:r>
        <w:rPr>
          <w:rFonts w:hint="eastAsia" w:ascii="仿宋" w:hAnsi="仿宋" w:cs="仿宋"/>
          <w:szCs w:val="32"/>
          <w:highlight w:val="none"/>
        </w:rPr>
        <w:t>未</w:t>
      </w:r>
      <w:r>
        <w:rPr>
          <w:rFonts w:hint="eastAsia" w:ascii="仿宋" w:hAnsi="仿宋" w:cs="仿宋"/>
          <w:szCs w:val="32"/>
          <w:highlight w:val="none"/>
          <w:lang w:val="en-US" w:eastAsia="zh-CN"/>
        </w:rPr>
        <w:t>被</w:t>
      </w:r>
      <w:r>
        <w:rPr>
          <w:rFonts w:hint="eastAsia" w:ascii="仿宋" w:hAnsi="仿宋" w:cs="仿宋"/>
          <w:szCs w:val="32"/>
          <w:highlight w:val="none"/>
        </w:rPr>
        <w:t>“国家企业信用信息公示系统（贵州）”</w:t>
      </w:r>
      <w:r>
        <w:rPr>
          <w:rFonts w:hint="eastAsia" w:ascii="仿宋" w:hAnsi="仿宋" w:cs="仿宋"/>
          <w:szCs w:val="32"/>
          <w:highlight w:val="none"/>
          <w:lang w:eastAsia="zh-CN"/>
        </w:rPr>
        <w:t>、</w:t>
      </w:r>
      <w:r>
        <w:rPr>
          <w:rFonts w:hint="eastAsia" w:ascii="仿宋" w:hAnsi="仿宋" w:cs="仿宋"/>
          <w:b w:val="0"/>
          <w:bCs/>
          <w:szCs w:val="32"/>
          <w:highlight w:val="none"/>
        </w:rPr>
        <w:t>“信用中国（</w:t>
      </w:r>
      <w:r>
        <w:rPr>
          <w:rFonts w:hint="eastAsia" w:ascii="仿宋" w:hAnsi="仿宋" w:cs="仿宋"/>
          <w:b w:val="0"/>
          <w:bCs/>
          <w:szCs w:val="32"/>
          <w:highlight w:val="none"/>
          <w:lang w:val="en-US" w:eastAsia="zh-CN"/>
        </w:rPr>
        <w:t>贵州</w:t>
      </w:r>
      <w:r>
        <w:rPr>
          <w:rFonts w:hint="eastAsia" w:ascii="仿宋" w:hAnsi="仿宋" w:cs="仿宋"/>
          <w:b w:val="0"/>
          <w:bCs/>
          <w:szCs w:val="32"/>
          <w:highlight w:val="none"/>
        </w:rPr>
        <w:t>）</w:t>
      </w:r>
      <w:r>
        <w:rPr>
          <w:rFonts w:hint="eastAsia" w:ascii="仿宋" w:hAnsi="仿宋" w:cs="仿宋"/>
          <w:szCs w:val="32"/>
          <w:highlight w:val="none"/>
        </w:rPr>
        <w:t>列入</w:t>
      </w:r>
      <w:r>
        <w:rPr>
          <w:rFonts w:hint="eastAsia" w:ascii="仿宋" w:hAnsi="仿宋" w:cs="仿宋"/>
          <w:bCs/>
          <w:szCs w:val="32"/>
          <w:highlight w:val="none"/>
        </w:rPr>
        <w:t>严重违法失信等黑名单</w:t>
      </w:r>
      <w:r>
        <w:rPr>
          <w:rFonts w:hint="eastAsia" w:ascii="仿宋" w:hAnsi="仿宋" w:cs="仿宋"/>
          <w:szCs w:val="32"/>
          <w:highlight w:val="none"/>
        </w:rPr>
        <w:t>。</w:t>
      </w:r>
    </w:p>
    <w:p w14:paraId="0E46F150">
      <w:pPr>
        <w:spacing w:line="560" w:lineRule="exact"/>
        <w:ind w:firstLine="0"/>
        <w:jc w:val="center"/>
        <w:outlineLvl w:val="0"/>
        <w:rPr>
          <w:rFonts w:ascii="仿宋_GB2312" w:hAnsi="仿宋_GB2312" w:eastAsia="黑体" w:cs="仿宋_GB2312"/>
          <w:color w:val="000000" w:themeColor="text1"/>
          <w:szCs w:val="32"/>
          <w:highlight w:val="none"/>
        </w:rPr>
      </w:pPr>
      <w:r>
        <w:rPr>
          <w:rFonts w:hint="eastAsia" w:ascii="黑体" w:eastAsia="黑体" w:cs="黑体"/>
          <w:color w:val="000000" w:themeColor="text1"/>
          <w:szCs w:val="32"/>
          <w:highlight w:val="none"/>
        </w:rPr>
        <w:t>第四章 支持范围与额度</w:t>
      </w:r>
    </w:p>
    <w:p w14:paraId="18A61BB1">
      <w:pPr>
        <w:widowControl/>
        <w:spacing w:line="560" w:lineRule="exact"/>
        <w:jc w:val="left"/>
        <w:rPr>
          <w:rFonts w:ascii="仿宋" w:hAnsi="仿宋" w:cs="仿宋"/>
          <w:color w:val="000000" w:themeColor="text1"/>
          <w:szCs w:val="32"/>
          <w:highlight w:val="none"/>
        </w:rPr>
      </w:pPr>
      <w:r>
        <w:rPr>
          <w:rFonts w:hint="eastAsia" w:ascii="仿宋" w:hAnsi="仿宋" w:cs="仿宋"/>
          <w:b/>
          <w:bCs/>
          <w:color w:val="000000" w:themeColor="text1"/>
          <w:szCs w:val="32"/>
          <w:highlight w:val="none"/>
        </w:rPr>
        <w:t>第十二条</w:t>
      </w:r>
      <w:r>
        <w:rPr>
          <w:rFonts w:hint="eastAsia" w:ascii="仿宋" w:hAnsi="仿宋" w:cs="仿宋"/>
          <w:color w:val="000000" w:themeColor="text1"/>
          <w:szCs w:val="32"/>
          <w:highlight w:val="none"/>
        </w:rPr>
        <w:t xml:space="preserve"> 创新券支持的范围包括企业培育</w:t>
      </w:r>
      <w:r>
        <w:rPr>
          <w:rFonts w:hint="eastAsia" w:ascii="仿宋" w:hAnsi="仿宋" w:cs="仿宋"/>
          <w:b w:val="0"/>
          <w:bCs w:val="0"/>
          <w:color w:val="000000" w:themeColor="text1"/>
          <w:szCs w:val="32"/>
          <w:highlight w:val="none"/>
        </w:rPr>
        <w:t>、技术咨询、技术需求挖掘及撮合、技术研发、知识产权、技术转移、成果转化、科技金融、检验检测、仪器共享等</w:t>
      </w:r>
      <w:r>
        <w:rPr>
          <w:rFonts w:hint="eastAsia" w:ascii="仿宋" w:hAnsi="仿宋" w:cs="仿宋"/>
          <w:color w:val="000000" w:themeColor="text1"/>
          <w:szCs w:val="32"/>
          <w:highlight w:val="none"/>
        </w:rPr>
        <w:t>服务内容。</w:t>
      </w:r>
    </w:p>
    <w:p w14:paraId="0B7E7869">
      <w:pPr>
        <w:suppressAutoHyphens/>
        <w:spacing w:line="560" w:lineRule="exact"/>
        <w:ind w:firstLine="643" w:firstLineChars="200"/>
        <w:rPr>
          <w:rFonts w:ascii="仿宋" w:hAnsi="仿宋" w:cs="仿宋"/>
          <w:color w:val="000000" w:themeColor="text1"/>
          <w:szCs w:val="32"/>
          <w:highlight w:val="none"/>
        </w:rPr>
      </w:pPr>
      <w:r>
        <w:rPr>
          <w:rFonts w:hint="eastAsia" w:ascii="仿宋" w:hAnsi="仿宋" w:cs="仿宋"/>
          <w:b/>
          <w:bCs/>
          <w:color w:val="000000" w:themeColor="text1"/>
          <w:szCs w:val="32"/>
          <w:highlight w:val="none"/>
        </w:rPr>
        <w:t>第十三条</w:t>
      </w:r>
      <w:r>
        <w:rPr>
          <w:rFonts w:hint="eastAsia" w:ascii="仿宋" w:hAnsi="仿宋" w:cs="仿宋"/>
          <w:color w:val="000000" w:themeColor="text1"/>
          <w:szCs w:val="32"/>
          <w:highlight w:val="none"/>
        </w:rPr>
        <w:t xml:space="preserve"> 创新券不支持以下服务：</w:t>
      </w:r>
    </w:p>
    <w:p w14:paraId="20EF8938">
      <w:pPr>
        <w:suppressAutoHyphens/>
        <w:spacing w:line="560" w:lineRule="exact"/>
        <w:ind w:firstLine="640" w:firstLineChars="200"/>
        <w:rPr>
          <w:rFonts w:ascii="仿宋" w:hAnsi="仿宋" w:cs="仿宋"/>
          <w:color w:val="000000" w:themeColor="text1"/>
          <w:szCs w:val="32"/>
          <w:highlight w:val="none"/>
        </w:rPr>
      </w:pPr>
      <w:r>
        <w:rPr>
          <w:rFonts w:hint="eastAsia" w:ascii="仿宋" w:hAnsi="仿宋" w:cs="仿宋"/>
          <w:color w:val="000000" w:themeColor="text1"/>
          <w:szCs w:val="32"/>
          <w:highlight w:val="none"/>
        </w:rPr>
        <w:t>（一）与研发活动无直接关联的设备租赁、商标服务、财务记账等服务；</w:t>
      </w:r>
    </w:p>
    <w:p w14:paraId="6EBF06EA">
      <w:pPr>
        <w:suppressAutoHyphens/>
        <w:spacing w:line="560" w:lineRule="exact"/>
        <w:ind w:firstLine="640" w:firstLineChars="200"/>
        <w:rPr>
          <w:rFonts w:ascii="仿宋" w:hAnsi="仿宋" w:cs="仿宋"/>
          <w:color w:val="000000" w:themeColor="text1"/>
          <w:szCs w:val="32"/>
          <w:highlight w:val="none"/>
        </w:rPr>
      </w:pPr>
      <w:r>
        <w:rPr>
          <w:rFonts w:hint="eastAsia" w:ascii="仿宋" w:hAnsi="仿宋" w:cs="仿宋"/>
          <w:color w:val="000000" w:themeColor="text1"/>
          <w:szCs w:val="32"/>
          <w:highlight w:val="none"/>
        </w:rPr>
        <w:t>（二）按照法律法规或者强制性标准要求必须开展的强制检测和法定检测服务；</w:t>
      </w:r>
    </w:p>
    <w:p w14:paraId="75F46106">
      <w:pPr>
        <w:suppressAutoHyphens/>
        <w:spacing w:line="560" w:lineRule="exact"/>
        <w:ind w:firstLine="640" w:firstLineChars="200"/>
        <w:rPr>
          <w:rFonts w:ascii="仿宋" w:hAnsi="仿宋" w:cs="仿宋"/>
          <w:color w:val="000000" w:themeColor="text1"/>
          <w:szCs w:val="32"/>
          <w:highlight w:val="none"/>
        </w:rPr>
      </w:pPr>
      <w:r>
        <w:rPr>
          <w:rFonts w:hint="eastAsia" w:ascii="仿宋" w:hAnsi="仿宋" w:cs="仿宋"/>
          <w:color w:val="000000" w:themeColor="text1"/>
          <w:szCs w:val="32"/>
          <w:highlight w:val="none"/>
        </w:rPr>
        <w:t>（三）存在股权关系的企业和服务机构之间发生的关联交易服务；</w:t>
      </w:r>
    </w:p>
    <w:p w14:paraId="082D19D8">
      <w:pPr>
        <w:suppressAutoHyphens/>
        <w:spacing w:line="560" w:lineRule="exact"/>
        <w:ind w:firstLine="640" w:firstLineChars="200"/>
        <w:rPr>
          <w:rFonts w:ascii="仿宋" w:hAnsi="仿宋" w:cs="仿宋"/>
          <w:color w:val="000000" w:themeColor="text1"/>
          <w:szCs w:val="32"/>
          <w:highlight w:val="none"/>
        </w:rPr>
      </w:pPr>
      <w:r>
        <w:rPr>
          <w:rFonts w:hint="eastAsia" w:ascii="仿宋" w:hAnsi="仿宋" w:cs="仿宋"/>
          <w:color w:val="000000" w:themeColor="text1"/>
          <w:szCs w:val="32"/>
          <w:highlight w:val="none"/>
        </w:rPr>
        <w:t>（四）同一服务事项已得到创新券支持或贵阳市、贵安新区财政科技资金支持的。</w:t>
      </w:r>
    </w:p>
    <w:p w14:paraId="5455D0CB">
      <w:pPr>
        <w:adjustRightInd w:val="0"/>
        <w:spacing w:line="560" w:lineRule="exact"/>
        <w:ind w:firstLine="643" w:firstLineChars="200"/>
        <w:rPr>
          <w:rFonts w:hint="default" w:ascii="仿宋" w:hAnsi="仿宋" w:eastAsia="仿宋" w:cs="仿宋"/>
          <w:color w:val="000000" w:themeColor="text1"/>
          <w:szCs w:val="32"/>
          <w:highlight w:val="none"/>
          <w:lang w:val="en-US" w:eastAsia="zh-CN"/>
        </w:rPr>
      </w:pPr>
      <w:r>
        <w:rPr>
          <w:rFonts w:hint="eastAsia" w:ascii="仿宋" w:hAnsi="仿宋" w:cs="仿宋"/>
          <w:b/>
          <w:bCs/>
          <w:color w:val="000000" w:themeColor="text1"/>
          <w:szCs w:val="32"/>
          <w:highlight w:val="none"/>
        </w:rPr>
        <w:t xml:space="preserve">第十四条 </w:t>
      </w:r>
      <w:r>
        <w:rPr>
          <w:rFonts w:hint="eastAsia" w:ascii="仿宋" w:hAnsi="仿宋" w:cs="仿宋"/>
          <w:b w:val="0"/>
          <w:bCs w:val="0"/>
          <w:color w:val="000000" w:themeColor="text1"/>
          <w:szCs w:val="32"/>
          <w:highlight w:val="none"/>
        </w:rPr>
        <w:t>单个企业每年发放的创新券额度不超过</w:t>
      </w:r>
      <w:r>
        <w:rPr>
          <w:rFonts w:hint="eastAsia" w:ascii="仿宋" w:hAnsi="仿宋" w:cs="仿宋"/>
          <w:b w:val="0"/>
          <w:bCs w:val="0"/>
          <w:color w:val="000000" w:themeColor="text1"/>
          <w:szCs w:val="32"/>
          <w:highlight w:val="none"/>
          <w:lang w:val="en-US" w:eastAsia="zh-CN"/>
        </w:rPr>
        <w:t>500</w:t>
      </w:r>
      <w:r>
        <w:rPr>
          <w:rFonts w:hint="eastAsia" w:ascii="仿宋" w:hAnsi="仿宋" w:cs="仿宋"/>
          <w:b w:val="0"/>
          <w:bCs w:val="0"/>
          <w:color w:val="000000" w:themeColor="text1"/>
          <w:szCs w:val="32"/>
          <w:highlight w:val="none"/>
        </w:rPr>
        <w:t>万元，单个服务事项支持</w:t>
      </w:r>
      <w:r>
        <w:rPr>
          <w:rFonts w:hint="eastAsia" w:ascii="仿宋" w:hAnsi="仿宋" w:cs="仿宋"/>
          <w:color w:val="000000" w:themeColor="text1"/>
          <w:szCs w:val="32"/>
          <w:highlight w:val="none"/>
        </w:rPr>
        <w:t>额度不超过核定合同金额的50%。</w:t>
      </w:r>
      <w:r>
        <w:rPr>
          <w:rFonts w:hint="eastAsia" w:ascii="仿宋" w:hAnsi="仿宋" w:cs="仿宋"/>
          <w:color w:val="000000" w:themeColor="text1"/>
          <w:szCs w:val="32"/>
          <w:highlight w:val="none"/>
          <w:lang w:val="en-US" w:eastAsia="zh-CN"/>
        </w:rPr>
        <w:t>创新券额度有效期参照当年度申报指南。</w:t>
      </w:r>
    </w:p>
    <w:p w14:paraId="4FD4EB8C">
      <w:pPr>
        <w:adjustRightInd w:val="0"/>
        <w:spacing w:line="560" w:lineRule="exact"/>
        <w:ind w:firstLine="643" w:firstLineChars="200"/>
        <w:rPr>
          <w:rFonts w:ascii="仿宋_GB2312" w:eastAsia="仿宋_GB2312" w:cs="仿宋_GB2312"/>
          <w:color w:val="000000" w:themeColor="text1"/>
          <w:szCs w:val="32"/>
          <w:highlight w:val="none"/>
        </w:rPr>
      </w:pPr>
      <w:r>
        <w:rPr>
          <w:rFonts w:hint="eastAsia" w:ascii="仿宋" w:hAnsi="仿宋" w:cs="仿宋"/>
          <w:b/>
          <w:bCs/>
          <w:color w:val="000000" w:themeColor="text1"/>
          <w:szCs w:val="32"/>
          <w:highlight w:val="none"/>
        </w:rPr>
        <w:t xml:space="preserve">第十五条 </w:t>
      </w:r>
      <w:r>
        <w:rPr>
          <w:rFonts w:hint="eastAsia" w:ascii="仿宋" w:hAnsi="仿宋" w:cs="仿宋"/>
          <w:color w:val="000000" w:themeColor="text1"/>
          <w:szCs w:val="32"/>
          <w:highlight w:val="none"/>
        </w:rPr>
        <w:t>创新券的具体服务类别、企业额度发放标准、使用及兑付要求以创新券年度申报指南为准。</w:t>
      </w:r>
    </w:p>
    <w:p w14:paraId="374A71EA">
      <w:pPr>
        <w:keepNext w:val="0"/>
        <w:keepLines w:val="0"/>
        <w:pageBreakBefore w:val="0"/>
        <w:widowControl w:val="0"/>
        <w:kinsoku/>
        <w:wordWrap/>
        <w:overflowPunct/>
        <w:topLinePunct w:val="0"/>
        <w:autoSpaceDE w:val="0"/>
        <w:autoSpaceDN w:val="0"/>
        <w:bidi w:val="0"/>
        <w:adjustRightInd/>
        <w:snapToGrid w:val="0"/>
        <w:spacing w:after="157" w:afterLines="50" w:line="560" w:lineRule="exact"/>
        <w:ind w:firstLine="0"/>
        <w:jc w:val="center"/>
        <w:textAlignment w:val="auto"/>
        <w:outlineLvl w:val="0"/>
        <w:rPr>
          <w:rFonts w:ascii="黑体" w:eastAsia="黑体" w:cs="黑体"/>
          <w:color w:val="000000" w:themeColor="text1"/>
          <w:szCs w:val="32"/>
          <w:highlight w:val="none"/>
        </w:rPr>
      </w:pPr>
      <w:r>
        <w:rPr>
          <w:rFonts w:hint="eastAsia" w:ascii="黑体" w:eastAsia="黑体" w:cs="黑体"/>
          <w:color w:val="000000" w:themeColor="text1"/>
          <w:szCs w:val="32"/>
          <w:highlight w:val="none"/>
        </w:rPr>
        <w:t>第五章 申领、使用和兑付</w:t>
      </w:r>
    </w:p>
    <w:p w14:paraId="7546CD79">
      <w:pPr>
        <w:widowControl/>
        <w:spacing w:line="560" w:lineRule="exact"/>
        <w:ind w:firstLine="643" w:firstLineChars="200"/>
        <w:rPr>
          <w:rFonts w:ascii="仿宋" w:hAnsi="仿宋" w:cs="仿宋"/>
          <w:color w:val="000000" w:themeColor="text1"/>
          <w:szCs w:val="32"/>
          <w:highlight w:val="none"/>
        </w:rPr>
      </w:pPr>
      <w:r>
        <w:rPr>
          <w:rFonts w:hint="eastAsia" w:ascii="仿宋" w:hAnsi="仿宋" w:cs="仿宋"/>
          <w:b/>
          <w:bCs/>
          <w:color w:val="000000" w:themeColor="text1"/>
          <w:szCs w:val="32"/>
          <w:highlight w:val="none"/>
        </w:rPr>
        <w:t xml:space="preserve">第十六条 </w:t>
      </w:r>
      <w:r>
        <w:rPr>
          <w:rFonts w:hint="eastAsia" w:ascii="仿宋" w:hAnsi="仿宋" w:cs="仿宋"/>
          <w:color w:val="000000" w:themeColor="text1"/>
          <w:szCs w:val="32"/>
          <w:highlight w:val="none"/>
        </w:rPr>
        <w:t>创新券的申领</w:t>
      </w:r>
    </w:p>
    <w:p w14:paraId="084074BC">
      <w:pPr>
        <w:widowControl/>
        <w:spacing w:line="560" w:lineRule="exact"/>
        <w:ind w:firstLine="640" w:firstLineChars="200"/>
        <w:rPr>
          <w:rFonts w:ascii="仿宋" w:hAnsi="仿宋" w:cs="仿宋"/>
          <w:color w:val="000000" w:themeColor="text1"/>
          <w:szCs w:val="32"/>
          <w:highlight w:val="none"/>
        </w:rPr>
      </w:pPr>
      <w:r>
        <w:rPr>
          <w:rFonts w:hint="eastAsia" w:ascii="仿宋" w:hAnsi="仿宋" w:cs="仿宋"/>
          <w:color w:val="000000" w:themeColor="text1"/>
          <w:szCs w:val="32"/>
          <w:highlight w:val="none"/>
        </w:rPr>
        <w:t>企业在“贵商易”平台注册后，按照创新券年度申报指南的要求上传相关资料，经管理中心审核后获得当年度</w:t>
      </w:r>
      <w:bookmarkStart w:id="1" w:name="_GoBack"/>
      <w:bookmarkEnd w:id="1"/>
      <w:r>
        <w:rPr>
          <w:rFonts w:hint="eastAsia" w:ascii="仿宋" w:hAnsi="仿宋" w:cs="仿宋"/>
          <w:color w:val="000000" w:themeColor="text1"/>
          <w:szCs w:val="32"/>
          <w:highlight w:val="none"/>
        </w:rPr>
        <w:t>创新券额度。</w:t>
      </w:r>
    </w:p>
    <w:p w14:paraId="623EA6A9">
      <w:pPr>
        <w:adjustRightInd w:val="0"/>
        <w:spacing w:line="560" w:lineRule="exact"/>
        <w:ind w:firstLine="643" w:firstLineChars="200"/>
        <w:rPr>
          <w:rFonts w:ascii="仿宋" w:hAnsi="仿宋" w:cs="仿宋"/>
          <w:b/>
          <w:color w:val="000000" w:themeColor="text1"/>
          <w:szCs w:val="32"/>
          <w:highlight w:val="none"/>
        </w:rPr>
      </w:pPr>
      <w:r>
        <w:rPr>
          <w:rFonts w:hint="eastAsia" w:ascii="仿宋" w:hAnsi="仿宋" w:cs="仿宋"/>
          <w:b/>
          <w:bCs/>
          <w:color w:val="000000" w:themeColor="text1"/>
          <w:szCs w:val="32"/>
          <w:highlight w:val="none"/>
        </w:rPr>
        <w:t xml:space="preserve">第十七条 </w:t>
      </w:r>
      <w:r>
        <w:rPr>
          <w:rFonts w:hint="eastAsia" w:ascii="仿宋" w:hAnsi="仿宋" w:cs="仿宋"/>
          <w:color w:val="000000" w:themeColor="text1"/>
          <w:szCs w:val="32"/>
          <w:highlight w:val="none"/>
        </w:rPr>
        <w:t>创新券的使用和兑付</w:t>
      </w:r>
    </w:p>
    <w:p w14:paraId="5EB20075">
      <w:pPr>
        <w:adjustRightInd w:val="0"/>
        <w:spacing w:line="560" w:lineRule="exact"/>
        <w:ind w:firstLine="640" w:firstLineChars="200"/>
        <w:rPr>
          <w:rFonts w:hint="eastAsia" w:ascii="仿宋" w:hAnsi="仿宋" w:cs="仿宋"/>
          <w:b w:val="0"/>
          <w:bCs w:val="0"/>
          <w:color w:val="000000" w:themeColor="text1"/>
          <w:szCs w:val="32"/>
          <w:highlight w:val="none"/>
        </w:rPr>
      </w:pPr>
      <w:r>
        <w:rPr>
          <w:rFonts w:hint="eastAsia" w:ascii="仿宋" w:hAnsi="仿宋" w:cs="仿宋"/>
          <w:b w:val="0"/>
          <w:bCs w:val="0"/>
          <w:color w:val="000000" w:themeColor="text1"/>
          <w:highlight w:val="none"/>
        </w:rPr>
        <w:t>企业</w:t>
      </w:r>
      <w:r>
        <w:rPr>
          <w:rFonts w:hint="eastAsia" w:ascii="仿宋" w:hAnsi="仿宋" w:cs="仿宋"/>
          <w:b w:val="0"/>
          <w:bCs w:val="0"/>
          <w:color w:val="000000" w:themeColor="text1"/>
          <w:szCs w:val="32"/>
          <w:highlight w:val="none"/>
        </w:rPr>
        <w:t>通过“贵商易”平台选择购买服务机构提供的服务事项，并按照合同约定将创新券支付给服务机构。服务执行完成后，</w:t>
      </w:r>
      <w:r>
        <w:rPr>
          <w:rFonts w:hint="eastAsia" w:ascii="仿宋" w:hAnsi="仿宋" w:cs="仿宋"/>
          <w:b w:val="0"/>
          <w:bCs w:val="0"/>
          <w:color w:val="000000" w:themeColor="text1"/>
          <w:szCs w:val="32"/>
          <w:highlight w:val="none"/>
          <w:lang w:val="en-US" w:eastAsia="zh-CN"/>
        </w:rPr>
        <w:t>由</w:t>
      </w:r>
      <w:r>
        <w:rPr>
          <w:rFonts w:hint="eastAsia" w:ascii="仿宋" w:hAnsi="仿宋" w:cs="仿宋"/>
          <w:b w:val="0"/>
          <w:bCs w:val="0"/>
          <w:color w:val="000000" w:themeColor="text1"/>
          <w:szCs w:val="32"/>
          <w:highlight w:val="none"/>
        </w:rPr>
        <w:t>服务机构申请兑付。</w:t>
      </w:r>
    </w:p>
    <w:p w14:paraId="5362F8BE">
      <w:pPr>
        <w:adjustRightInd w:val="0"/>
        <w:spacing w:line="560" w:lineRule="exact"/>
        <w:ind w:firstLine="640" w:firstLineChars="200"/>
        <w:rPr>
          <w:rFonts w:ascii="仿宋" w:hAnsi="仿宋" w:cs="仿宋"/>
          <w:color w:val="000000" w:themeColor="text1"/>
          <w:kern w:val="0"/>
          <w:sz w:val="32"/>
          <w:highlight w:val="none"/>
        </w:rPr>
      </w:pPr>
      <w:r>
        <w:rPr>
          <w:rFonts w:hint="eastAsia" w:ascii="仿宋" w:hAnsi="仿宋" w:cs="仿宋"/>
          <w:b w:val="0"/>
          <w:bCs w:val="0"/>
          <w:color w:val="000000" w:themeColor="text1"/>
          <w:highlight w:val="none"/>
        </w:rPr>
        <w:t>企业向未入驻</w:t>
      </w:r>
      <w:r>
        <w:rPr>
          <w:rFonts w:hint="eastAsia" w:ascii="仿宋" w:hAnsi="仿宋" w:cs="仿宋"/>
          <w:b w:val="0"/>
          <w:bCs w:val="0"/>
          <w:color w:val="000000" w:themeColor="text1"/>
          <w:szCs w:val="32"/>
          <w:highlight w:val="none"/>
        </w:rPr>
        <w:t>“贵商易”</w:t>
      </w:r>
      <w:r>
        <w:rPr>
          <w:rFonts w:hint="eastAsia" w:ascii="仿宋" w:hAnsi="仿宋" w:cs="仿宋"/>
          <w:b w:val="0"/>
          <w:bCs w:val="0"/>
          <w:color w:val="000000" w:themeColor="text1"/>
          <w:highlight w:val="none"/>
        </w:rPr>
        <w:t>平台的省外高校、科研院所购买科技服务或企业自主开展科技创新活动的，完成后</w:t>
      </w:r>
      <w:r>
        <w:rPr>
          <w:rFonts w:hint="eastAsia" w:ascii="仿宋" w:hAnsi="仿宋" w:cs="仿宋"/>
          <w:b w:val="0"/>
          <w:bCs w:val="0"/>
          <w:color w:val="000000" w:themeColor="text1"/>
          <w:szCs w:val="32"/>
          <w:highlight w:val="none"/>
        </w:rPr>
        <w:t>由企业自行申请兑付。</w:t>
      </w:r>
    </w:p>
    <w:p w14:paraId="03F831B9">
      <w:pPr>
        <w:numPr>
          <w:ilvl w:val="0"/>
          <w:numId w:val="0"/>
        </w:numPr>
        <w:adjustRightInd w:val="0"/>
        <w:snapToGrid/>
        <w:spacing w:line="560" w:lineRule="exact"/>
        <w:ind w:firstLine="643" w:firstLineChars="200"/>
        <w:rPr>
          <w:rFonts w:ascii="仿宋" w:hAnsi="仿宋" w:cs="仿宋"/>
          <w:b/>
          <w:bCs/>
          <w:color w:val="000000" w:themeColor="text1"/>
          <w:szCs w:val="32"/>
          <w:highlight w:val="none"/>
        </w:rPr>
      </w:pPr>
      <w:r>
        <w:rPr>
          <w:rFonts w:hint="eastAsia" w:ascii="仿宋" w:hAnsi="仿宋" w:eastAsia="仿宋" w:cs="仿宋"/>
          <w:b/>
          <w:bCs/>
          <w:snapToGrid w:val="0"/>
          <w:color w:val="000000" w:themeColor="text1"/>
          <w:sz w:val="32"/>
          <w:szCs w:val="32"/>
          <w:highlight w:val="none"/>
          <w:lang w:val="en-US" w:eastAsia="zh-CN" w:bidi="ar-SA"/>
        </w:rPr>
        <w:t>第十八条</w:t>
      </w:r>
      <w:r>
        <w:rPr>
          <w:rFonts w:hint="eastAsia" w:ascii="仿宋" w:hAnsi="仿宋" w:cs="仿宋"/>
          <w:b/>
          <w:bCs/>
          <w:color w:val="000000" w:themeColor="text1"/>
          <w:szCs w:val="32"/>
          <w:highlight w:val="none"/>
        </w:rPr>
        <w:t xml:space="preserve"> </w:t>
      </w:r>
      <w:r>
        <w:rPr>
          <w:rFonts w:hint="eastAsia" w:ascii="仿宋" w:hAnsi="仿宋" w:cs="仿宋"/>
          <w:b w:val="0"/>
          <w:bCs w:val="0"/>
          <w:color w:val="000000" w:themeColor="text1"/>
          <w:szCs w:val="32"/>
          <w:highlight w:val="none"/>
        </w:rPr>
        <w:t>兑付审核和资金拨付</w:t>
      </w:r>
    </w:p>
    <w:p w14:paraId="73334724">
      <w:pPr>
        <w:adjustRightInd w:val="0"/>
        <w:snapToGrid/>
        <w:spacing w:line="560" w:lineRule="exact"/>
        <w:ind w:firstLine="640" w:firstLineChars="200"/>
        <w:rPr>
          <w:rFonts w:ascii="仿宋" w:hAnsi="仿宋" w:cs="仿宋"/>
          <w:color w:val="000000" w:themeColor="text1"/>
          <w:szCs w:val="32"/>
          <w:highlight w:val="none"/>
        </w:rPr>
      </w:pPr>
      <w:r>
        <w:rPr>
          <w:rFonts w:hint="eastAsia" w:ascii="仿宋" w:hAnsi="仿宋" w:cs="仿宋"/>
          <w:color w:val="000000" w:themeColor="text1"/>
          <w:szCs w:val="32"/>
          <w:highlight w:val="none"/>
        </w:rPr>
        <w:t>贵阳市创新券的兑付申请经管理中心审核通过，贵阳生产力促进中心组织复核后报市科技局进行公示，由市科技局会同市财政局拨付资金。</w:t>
      </w:r>
    </w:p>
    <w:p w14:paraId="37D734FD">
      <w:pPr>
        <w:adjustRightInd w:val="0"/>
        <w:spacing w:line="560" w:lineRule="exact"/>
        <w:ind w:firstLine="640" w:firstLineChars="200"/>
        <w:rPr>
          <w:rFonts w:ascii="仿宋_GB2312" w:eastAsia="仿宋_GB2312" w:cs="仿宋_GB2312"/>
          <w:color w:val="000000" w:themeColor="text1"/>
          <w:szCs w:val="32"/>
          <w:highlight w:val="none"/>
        </w:rPr>
      </w:pPr>
      <w:r>
        <w:rPr>
          <w:rFonts w:hint="eastAsia" w:ascii="仿宋" w:hAnsi="仿宋" w:cs="仿宋"/>
          <w:color w:val="000000" w:themeColor="text1"/>
          <w:szCs w:val="32"/>
          <w:highlight w:val="none"/>
        </w:rPr>
        <w:t>贵安新区创新券的兑付申请经管理中心审核通过，贵安新区大数据和科技创新局进行复核、公示后，会同贵安新区财政金融工作局拨付资金。</w:t>
      </w:r>
    </w:p>
    <w:p w14:paraId="3DD9E204">
      <w:pPr>
        <w:keepNext w:val="0"/>
        <w:keepLines w:val="0"/>
        <w:pageBreakBefore w:val="0"/>
        <w:widowControl w:val="0"/>
        <w:kinsoku/>
        <w:wordWrap/>
        <w:overflowPunct/>
        <w:topLinePunct w:val="0"/>
        <w:autoSpaceDE w:val="0"/>
        <w:autoSpaceDN w:val="0"/>
        <w:bidi w:val="0"/>
        <w:adjustRightInd/>
        <w:snapToGrid w:val="0"/>
        <w:spacing w:after="157" w:afterLines="50" w:line="560" w:lineRule="exact"/>
        <w:ind w:firstLine="0"/>
        <w:jc w:val="center"/>
        <w:textAlignment w:val="auto"/>
        <w:outlineLvl w:val="0"/>
        <w:rPr>
          <w:rFonts w:ascii="黑体" w:eastAsia="黑体" w:cs="黑体"/>
          <w:color w:val="000000" w:themeColor="text1"/>
          <w:szCs w:val="32"/>
          <w:highlight w:val="none"/>
        </w:rPr>
      </w:pPr>
      <w:r>
        <w:rPr>
          <w:rFonts w:hint="eastAsia" w:ascii="黑体" w:eastAsia="黑体" w:cs="黑体"/>
          <w:color w:val="000000" w:themeColor="text1"/>
          <w:szCs w:val="32"/>
          <w:highlight w:val="none"/>
        </w:rPr>
        <w:t>第六章 监督检查</w:t>
      </w:r>
    </w:p>
    <w:p w14:paraId="34A59C5C">
      <w:pPr>
        <w:suppressAutoHyphens/>
        <w:autoSpaceDE/>
        <w:autoSpaceDN/>
        <w:snapToGrid/>
        <w:spacing w:line="560" w:lineRule="exact"/>
        <w:ind w:firstLine="643" w:firstLineChars="200"/>
        <w:jc w:val="left"/>
        <w:rPr>
          <w:rFonts w:ascii="仿宋" w:hAnsi="仿宋" w:cs="仿宋"/>
          <w:color w:val="000000" w:themeColor="text1"/>
          <w:szCs w:val="32"/>
          <w:highlight w:val="none"/>
        </w:rPr>
      </w:pPr>
      <w:r>
        <w:rPr>
          <w:rFonts w:hint="eastAsia" w:ascii="仿宋" w:hAnsi="仿宋" w:cs="仿宋"/>
          <w:b/>
          <w:bCs/>
          <w:color w:val="000000" w:themeColor="text1"/>
          <w:szCs w:val="32"/>
          <w:highlight w:val="none"/>
        </w:rPr>
        <w:t>第十九条</w:t>
      </w:r>
      <w:r>
        <w:rPr>
          <w:rFonts w:hint="eastAsia" w:ascii="仿宋" w:hAnsi="仿宋" w:cs="仿宋"/>
          <w:color w:val="000000" w:themeColor="text1"/>
          <w:szCs w:val="32"/>
          <w:highlight w:val="none"/>
        </w:rPr>
        <w:t xml:space="preserve"> </w:t>
      </w:r>
      <w:r>
        <w:rPr>
          <w:rFonts w:hint="eastAsia" w:ascii="仿宋" w:hAnsi="仿宋" w:cs="仿宋"/>
          <w:color w:val="000000" w:themeColor="text1"/>
          <w:szCs w:val="32"/>
          <w:highlight w:val="none"/>
          <w:shd w:val="clear" w:color="auto" w:fill="FFFFFF"/>
        </w:rPr>
        <w:t>企业和服务机构应积极配合市科技局、</w:t>
      </w:r>
      <w:r>
        <w:rPr>
          <w:rFonts w:hint="eastAsia" w:ascii="仿宋" w:hAnsi="仿宋" w:cs="仿宋"/>
          <w:color w:val="000000" w:themeColor="text1"/>
          <w:szCs w:val="32"/>
          <w:highlight w:val="none"/>
        </w:rPr>
        <w:t>贵安新区大数据和科技创新局</w:t>
      </w:r>
      <w:r>
        <w:rPr>
          <w:rFonts w:hint="eastAsia" w:ascii="仿宋" w:hAnsi="仿宋" w:cs="仿宋"/>
          <w:color w:val="000000" w:themeColor="text1"/>
          <w:szCs w:val="32"/>
          <w:highlight w:val="none"/>
          <w:shd w:val="clear" w:color="auto" w:fill="FFFFFF"/>
        </w:rPr>
        <w:t>及其委托的专业机构的监督检查，并接受相关部门的审计、监察等。对于拒不配合监督检查，或在创新券申领、使用和兑付中有弄虚作假、骗取套取、挪用财政资金等行为的，贵阳市科技局、贵安新区大数据和科技创新局将不予兑付创新券资金，对已兑付的创新券资金进行追</w:t>
      </w:r>
      <w:r>
        <w:rPr>
          <w:rFonts w:hint="eastAsia" w:ascii="仿宋" w:hAnsi="仿宋" w:cs="仿宋"/>
          <w:b w:val="0"/>
          <w:bCs w:val="0"/>
          <w:color w:val="000000" w:themeColor="text1"/>
          <w:szCs w:val="32"/>
          <w:highlight w:val="none"/>
          <w:shd w:val="clear" w:color="auto" w:fill="FFFFFF"/>
        </w:rPr>
        <w:t>回，按照科研诚信管理规定对相关单位进行处理，如涉嫌违法犯罪</w:t>
      </w:r>
      <w:r>
        <w:rPr>
          <w:rFonts w:hint="eastAsia" w:ascii="仿宋" w:hAnsi="仿宋" w:cs="仿宋"/>
          <w:color w:val="000000" w:themeColor="text1"/>
          <w:szCs w:val="32"/>
          <w:highlight w:val="none"/>
          <w:shd w:val="clear" w:color="auto" w:fill="FFFFFF"/>
        </w:rPr>
        <w:t>的，</w:t>
      </w:r>
      <w:r>
        <w:rPr>
          <w:rFonts w:hint="eastAsia" w:ascii="仿宋" w:hAnsi="仿宋" w:cs="仿宋"/>
          <w:color w:val="000000" w:themeColor="text1"/>
          <w:szCs w:val="32"/>
          <w:highlight w:val="none"/>
        </w:rPr>
        <w:t>依法移送司法机关处理。</w:t>
      </w:r>
    </w:p>
    <w:p w14:paraId="1CC7DF62">
      <w:pPr>
        <w:keepNext w:val="0"/>
        <w:keepLines w:val="0"/>
        <w:pageBreakBefore w:val="0"/>
        <w:widowControl w:val="0"/>
        <w:kinsoku/>
        <w:wordWrap/>
        <w:overflowPunct/>
        <w:topLinePunct w:val="0"/>
        <w:autoSpaceDE w:val="0"/>
        <w:autoSpaceDN w:val="0"/>
        <w:bidi w:val="0"/>
        <w:adjustRightInd/>
        <w:snapToGrid w:val="0"/>
        <w:spacing w:after="157" w:afterLines="50" w:line="560" w:lineRule="exact"/>
        <w:ind w:firstLine="0"/>
        <w:jc w:val="center"/>
        <w:textAlignment w:val="auto"/>
        <w:outlineLvl w:val="0"/>
        <w:rPr>
          <w:rFonts w:hint="eastAsia" w:ascii="黑体" w:eastAsia="黑体" w:cs="黑体"/>
          <w:color w:val="000000" w:themeColor="text1"/>
          <w:szCs w:val="32"/>
          <w:highlight w:val="none"/>
        </w:rPr>
      </w:pPr>
      <w:r>
        <w:rPr>
          <w:rFonts w:hint="eastAsia" w:ascii="黑体" w:eastAsia="黑体" w:cs="黑体"/>
          <w:color w:val="000000" w:themeColor="text1"/>
          <w:szCs w:val="32"/>
          <w:highlight w:val="none"/>
        </w:rPr>
        <w:t>第七章 附则</w:t>
      </w:r>
    </w:p>
    <w:p w14:paraId="02828080">
      <w:pPr>
        <w:keepNext w:val="0"/>
        <w:keepLines w:val="0"/>
        <w:pageBreakBefore w:val="0"/>
        <w:widowControl w:val="0"/>
        <w:kinsoku/>
        <w:wordWrap/>
        <w:overflowPunct/>
        <w:topLinePunct w:val="0"/>
        <w:autoSpaceDE w:val="0"/>
        <w:autoSpaceDN w:val="0"/>
        <w:bidi w:val="0"/>
        <w:adjustRightInd/>
        <w:snapToGrid w:val="0"/>
        <w:spacing w:line="560" w:lineRule="exact"/>
        <w:ind w:firstLine="643" w:firstLineChars="200"/>
        <w:jc w:val="both"/>
        <w:textAlignment w:val="auto"/>
        <w:outlineLvl w:val="0"/>
        <w:rPr>
          <w:rFonts w:hint="default" w:ascii="仿宋" w:hAnsi="仿宋" w:cs="仿宋"/>
          <w:color w:val="000000" w:themeColor="text1"/>
          <w:szCs w:val="32"/>
          <w:highlight w:val="none"/>
          <w:lang w:val="en-US" w:eastAsia="zh-CN"/>
        </w:rPr>
      </w:pPr>
      <w:r>
        <w:rPr>
          <w:rFonts w:hint="eastAsia" w:ascii="仿宋" w:hAnsi="仿宋" w:cs="仿宋"/>
          <w:b/>
          <w:bCs/>
          <w:color w:val="000000" w:themeColor="text1"/>
          <w:szCs w:val="32"/>
          <w:highlight w:val="none"/>
        </w:rPr>
        <w:t xml:space="preserve">第二十条 </w:t>
      </w:r>
      <w:r>
        <w:rPr>
          <w:rFonts w:hint="eastAsia" w:ascii="仿宋" w:hAnsi="仿宋" w:cs="仿宋"/>
          <w:color w:val="000000" w:themeColor="text1"/>
          <w:szCs w:val="32"/>
          <w:highlight w:val="none"/>
          <w:lang w:val="en-US" w:eastAsia="zh-CN"/>
        </w:rPr>
        <w:t>本办法</w:t>
      </w:r>
      <w:r>
        <w:rPr>
          <w:rFonts w:hint="eastAsia" w:ascii="仿宋" w:hAnsi="仿宋" w:cs="仿宋"/>
          <w:color w:val="000000" w:themeColor="text1"/>
          <w:szCs w:val="32"/>
          <w:highlight w:val="none"/>
        </w:rPr>
        <w:t>由市科技局、贵安新区大数据和科技创新局负责解释。各区</w:t>
      </w:r>
      <w:r>
        <w:rPr>
          <w:rFonts w:hint="eastAsia" w:ascii="仿宋" w:hAnsi="仿宋" w:cs="仿宋"/>
          <w:color w:val="000000" w:themeColor="text1"/>
          <w:szCs w:val="32"/>
          <w:highlight w:val="none"/>
          <w:lang w:eastAsia="zh-CN"/>
        </w:rPr>
        <w:t>（市、县）、各开发区</w:t>
      </w:r>
      <w:r>
        <w:rPr>
          <w:rFonts w:hint="eastAsia" w:ascii="仿宋" w:hAnsi="仿宋" w:cs="仿宋"/>
          <w:color w:val="000000" w:themeColor="text1"/>
          <w:szCs w:val="32"/>
          <w:highlight w:val="none"/>
          <w:lang w:val="en-US" w:eastAsia="zh-CN"/>
        </w:rPr>
        <w:t>可结合实际参照本办法开展创新券工作。</w:t>
      </w:r>
    </w:p>
    <w:p w14:paraId="3E44E257">
      <w:pPr>
        <w:widowControl/>
        <w:spacing w:line="560" w:lineRule="exact"/>
        <w:jc w:val="left"/>
        <w:rPr>
          <w:rFonts w:ascii="仿宋" w:hAnsi="仿宋" w:cs="仿宋"/>
          <w:b/>
          <w:bCs/>
          <w:color w:val="000000" w:themeColor="text1"/>
          <w:szCs w:val="32"/>
          <w:highlight w:val="none"/>
        </w:rPr>
      </w:pPr>
      <w:r>
        <w:rPr>
          <w:rFonts w:hint="eastAsia" w:ascii="仿宋" w:hAnsi="仿宋" w:cs="仿宋"/>
          <w:b/>
          <w:bCs/>
          <w:color w:val="000000" w:themeColor="text1"/>
          <w:szCs w:val="32"/>
          <w:highlight w:val="none"/>
        </w:rPr>
        <w:t>第二十</w:t>
      </w:r>
      <w:r>
        <w:rPr>
          <w:rFonts w:hint="eastAsia" w:ascii="仿宋" w:hAnsi="仿宋" w:cs="仿宋"/>
          <w:b/>
          <w:bCs/>
          <w:color w:val="000000" w:themeColor="text1"/>
          <w:szCs w:val="32"/>
          <w:highlight w:val="none"/>
          <w:lang w:val="en-US" w:eastAsia="zh-CN"/>
        </w:rPr>
        <w:t>一</w:t>
      </w:r>
      <w:r>
        <w:rPr>
          <w:rFonts w:hint="eastAsia" w:ascii="仿宋" w:hAnsi="仿宋" w:cs="仿宋"/>
          <w:b/>
          <w:bCs/>
          <w:color w:val="000000" w:themeColor="text1"/>
          <w:szCs w:val="32"/>
          <w:highlight w:val="none"/>
        </w:rPr>
        <w:t xml:space="preserve">条 </w:t>
      </w:r>
      <w:r>
        <w:rPr>
          <w:rFonts w:hint="eastAsia" w:ascii="仿宋" w:hAnsi="仿宋" w:cs="仿宋"/>
          <w:color w:val="000000" w:themeColor="text1"/>
          <w:szCs w:val="32"/>
          <w:highlight w:val="none"/>
        </w:rPr>
        <w:t>本办法自印发之日起实施,原《贵阳贵安科技创新券管理办法（试行）》（筑科通〔2023〕22号）同时废止。</w:t>
      </w:r>
    </w:p>
    <w:p w14:paraId="58EB44B8">
      <w:pPr>
        <w:rPr>
          <w:color w:val="000000" w:themeColor="text1"/>
          <w:highlight w:val="none"/>
        </w:rPr>
      </w:pPr>
    </w:p>
    <w:p w14:paraId="3156651F"/>
    <w:sectPr>
      <w:footerReference r:id="rId5" w:type="default"/>
      <w:pgSz w:w="11906" w:h="16838"/>
      <w:pgMar w:top="2098" w:right="1474" w:bottom="1984" w:left="1587" w:header="720" w:footer="720" w:gutter="0"/>
      <w:pgNumType w:chapStyle="1"/>
      <w:cols w:space="720" w:num="1"/>
      <w:rtlGutter w:val="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FA8B5">
    <w:pPr>
      <w:pStyle w:val="5"/>
    </w:pPr>
    <w:r>
      <w:pict>
        <v:rect id="文本框 1" o:spid="_x0000_s1026" o:spt="1" style="position:absolute;left:0pt;margin-top:0pt;height:29.5pt;width:35.7pt;mso-position-horizontal:center;mso-position-horizontal-relative:margin;mso-wrap-style:none;z-index:251659264;mso-width-relative:page;mso-height-relative:page;" filled="f" stroked="f" coordsize="21600,21600" o:gfxdata="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FgAAAGRycy9QSwECFAAUAAAACACHTuJA2Qt67tcAAAADAQAADwAAAAAAAAABACAAAAA4AAAAZHJz&#10;L2Rvd25yZXYueG1sUEsBAhQAFAAAAAgAh07iQPQpYlzvAQAAtAMAAA4AAAAAAAAAAQAgAAAAPAEA&#10;AGRycy9lMm9Eb2MueG1sUEsFBgAAAAAGAAYAWQEAAJ0FAAAAAA==&#10;">
          <v:path/>
          <v:fill on="f" focussize="0,0"/>
          <v:stroke on="f" weight="0.5pt" joinstyle="round"/>
          <v:imagedata o:title=""/>
          <o:lock v:ext="edit"/>
          <v:textbox inset="0mm,0mm,0mm,0mm" style="mso-fit-shape-to-text:t;">
            <w:txbxContent>
              <w:p w14:paraId="179FC718">
                <w:pPr>
                  <w:pStyle w:val="5"/>
                </w:pPr>
                <w:r>
                  <w:fldChar w:fldCharType="begin"/>
                </w:r>
                <w:r>
                  <w:instrText xml:space="preserve"> PAGE  \* MERGEFORMAT </w:instrText>
                </w:r>
                <w:r>
                  <w:fldChar w:fldCharType="separate"/>
                </w:r>
                <w:r>
                  <w:t>4</w:t>
                </w:r>
                <w:r>
                  <w:fldChar w:fldCharType="end"/>
                </w:r>
              </w:p>
            </w:txbxContent>
          </v:textbox>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NotDisplayPageBoundaries w:val="1"/>
  <w:bordersDoNotSurroundHeader w:val="0"/>
  <w:bordersDoNotSurroundFooter w:val="0"/>
  <w:documentProtection w:edit="readOnly" w:enforcement="0"/>
  <w:defaultTabStop w:val="420"/>
  <w:drawingGridHorizontalSpacing w:val="1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jBlNmY1ZWJjMjZmYTM4ZjYzZWNiMzJkNmNmNmZkZDIifQ=="/>
  </w:docVars>
  <w:rsids>
    <w:rsidRoot w:val="002A2AF5"/>
    <w:rsid w:val="00023833"/>
    <w:rsid w:val="0004200A"/>
    <w:rsid w:val="000C2F3E"/>
    <w:rsid w:val="00106A9C"/>
    <w:rsid w:val="002A2AF5"/>
    <w:rsid w:val="002C53A0"/>
    <w:rsid w:val="003A74AE"/>
    <w:rsid w:val="004757AA"/>
    <w:rsid w:val="005017DD"/>
    <w:rsid w:val="00524FB3"/>
    <w:rsid w:val="005524CB"/>
    <w:rsid w:val="00707CCE"/>
    <w:rsid w:val="00776FC5"/>
    <w:rsid w:val="007845B0"/>
    <w:rsid w:val="007D2EC9"/>
    <w:rsid w:val="008F4742"/>
    <w:rsid w:val="00A51509"/>
    <w:rsid w:val="00DD3F10"/>
    <w:rsid w:val="00F01EC2"/>
    <w:rsid w:val="00F01FBE"/>
    <w:rsid w:val="00F206D7"/>
    <w:rsid w:val="00F53BAE"/>
    <w:rsid w:val="00FF71E9"/>
    <w:rsid w:val="016B5EAE"/>
    <w:rsid w:val="024535A0"/>
    <w:rsid w:val="027F3FB6"/>
    <w:rsid w:val="030A6CC4"/>
    <w:rsid w:val="065344DE"/>
    <w:rsid w:val="08BA4734"/>
    <w:rsid w:val="08D02EA9"/>
    <w:rsid w:val="09AF2373"/>
    <w:rsid w:val="0A23516A"/>
    <w:rsid w:val="0A634F0B"/>
    <w:rsid w:val="0AF92FA5"/>
    <w:rsid w:val="0BD15BF5"/>
    <w:rsid w:val="0C5A024E"/>
    <w:rsid w:val="0C931F79"/>
    <w:rsid w:val="0C9F71C3"/>
    <w:rsid w:val="0D411534"/>
    <w:rsid w:val="0D4349FA"/>
    <w:rsid w:val="0D525255"/>
    <w:rsid w:val="0DCE0773"/>
    <w:rsid w:val="0E0D58BA"/>
    <w:rsid w:val="0E334F91"/>
    <w:rsid w:val="0E7C47EE"/>
    <w:rsid w:val="10637A13"/>
    <w:rsid w:val="10F25DBD"/>
    <w:rsid w:val="115C6F90"/>
    <w:rsid w:val="115E3FEE"/>
    <w:rsid w:val="12AB724A"/>
    <w:rsid w:val="130B4AB3"/>
    <w:rsid w:val="13F910DB"/>
    <w:rsid w:val="144C0DCC"/>
    <w:rsid w:val="169E6CF7"/>
    <w:rsid w:val="176A5B2B"/>
    <w:rsid w:val="19985C56"/>
    <w:rsid w:val="19EA3B60"/>
    <w:rsid w:val="1A2C4872"/>
    <w:rsid w:val="1A46462D"/>
    <w:rsid w:val="1B267FBB"/>
    <w:rsid w:val="1BEA723A"/>
    <w:rsid w:val="1C486B7E"/>
    <w:rsid w:val="1EFC175F"/>
    <w:rsid w:val="1F1A7E37"/>
    <w:rsid w:val="206C46C2"/>
    <w:rsid w:val="23A03A59"/>
    <w:rsid w:val="23C062FD"/>
    <w:rsid w:val="25C96113"/>
    <w:rsid w:val="261F5A9D"/>
    <w:rsid w:val="271D31EC"/>
    <w:rsid w:val="28D92B11"/>
    <w:rsid w:val="292C0E92"/>
    <w:rsid w:val="29C235A5"/>
    <w:rsid w:val="2A465F84"/>
    <w:rsid w:val="2AF20F66"/>
    <w:rsid w:val="2B612949"/>
    <w:rsid w:val="2CD0277F"/>
    <w:rsid w:val="2D214A86"/>
    <w:rsid w:val="2E2A6F78"/>
    <w:rsid w:val="2F3E191F"/>
    <w:rsid w:val="2FA21214"/>
    <w:rsid w:val="303351E4"/>
    <w:rsid w:val="30800FAB"/>
    <w:rsid w:val="30E011E0"/>
    <w:rsid w:val="310339B0"/>
    <w:rsid w:val="316E6BC8"/>
    <w:rsid w:val="32981347"/>
    <w:rsid w:val="3424714F"/>
    <w:rsid w:val="35DB5EC1"/>
    <w:rsid w:val="369E0EF6"/>
    <w:rsid w:val="38555885"/>
    <w:rsid w:val="38CC0F24"/>
    <w:rsid w:val="3954027B"/>
    <w:rsid w:val="3BAD58BC"/>
    <w:rsid w:val="3BE06C7E"/>
    <w:rsid w:val="3EAE1704"/>
    <w:rsid w:val="3F8F3AD1"/>
    <w:rsid w:val="42A6360C"/>
    <w:rsid w:val="430502EE"/>
    <w:rsid w:val="441A7E0D"/>
    <w:rsid w:val="448D126F"/>
    <w:rsid w:val="44A10863"/>
    <w:rsid w:val="48D16F09"/>
    <w:rsid w:val="4B4820C4"/>
    <w:rsid w:val="4C2553D0"/>
    <w:rsid w:val="4C7B5BCD"/>
    <w:rsid w:val="4CB2258C"/>
    <w:rsid w:val="4D1675E0"/>
    <w:rsid w:val="4D1A70D0"/>
    <w:rsid w:val="4FAB400F"/>
    <w:rsid w:val="4FAC0789"/>
    <w:rsid w:val="50B213CE"/>
    <w:rsid w:val="51AB6549"/>
    <w:rsid w:val="5297267C"/>
    <w:rsid w:val="544F3B03"/>
    <w:rsid w:val="5560589C"/>
    <w:rsid w:val="571C0C00"/>
    <w:rsid w:val="580143DA"/>
    <w:rsid w:val="5898359F"/>
    <w:rsid w:val="59BD6D86"/>
    <w:rsid w:val="5C514191"/>
    <w:rsid w:val="5D572D1A"/>
    <w:rsid w:val="5FB92779"/>
    <w:rsid w:val="614442C4"/>
    <w:rsid w:val="62634707"/>
    <w:rsid w:val="63EB6AE7"/>
    <w:rsid w:val="641F6922"/>
    <w:rsid w:val="66100C18"/>
    <w:rsid w:val="66A202A8"/>
    <w:rsid w:val="66DD3A4E"/>
    <w:rsid w:val="670F2B35"/>
    <w:rsid w:val="681668E3"/>
    <w:rsid w:val="6A503CD9"/>
    <w:rsid w:val="6AD763AE"/>
    <w:rsid w:val="6B9E4475"/>
    <w:rsid w:val="6D4C2AF3"/>
    <w:rsid w:val="70C0429A"/>
    <w:rsid w:val="71A60683"/>
    <w:rsid w:val="73D239B1"/>
    <w:rsid w:val="73F90F3E"/>
    <w:rsid w:val="744C3764"/>
    <w:rsid w:val="74BC2756"/>
    <w:rsid w:val="765D7110"/>
    <w:rsid w:val="78125800"/>
    <w:rsid w:val="782A46E5"/>
    <w:rsid w:val="792D1C39"/>
    <w:rsid w:val="798D520B"/>
    <w:rsid w:val="79C36276"/>
    <w:rsid w:val="7AD93877"/>
    <w:rsid w:val="7BCF7FB0"/>
    <w:rsid w:val="7D991757"/>
    <w:rsid w:val="7DEF7D1E"/>
    <w:rsid w:val="7E9F15F0"/>
    <w:rsid w:val="7EF649F8"/>
    <w:rsid w:val="7F2131E3"/>
    <w:rsid w:val="7FA02BB5"/>
    <w:rsid w:val="9F1E8700"/>
    <w:rsid w:val="B7DC1406"/>
    <w:rsid w:val="CA6E9C83"/>
    <w:rsid w:val="D1F73ED0"/>
    <w:rsid w:val="DDFA970E"/>
    <w:rsid w:val="DE2B24BD"/>
    <w:rsid w:val="DFA5FD70"/>
    <w:rsid w:val="E6E1EC3C"/>
    <w:rsid w:val="EEF190D1"/>
    <w:rsid w:val="EFEF0DD5"/>
    <w:rsid w:val="EFFF7528"/>
    <w:rsid w:val="F3FEDCF7"/>
    <w:rsid w:val="F6355ACD"/>
    <w:rsid w:val="F7BF7ACF"/>
    <w:rsid w:val="F7FFEFB3"/>
    <w:rsid w:val="FF3D3502"/>
    <w:rsid w:val="FF7C7DFA"/>
    <w:rsid w:val="FFB78852"/>
    <w:rsid w:val="FFD70E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snapToGrid w:val="0"/>
      <w:spacing w:line="590" w:lineRule="atLeast"/>
      <w:ind w:firstLine="624"/>
      <w:jc w:val="both"/>
    </w:pPr>
    <w:rPr>
      <w:rFonts w:ascii="Times New Roman" w:hAnsi="Times New Roman" w:eastAsia="仿宋" w:cs="Times New Roman"/>
      <w:snapToGrid w:val="0"/>
      <w:sz w:val="3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rPr>
  </w:style>
  <w:style w:type="paragraph" w:styleId="3">
    <w:name w:val="heading 2"/>
    <w:basedOn w:val="1"/>
    <w:next w:val="1"/>
    <w:qFormat/>
    <w:uiPriority w:val="0"/>
    <w:pPr>
      <w:keepNext/>
      <w:keepLines/>
      <w:spacing w:before="260" w:after="260" w:line="415" w:lineRule="auto"/>
      <w:outlineLvl w:val="1"/>
    </w:pPr>
    <w:rPr>
      <w:rFonts w:eastAsia="黑体"/>
      <w:b/>
    </w:rPr>
  </w:style>
  <w:style w:type="paragraph" w:styleId="4">
    <w:name w:val="heading 3"/>
    <w:basedOn w:val="1"/>
    <w:next w:val="1"/>
    <w:qFormat/>
    <w:uiPriority w:val="0"/>
    <w:pPr>
      <w:keepNext/>
      <w:keepLines/>
      <w:spacing w:before="260" w:after="260" w:line="415" w:lineRule="auto"/>
      <w:outlineLvl w:val="2"/>
    </w:pPr>
    <w:rPr>
      <w:b/>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jc w:val="left"/>
    </w:pPr>
    <w:rPr>
      <w:sz w:val="18"/>
    </w:rPr>
  </w:style>
  <w:style w:type="paragraph" w:styleId="6">
    <w:name w:val="header"/>
    <w:basedOn w:val="1"/>
    <w:qFormat/>
    <w:uiPriority w:val="0"/>
    <w:pPr>
      <w:tabs>
        <w:tab w:val="center" w:pos="4153"/>
        <w:tab w:val="right" w:pos="8306"/>
      </w:tabs>
      <w:spacing w:line="240" w:lineRule="auto"/>
    </w:pPr>
    <w:rPr>
      <w:sz w:val="18"/>
    </w:rPr>
  </w:style>
  <w:style w:type="paragraph" w:styleId="7">
    <w:name w:val="Normal (Web)"/>
    <w:basedOn w:val="1"/>
    <w:qFormat/>
    <w:uiPriority w:val="0"/>
    <w:pPr>
      <w:spacing w:beforeAutospacing="1" w:afterAutospacing="1"/>
      <w:jc w:val="left"/>
    </w:pPr>
    <w:rPr>
      <w:sz w:val="24"/>
    </w:rPr>
  </w:style>
  <w:style w:type="character" w:styleId="10">
    <w:name w:val="Strong"/>
    <w:basedOn w:val="9"/>
    <w:qFormat/>
    <w:uiPriority w:val="0"/>
    <w:rPr>
      <w:b/>
    </w:rPr>
  </w:style>
  <w:style w:type="character" w:styleId="11">
    <w:name w:val="Emphasis"/>
    <w:basedOn w:val="9"/>
    <w:qFormat/>
    <w:uiPriority w:val="0"/>
    <w:rPr>
      <w:i/>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2161</Words>
  <Characters>2169</Characters>
  <Lines>16</Lines>
  <Paragraphs>4</Paragraphs>
  <TotalTime>3</TotalTime>
  <ScaleCrop>false</ScaleCrop>
  <LinksUpToDate>false</LinksUpToDate>
  <CharactersWithSpaces>2197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2024-09-12T23:30:00Z</dcterms:created>
  <dc:creator>小丑</dc:creator>
  <cp:lastModifiedBy>小丑</cp:lastModifiedBy>
  <cp:lastPrinted>2025-02-19T08:15:00Z</cp:lastPrinted>
  <dcterms:modified xsi:type="dcterms:W3CDTF">2025-03-28T08:39:03Z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BFF6FA69F4E94855B29B568AE0919DF9_13</vt:lpwstr>
  </property>
  <property fmtid="{D5CDD505-2E9C-101B-9397-08002B2CF9AE}" pid="4" name="KSOTemplateDocerSaveRecord">
    <vt:lpwstr>eyJoZGlkIjoiYTc2ZGZiNzZiNDVlOGViOWVmM2JhOTY0NGJkNjUyYzgiLCJ1c2VySWQiOiI0Mjc5OTI4NzIifQ==</vt:lpwstr>
  </property>
</Properties>
</file>