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F27A7">
      <w:pPr>
        <w:widowControl w:val="0"/>
        <w:kinsoku/>
        <w:autoSpaceDE/>
        <w:autoSpaceDN/>
        <w:spacing w:line="568" w:lineRule="exact"/>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附件1</w:t>
      </w:r>
    </w:p>
    <w:p w14:paraId="39BD545D">
      <w:pPr>
        <w:pStyle w:val="7"/>
        <w:widowControl w:val="0"/>
        <w:kinsoku/>
        <w:autoSpaceDE/>
        <w:autoSpaceDN/>
        <w:spacing w:line="568" w:lineRule="exact"/>
        <w:ind w:left="0"/>
        <w:rPr>
          <w:rFonts w:hint="eastAsia"/>
          <w:spacing w:val="2"/>
          <w:lang w:val="en-US" w:eastAsia="zh-CN"/>
        </w:rPr>
      </w:pPr>
    </w:p>
    <w:p w14:paraId="7C31EE88">
      <w:pPr>
        <w:widowControl w:val="0"/>
        <w:kinsoku/>
        <w:autoSpaceDE/>
        <w:autoSpaceDN/>
        <w:spacing w:line="568" w:lineRule="exact"/>
        <w:ind w:left="0" w:leftChars="0" w:firstLine="0" w:firstLineChars="0"/>
        <w:jc w:val="center"/>
        <w:rPr>
          <w:rFonts w:hint="eastAsia" w:ascii="方正小标宋简体" w:hAnsi="方正小标宋简体" w:eastAsia="方正小标宋简体" w:cs="方正小标宋简体"/>
          <w:spacing w:val="5"/>
          <w:sz w:val="44"/>
          <w:szCs w:val="44"/>
          <w:lang w:val="en-US" w:eastAsia="zh-CN"/>
        </w:rPr>
      </w:pPr>
      <w:r>
        <w:rPr>
          <w:rFonts w:hint="eastAsia" w:ascii="方正小标宋简体" w:hAnsi="方正小标宋简体" w:eastAsia="方正小标宋简体" w:cs="方正小标宋简体"/>
          <w:spacing w:val="5"/>
          <w:sz w:val="44"/>
          <w:szCs w:val="44"/>
        </w:rPr>
        <w:t>广东省农产品质量安全提升（示范）项目农产品质量安全金融风险分担机制运作方式介绍</w:t>
      </w:r>
    </w:p>
    <w:p w14:paraId="7C90668C">
      <w:pPr>
        <w:widowControl w:val="0"/>
        <w:kinsoku/>
        <w:autoSpaceDE/>
        <w:autoSpaceDN/>
        <w:spacing w:line="568" w:lineRule="exact"/>
        <w:ind w:left="0" w:leftChars="0" w:firstLine="0" w:firstLineChars="0"/>
        <w:jc w:val="center"/>
        <w:rPr>
          <w:rFonts w:hint="eastAsia" w:ascii="方正小标宋简体" w:hAnsi="方正小标宋简体" w:eastAsia="方正小标宋简体" w:cs="方正小标宋简体"/>
          <w:spacing w:val="5"/>
          <w:sz w:val="44"/>
          <w:szCs w:val="44"/>
          <w:lang w:val="en-US" w:eastAsia="zh-CN"/>
        </w:rPr>
      </w:pPr>
    </w:p>
    <w:p w14:paraId="253DC387">
      <w:pPr>
        <w:pStyle w:val="6"/>
        <w:keepNext w:val="0"/>
        <w:keepLines w:val="0"/>
        <w:pageBreakBefore w:val="0"/>
        <w:widowControl w:val="0"/>
        <w:kinsoku/>
        <w:wordWrap/>
        <w:overflowPunct/>
        <w:topLinePunct w:val="0"/>
        <w:autoSpaceDE/>
        <w:autoSpaceDN/>
        <w:bidi w:val="0"/>
        <w:adjustRightInd w:val="0"/>
        <w:snapToGrid w:val="0"/>
        <w:spacing w:line="568"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z w:val="32"/>
          <w:szCs w:val="32"/>
          <w:lang w:val="en-US" w:eastAsia="zh-CN"/>
        </w:rPr>
        <w:t>利用世界银行贷款建立农产品质量安全金融风险分担机制，设立金融风险补偿资金池（以下简称“资金池”），旨在定向提高项目区蔬菜、荔枝、生猪和水产品等农产品价值链质量安全控制水平，解决新型农业经营主体、农村集体经济组织、行业组织和农户融资难、融资贵的问题。</w:t>
      </w:r>
    </w:p>
    <w:p w14:paraId="25BF1E2F">
      <w:pPr>
        <w:pStyle w:val="6"/>
        <w:keepNext w:val="0"/>
        <w:keepLines w:val="0"/>
        <w:pageBreakBefore w:val="0"/>
        <w:widowControl w:val="0"/>
        <w:kinsoku/>
        <w:wordWrap/>
        <w:overflowPunct/>
        <w:topLinePunct w:val="0"/>
        <w:autoSpaceDE/>
        <w:autoSpaceDN/>
        <w:bidi w:val="0"/>
        <w:adjustRightInd w:val="0"/>
        <w:snapToGrid w:val="0"/>
        <w:spacing w:line="568" w:lineRule="exact"/>
        <w:ind w:right="0"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一、资金安排与用途</w:t>
      </w:r>
    </w:p>
    <w:p w14:paraId="5C19AAD4">
      <w:pPr>
        <w:pStyle w:val="6"/>
        <w:keepNext w:val="0"/>
        <w:keepLines w:val="0"/>
        <w:pageBreakBefore w:val="0"/>
        <w:widowControl w:val="0"/>
        <w:kinsoku/>
        <w:wordWrap/>
        <w:overflowPunct/>
        <w:topLinePunct w:val="0"/>
        <w:autoSpaceDE/>
        <w:autoSpaceDN/>
        <w:bidi w:val="0"/>
        <w:adjustRightInd w:val="0"/>
        <w:snapToGrid w:val="0"/>
        <w:spacing w:line="568"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资金来源：世界银行贷款设立的“金融风险补偿资金池”，专户存管于广东省农产品质量安全中心；</w:t>
      </w:r>
    </w:p>
    <w:p w14:paraId="187E584F">
      <w:pPr>
        <w:pStyle w:val="6"/>
        <w:keepNext w:val="0"/>
        <w:keepLines w:val="0"/>
        <w:pageBreakBefore w:val="0"/>
        <w:widowControl w:val="0"/>
        <w:kinsoku/>
        <w:wordWrap/>
        <w:overflowPunct/>
        <w:topLinePunct w:val="0"/>
        <w:autoSpaceDE/>
        <w:autoSpaceDN/>
        <w:bidi w:val="0"/>
        <w:adjustRightInd w:val="0"/>
        <w:snapToGrid w:val="0"/>
        <w:spacing w:line="568"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资金用途：用于补偿金融机构向项目库内实施主体发放贷款后发生的贷款本金损失；遵循“普惠高效、风险分担、损失后补”原则。</w:t>
      </w:r>
    </w:p>
    <w:p w14:paraId="5E0BB026">
      <w:pPr>
        <w:pStyle w:val="5"/>
        <w:keepNext w:val="0"/>
        <w:keepLines w:val="0"/>
        <w:pageBreakBefore w:val="0"/>
        <w:widowControl w:val="0"/>
        <w:kinsoku/>
        <w:wordWrap/>
        <w:overflowPunct/>
        <w:topLinePunct w:val="0"/>
        <w:autoSpaceDE/>
        <w:autoSpaceDN/>
        <w:bidi w:val="0"/>
        <w:adjustRightInd w:val="0"/>
        <w:snapToGrid w:val="0"/>
        <w:spacing w:after="0" w:line="568" w:lineRule="exact"/>
        <w:ind w:firstLine="640" w:firstLineChars="200"/>
        <w:jc w:val="both"/>
        <w:textAlignment w:val="baseline"/>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二、支持范围</w:t>
      </w:r>
    </w:p>
    <w:p w14:paraId="2113CE27">
      <w:pPr>
        <w:pStyle w:val="6"/>
        <w:keepNext w:val="0"/>
        <w:keepLines w:val="0"/>
        <w:pageBreakBefore w:val="0"/>
        <w:widowControl w:val="0"/>
        <w:kinsoku/>
        <w:wordWrap/>
        <w:overflowPunct/>
        <w:topLinePunct w:val="0"/>
        <w:autoSpaceDE/>
        <w:autoSpaceDN/>
        <w:bidi w:val="0"/>
        <w:adjustRightInd w:val="0"/>
        <w:snapToGrid w:val="0"/>
        <w:spacing w:line="568"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1.支持对象：纳入金融风险分担机制项目库的新型农业经营主体、农村集体经济组织、行业组织和农户。重点支持中小企业及采用新技术、新设施、新模式的创新主体；</w:t>
      </w:r>
    </w:p>
    <w:p w14:paraId="59425095">
      <w:pPr>
        <w:pStyle w:val="6"/>
        <w:keepNext w:val="0"/>
        <w:keepLines w:val="0"/>
        <w:pageBreakBefore w:val="0"/>
        <w:widowControl w:val="0"/>
        <w:kinsoku/>
        <w:wordWrap/>
        <w:overflowPunct/>
        <w:topLinePunct w:val="0"/>
        <w:autoSpaceDE/>
        <w:autoSpaceDN/>
        <w:bidi w:val="0"/>
        <w:adjustRightInd w:val="0"/>
        <w:snapToGrid w:val="0"/>
        <w:spacing w:line="568"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2.支持产业：以蔬菜、荔枝、生猪、水产品为主，兼顾其他农产品。</w:t>
      </w:r>
    </w:p>
    <w:p w14:paraId="0BC2B442">
      <w:pPr>
        <w:widowControl w:val="0"/>
        <w:kinsoku/>
        <w:autoSpaceDE/>
        <w:autoSpaceDN/>
        <w:adjustRightInd w:val="0"/>
        <w:snapToGrid w:val="0"/>
        <w:spacing w:line="590" w:lineRule="exact"/>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3.支持内容：农产品质量安全提升建设相关投资，包括：</w:t>
      </w:r>
    </w:p>
    <w:p w14:paraId="160D8092">
      <w:pPr>
        <w:widowControl w:val="0"/>
        <w:kinsoku/>
        <w:autoSpaceDE/>
        <w:autoSpaceDN/>
        <w:adjustRightInd w:val="0"/>
        <w:snapToGrid w:val="0"/>
        <w:spacing w:line="59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）经认证的生产解决方案。例如良好农业规范（GAP）、良好卫生规范（GHP）、良好作业规范（GMP）、清洁生产体系；屠宰场、加工厂、农业市场、食品企业和餐馆中的危害分析与关键控制点（HACCP）等；</w:t>
      </w:r>
    </w:p>
    <w:p w14:paraId="6A9453F4">
      <w:pPr>
        <w:widowControl w:val="0"/>
        <w:kinsoku/>
        <w:autoSpaceDE/>
        <w:autoSpaceDN/>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）绿色生产解决方案。用于改善动物健康和福利系统等生产环境；改良种子和品种，以适应气候、病虫害和疾病；提高肥料和自然资源（土地和水）的使用效率；综合虫害管理；标准化生产基地建设等；</w:t>
      </w:r>
    </w:p>
    <w:p w14:paraId="7E0A5B7D">
      <w:pPr>
        <w:widowControl w:val="0"/>
        <w:kinsoku/>
        <w:autoSpaceDE/>
        <w:autoSpaceDN/>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）废弃物管理解决方案。水处理厂和废弃物处理；牲畜粪便管理；减少粮食损失和废弃物管理等；</w:t>
      </w:r>
    </w:p>
    <w:p w14:paraId="0383A14B">
      <w:pPr>
        <w:widowControl w:val="0"/>
        <w:kinsoku/>
        <w:autoSpaceDE/>
        <w:autoSpaceDN/>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）可持续包装解决方案。安全的食品接触材料、用于生产、包装、物流的生物材料等；</w:t>
      </w:r>
    </w:p>
    <w:p w14:paraId="1857700D">
      <w:pPr>
        <w:widowControl w:val="0"/>
        <w:kinsoku/>
        <w:autoSpaceDE/>
        <w:autoSpaceDN/>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）农产品安全配送及物流解决方案。安全农产品营销电子商务平台；贯穿整个配送和物流链的节能环保设施设备等；</w:t>
      </w:r>
    </w:p>
    <w:p w14:paraId="025381B0">
      <w:pPr>
        <w:widowControl w:val="0"/>
        <w:kinsoku/>
        <w:autoSpaceDE/>
        <w:autoSpaceDN/>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）农产品安全保障解决方案。建立农产品安全信息追溯平台、质量管理和检测实验室、品牌推广和消费者推广社交媒体平台等；</w:t>
      </w:r>
    </w:p>
    <w:p w14:paraId="6AF0033C">
      <w:pPr>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任何其他直接有助于农产品质量安全提升的投资。</w:t>
      </w:r>
      <w:r>
        <w:rPr>
          <w:rFonts w:hint="eastAsia" w:ascii="仿宋_GB2312" w:hAnsi="仿宋_GB2312" w:eastAsia="仿宋_GB2312" w:cs="仿宋_GB2312"/>
          <w:sz w:val="32"/>
          <w:szCs w:val="32"/>
          <w:lang w:val="en-US" w:eastAsia="zh-CN"/>
        </w:rPr>
        <w:t>不支持与质量安全无关的投资、民间借贷、资本市场投资等。</w:t>
      </w:r>
    </w:p>
    <w:p w14:paraId="3BDFD906">
      <w:pPr>
        <w:pStyle w:val="5"/>
        <w:keepNext w:val="0"/>
        <w:keepLines w:val="0"/>
        <w:pageBreakBefore w:val="0"/>
        <w:widowControl w:val="0"/>
        <w:kinsoku/>
        <w:wordWrap/>
        <w:overflowPunct/>
        <w:topLinePunct w:val="0"/>
        <w:autoSpaceDE/>
        <w:autoSpaceDN/>
        <w:bidi w:val="0"/>
        <w:adjustRightInd w:val="0"/>
        <w:snapToGrid w:val="0"/>
        <w:spacing w:after="0" w:line="590" w:lineRule="exact"/>
        <w:ind w:firstLine="640" w:firstLineChars="200"/>
        <w:jc w:val="both"/>
        <w:textAlignment w:val="baseline"/>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三、补偿比例与上限</w:t>
      </w:r>
    </w:p>
    <w:p w14:paraId="3EC2AFC1">
      <w:pPr>
        <w:pStyle w:val="6"/>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1.补偿比例：实际不良贷款本金的70%；</w:t>
      </w:r>
    </w:p>
    <w:p w14:paraId="4491E72D">
      <w:pPr>
        <w:pStyle w:val="6"/>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2.补偿范围：仅限本金，不含利息、罚息、诉讼费等；</w:t>
      </w:r>
    </w:p>
    <w:p w14:paraId="3CBC9160">
      <w:pPr>
        <w:pStyle w:val="6"/>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3.补偿上限：以分配给该金融机构的全部风险补偿资金额度为限；</w:t>
      </w:r>
    </w:p>
    <w:p w14:paraId="79F2A3D7">
      <w:pPr>
        <w:pStyle w:val="5"/>
        <w:keepNext w:val="0"/>
        <w:keepLines w:val="0"/>
        <w:pageBreakBefore w:val="0"/>
        <w:widowControl w:val="0"/>
        <w:kinsoku/>
        <w:wordWrap/>
        <w:overflowPunct/>
        <w:topLinePunct w:val="0"/>
        <w:autoSpaceDE/>
        <w:autoSpaceDN/>
        <w:bidi w:val="0"/>
        <w:adjustRightInd w:val="0"/>
        <w:snapToGrid w:val="0"/>
        <w:spacing w:after="0" w:line="590" w:lineRule="exact"/>
        <w:ind w:firstLine="640" w:firstLineChars="200"/>
        <w:jc w:val="both"/>
        <w:textAlignment w:val="baseline"/>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四、放贷业务流程</w:t>
      </w:r>
    </w:p>
    <w:p w14:paraId="74A8D2B2">
      <w:pPr>
        <w:pStyle w:val="6"/>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贷款申请与报备：项目库内主体向合作金融机构申请贷款，金融机构放贷后按月向第三方咨询服务机构报备；</w:t>
      </w:r>
    </w:p>
    <w:p w14:paraId="7ACDFE9C">
      <w:pPr>
        <w:pStyle w:val="6"/>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补偿与追收：贷款逾期90天可申请补偿，经审核后划拨资金；已补偿贷款由金融机构牵头追收，追偿本金的70%划入风险补偿资金池。</w:t>
      </w:r>
    </w:p>
    <w:p w14:paraId="5C9D31CB">
      <w:pPr>
        <w:pStyle w:val="5"/>
        <w:keepNext w:val="0"/>
        <w:keepLines w:val="0"/>
        <w:pageBreakBefore w:val="0"/>
        <w:widowControl w:val="0"/>
        <w:kinsoku/>
        <w:wordWrap/>
        <w:overflowPunct/>
        <w:topLinePunct w:val="0"/>
        <w:autoSpaceDE/>
        <w:autoSpaceDN/>
        <w:bidi w:val="0"/>
        <w:adjustRightInd w:val="0"/>
        <w:snapToGrid w:val="0"/>
        <w:spacing w:after="0" w:line="590" w:lineRule="exact"/>
        <w:ind w:firstLine="640" w:firstLineChars="200"/>
        <w:jc w:val="both"/>
        <w:textAlignment w:val="baseline"/>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五、风险控制与考核</w:t>
      </w:r>
    </w:p>
    <w:p w14:paraId="6FE12C60">
      <w:pPr>
        <w:pStyle w:val="6"/>
        <w:keepNext w:val="0"/>
        <w:keepLines w:val="0"/>
        <w:pageBreakBefore w:val="0"/>
        <w:widowControl w:val="0"/>
        <w:kinsoku/>
        <w:wordWrap/>
        <w:overflowPunct/>
        <w:topLinePunct w:val="0"/>
        <w:autoSpaceDE/>
        <w:autoSpaceDN/>
        <w:bidi w:val="0"/>
        <w:adjustRightInd w:val="0"/>
        <w:snapToGrid w:val="0"/>
        <w:spacing w:line="590"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风险控制：单家金融机构不良率超5%或补偿额达分配额度50%时，暂停其补偿申请，待风险排除、不良率降至5%以内且经省农业农村厅同意后重启；补偿额度用完后，不再补偿；</w:t>
      </w:r>
    </w:p>
    <w:p w14:paraId="7A4A340A">
      <w:pPr>
        <w:widowControl w:val="0"/>
        <w:kinsoku/>
        <w:autoSpaceDE/>
        <w:autoSpaceDN/>
        <w:adjustRightInd w:val="0"/>
        <w:snapToGrid w:val="0"/>
        <w:spacing w:line="590" w:lineRule="exact"/>
        <w:ind w:firstLine="640" w:firstLineChars="200"/>
        <w:rPr>
          <w:rFonts w:eastAsia="仿宋_GB2312"/>
          <w:sz w:val="28"/>
          <w:szCs w:val="28"/>
          <w:shd w:val="clear" w:color="auto" w:fill="FFFFFF"/>
        </w:rPr>
      </w:pPr>
      <w:r>
        <w:rPr>
          <w:rFonts w:hint="eastAsia" w:ascii="仿宋_GB2312" w:hAnsi="仿宋_GB2312" w:eastAsia="仿宋_GB2312" w:cs="仿宋_GB2312"/>
          <w:sz w:val="32"/>
          <w:szCs w:val="32"/>
          <w:lang w:val="en-US" w:eastAsia="zh-CN"/>
        </w:rPr>
        <w:t>2. 考核机制：每年度对合作金融机构进行考核。考核不合格或者存在</w:t>
      </w:r>
      <w:r>
        <w:rPr>
          <w:rFonts w:hint="eastAsia" w:ascii="仿宋_GB2312" w:hAnsi="仿宋_GB2312" w:eastAsia="仿宋_GB2312" w:cs="仿宋_GB2312"/>
          <w:sz w:val="32"/>
          <w:szCs w:val="32"/>
          <w:shd w:val="clear" w:color="auto" w:fill="auto"/>
          <w:lang w:eastAsia="zh-CN" w:bidi="ar-SA"/>
        </w:rPr>
        <w:t>提供虚假资料骗取补偿资金等违法违规行为的，取消金融机构资格，并按照有关规定处理。金融机构年度提供的贷款额度不足、贷款质量不高、政策效益不显著的，予以调降下年度补偿资金额度。</w:t>
      </w:r>
    </w:p>
    <w:p w14:paraId="19EB60E4">
      <w:pPr>
        <w:widowControl w:val="0"/>
        <w:kinsoku/>
        <w:autoSpaceDE/>
        <w:autoSpaceDN/>
        <w:spacing w:line="590" w:lineRule="exact"/>
        <w:rPr>
          <w:rFonts w:hint="eastAsia"/>
          <w:spacing w:val="2"/>
          <w:sz w:val="32"/>
          <w:szCs w:val="32"/>
          <w:lang w:val="en-US" w:eastAsia="zh-CN"/>
        </w:rPr>
      </w:pPr>
      <w:r>
        <w:rPr>
          <w:rFonts w:hint="eastAsia"/>
          <w:spacing w:val="2"/>
          <w:sz w:val="32"/>
          <w:szCs w:val="32"/>
          <w:lang w:val="en-US" w:eastAsia="zh-CN"/>
        </w:rPr>
        <w:br w:type="page"/>
      </w:r>
    </w:p>
    <w:p w14:paraId="2F1B08C8">
      <w:pPr>
        <w:widowControl w:val="0"/>
        <w:kinsoku/>
        <w:autoSpaceDE/>
        <w:autoSpaceDN/>
        <w:spacing w:line="540" w:lineRule="exact"/>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附件2</w:t>
      </w:r>
    </w:p>
    <w:p w14:paraId="057ECB83">
      <w:pPr>
        <w:pStyle w:val="7"/>
        <w:widowControl w:val="0"/>
        <w:kinsoku/>
        <w:autoSpaceDE/>
        <w:autoSpaceDN/>
        <w:spacing w:line="540" w:lineRule="exact"/>
        <w:ind w:left="0"/>
        <w:rPr>
          <w:rFonts w:hint="eastAsia"/>
          <w:spacing w:val="2"/>
          <w:lang w:val="en-US" w:eastAsia="zh-CN"/>
        </w:rPr>
      </w:pPr>
    </w:p>
    <w:p w14:paraId="29E3985B">
      <w:pPr>
        <w:pStyle w:val="6"/>
        <w:keepNext w:val="0"/>
        <w:keepLines w:val="0"/>
        <w:pageBreakBefore w:val="0"/>
        <w:widowControl w:val="0"/>
        <w:kinsoku/>
        <w:wordWrap/>
        <w:overflowPunct/>
        <w:topLinePunct w:val="0"/>
        <w:autoSpaceDE/>
        <w:autoSpaceDN/>
        <w:bidi w:val="0"/>
        <w:adjustRightInd w:val="0"/>
        <w:snapToGrid w:val="0"/>
        <w:spacing w:line="540" w:lineRule="exact"/>
        <w:ind w:right="0" w:firstLine="0" w:firstLineChars="0"/>
        <w:jc w:val="center"/>
        <w:textAlignment w:val="baseline"/>
        <w:rPr>
          <w:rFonts w:hint="eastAsia" w:ascii="方正小标宋简体" w:hAnsi="方正小标宋简体" w:eastAsia="方正小标宋简体" w:cs="方正小标宋简体"/>
          <w:spacing w:val="5"/>
          <w:sz w:val="44"/>
          <w:szCs w:val="44"/>
        </w:rPr>
      </w:pPr>
      <w:r>
        <w:rPr>
          <w:rFonts w:hint="default" w:ascii="方正小标宋简体" w:hAnsi="方正小标宋简体" w:eastAsia="方正小标宋简体" w:cs="方正小标宋简体"/>
          <w:spacing w:val="5"/>
          <w:sz w:val="44"/>
          <w:szCs w:val="44"/>
        </w:rPr>
        <w:t>广东省农产品质量安全提升（示范）项目农产品质量安全责任保险模式运行方式介绍</w:t>
      </w:r>
    </w:p>
    <w:p w14:paraId="3F8C010C">
      <w:pPr>
        <w:pStyle w:val="6"/>
        <w:keepNext w:val="0"/>
        <w:keepLines w:val="0"/>
        <w:pageBreakBefore w:val="0"/>
        <w:widowControl w:val="0"/>
        <w:kinsoku/>
        <w:wordWrap/>
        <w:overflowPunct/>
        <w:topLinePunct w:val="0"/>
        <w:autoSpaceDE/>
        <w:autoSpaceDN/>
        <w:bidi w:val="0"/>
        <w:adjustRightInd w:val="0"/>
        <w:snapToGrid w:val="0"/>
        <w:spacing w:line="540" w:lineRule="exact"/>
        <w:ind w:right="0" w:firstLine="640" w:firstLineChars="200"/>
        <w:jc w:val="both"/>
        <w:textAlignment w:val="baseline"/>
        <w:rPr>
          <w:rFonts w:hint="eastAsia" w:ascii="仿宋_GB2312" w:hAnsi="仿宋_GB2312" w:eastAsia="仿宋_GB2312" w:cs="仿宋_GB2312"/>
          <w:sz w:val="32"/>
          <w:szCs w:val="32"/>
          <w:highlight w:val="none"/>
          <w:lang w:val="en-US" w:eastAsia="zh-CN"/>
        </w:rPr>
      </w:pPr>
      <w:bookmarkStart w:id="0" w:name="_GoBack"/>
      <w:bookmarkEnd w:id="0"/>
    </w:p>
    <w:p w14:paraId="73501062">
      <w:pPr>
        <w:pStyle w:val="6"/>
        <w:keepNext w:val="0"/>
        <w:keepLines w:val="0"/>
        <w:pageBreakBefore w:val="0"/>
        <w:widowControl w:val="0"/>
        <w:kinsoku/>
        <w:wordWrap/>
        <w:overflowPunct/>
        <w:topLinePunct w:val="0"/>
        <w:autoSpaceDE/>
        <w:autoSpaceDN/>
        <w:bidi w:val="0"/>
        <w:adjustRightInd w:val="0"/>
        <w:snapToGrid w:val="0"/>
        <w:spacing w:line="54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新型农产品质量安全责任保险是世界银行贷款广东省农产品质量安全提升（示范）项目的重要内容，目的是发挥农产品质量安全责任保险的作用，打造集农产品安全生产标准化技术服务和保险服务于一体的事前风险评估，事中用药指导、农事服务、风险预警、风险管控及事后风险转移的综合服务模式，通过市场化运作方式，加大政府部门在农产品质量安全“最初一公里”网格化监管力度，建立农产品质量安全风险管理社会共治体系，从源头上降低农产品质量安全风险，提升农产品质量安全治理能力和保障水平。</w:t>
      </w:r>
    </w:p>
    <w:p w14:paraId="00F21DDE">
      <w:pPr>
        <w:pStyle w:val="6"/>
        <w:keepNext w:val="0"/>
        <w:keepLines w:val="0"/>
        <w:pageBreakBefore w:val="0"/>
        <w:widowControl w:val="0"/>
        <w:kinsoku/>
        <w:wordWrap/>
        <w:overflowPunct/>
        <w:topLinePunct w:val="0"/>
        <w:autoSpaceDE/>
        <w:autoSpaceDN/>
        <w:bidi w:val="0"/>
        <w:adjustRightInd w:val="0"/>
        <w:snapToGrid w:val="0"/>
        <w:spacing w:line="540" w:lineRule="exact"/>
        <w:ind w:right="0"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一、试点范围、对象及资金使用</w:t>
      </w:r>
    </w:p>
    <w:p w14:paraId="1FB19784">
      <w:pPr>
        <w:pStyle w:val="6"/>
        <w:keepNext w:val="0"/>
        <w:keepLines w:val="0"/>
        <w:pageBreakBefore w:val="0"/>
        <w:widowControl w:val="0"/>
        <w:kinsoku/>
        <w:wordWrap/>
        <w:overflowPunct/>
        <w:topLinePunct w:val="0"/>
        <w:autoSpaceDE/>
        <w:autoSpaceDN/>
        <w:bidi w:val="0"/>
        <w:adjustRightInd w:val="0"/>
        <w:snapToGrid w:val="0"/>
        <w:spacing w:line="540" w:lineRule="exact"/>
        <w:ind w:right="0" w:firstLine="640" w:firstLineChars="200"/>
        <w:jc w:val="both"/>
        <w:textAlignment w:val="baseline"/>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（一）试点范围和对象</w:t>
      </w:r>
    </w:p>
    <w:p w14:paraId="40EE2E8C">
      <w:pPr>
        <w:pStyle w:val="6"/>
        <w:keepNext w:val="0"/>
        <w:keepLines w:val="0"/>
        <w:pageBreakBefore w:val="0"/>
        <w:widowControl w:val="0"/>
        <w:kinsoku/>
        <w:wordWrap/>
        <w:overflowPunct/>
        <w:topLinePunct w:val="0"/>
        <w:autoSpaceDE/>
        <w:autoSpaceDN/>
        <w:bidi w:val="0"/>
        <w:adjustRightInd w:val="0"/>
        <w:snapToGrid w:val="0"/>
        <w:spacing w:line="540"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产品范围：包括蔬菜、荔枝、生猪、水产等品种。</w:t>
      </w:r>
    </w:p>
    <w:p w14:paraId="22615641">
      <w:pPr>
        <w:pStyle w:val="6"/>
        <w:keepNext w:val="0"/>
        <w:keepLines w:val="0"/>
        <w:pageBreakBefore w:val="0"/>
        <w:widowControl w:val="0"/>
        <w:kinsoku/>
        <w:wordWrap/>
        <w:overflowPunct/>
        <w:topLinePunct w:val="0"/>
        <w:autoSpaceDE/>
        <w:autoSpaceDN/>
        <w:bidi w:val="0"/>
        <w:adjustRightInd w:val="0"/>
        <w:snapToGrid w:val="0"/>
        <w:spacing w:line="540"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实施对象：以中小企业为主，包括新型农业经营主体、农村集体经济组织、行业组织和农户。</w:t>
      </w:r>
    </w:p>
    <w:p w14:paraId="71B78023">
      <w:pPr>
        <w:pStyle w:val="6"/>
        <w:keepNext w:val="0"/>
        <w:keepLines w:val="0"/>
        <w:pageBreakBefore w:val="0"/>
        <w:widowControl w:val="0"/>
        <w:kinsoku/>
        <w:wordWrap/>
        <w:overflowPunct/>
        <w:topLinePunct w:val="0"/>
        <w:autoSpaceDE/>
        <w:autoSpaceDN/>
        <w:bidi w:val="0"/>
        <w:adjustRightInd w:val="0"/>
        <w:snapToGrid w:val="0"/>
        <w:spacing w:line="540"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实施范围：广州市从化区、佛山市三水区、江门市新会区、惠州市博罗县、肇庆市高要区。</w:t>
      </w:r>
    </w:p>
    <w:p w14:paraId="2AC153F9">
      <w:pPr>
        <w:pStyle w:val="6"/>
        <w:widowControl w:val="0"/>
        <w:numPr>
          <w:ilvl w:val="-1"/>
          <w:numId w:val="0"/>
        </w:numPr>
        <w:kinsoku/>
        <w:autoSpaceDE/>
        <w:autoSpaceDN/>
        <w:spacing w:line="540" w:lineRule="exact"/>
        <w:ind w:left="0" w:leftChars="0"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（二）试点周期</w:t>
      </w:r>
    </w:p>
    <w:p w14:paraId="0DEB3C2B">
      <w:pPr>
        <w:widowControl w:val="0"/>
        <w:numPr>
          <w:ilvl w:val="-1"/>
          <w:numId w:val="0"/>
        </w:numPr>
        <w:kinsoku/>
        <w:autoSpaceDE/>
        <w:autoSpaceDN/>
        <w:spacing w:line="568" w:lineRule="exact"/>
        <w:ind w:left="0" w:leftChars="0"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1年，从试点项目第1单保险合同生效之日起计算。</w:t>
      </w:r>
    </w:p>
    <w:p w14:paraId="05AD5A38">
      <w:pPr>
        <w:pStyle w:val="6"/>
        <w:keepNext w:val="0"/>
        <w:keepLines w:val="0"/>
        <w:pageBreakBefore w:val="0"/>
        <w:widowControl w:val="0"/>
        <w:numPr>
          <w:ilvl w:val="-1"/>
          <w:numId w:val="0"/>
        </w:numPr>
        <w:kinsoku/>
        <w:wordWrap/>
        <w:overflowPunct/>
        <w:topLinePunct w:val="0"/>
        <w:autoSpaceDE/>
        <w:autoSpaceDN/>
        <w:bidi w:val="0"/>
        <w:adjustRightInd w:val="0"/>
        <w:snapToGrid w:val="0"/>
        <w:spacing w:line="568" w:lineRule="exact"/>
        <w:ind w:left="0" w:leftChars="0" w:right="0" w:firstLine="640" w:firstLineChars="200"/>
        <w:jc w:val="both"/>
        <w:textAlignment w:val="baseline"/>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（三）投保主体与保险费</w:t>
      </w:r>
    </w:p>
    <w:tbl>
      <w:tblPr>
        <w:tblStyle w:val="12"/>
        <w:tblW w:w="43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716"/>
        <w:gridCol w:w="5111"/>
      </w:tblGrid>
      <w:tr w14:paraId="4F09B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jc w:val="center"/>
        </w:trPr>
        <w:tc>
          <w:tcPr>
            <w:tcW w:w="1735" w:type="pct"/>
            <w:tcMar>
              <w:top w:w="15" w:type="dxa"/>
              <w:left w:w="108" w:type="dxa"/>
              <w:bottom w:w="0" w:type="dxa"/>
              <w:right w:w="108" w:type="dxa"/>
            </w:tcMar>
            <w:vAlign w:val="center"/>
          </w:tcPr>
          <w:p w14:paraId="26CFF0C6">
            <w:pPr>
              <w:pStyle w:val="14"/>
              <w:widowControl w:val="0"/>
              <w:kinsoku/>
              <w:autoSpaceDE/>
              <w:autoSpaceDN/>
              <w:spacing w:line="24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投保主体数量</w:t>
            </w:r>
          </w:p>
        </w:tc>
        <w:tc>
          <w:tcPr>
            <w:tcW w:w="3264" w:type="pct"/>
            <w:vAlign w:val="center"/>
          </w:tcPr>
          <w:p w14:paraId="67CB0E53">
            <w:pPr>
              <w:pStyle w:val="14"/>
              <w:widowControl w:val="0"/>
              <w:kinsoku/>
              <w:autoSpaceDE/>
              <w:autoSpaceDN/>
              <w:spacing w:line="24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单个主体保险费补贴上限</w:t>
            </w:r>
          </w:p>
          <w:p w14:paraId="43CC8293">
            <w:pPr>
              <w:pStyle w:val="14"/>
              <w:widowControl w:val="0"/>
              <w:kinsoku/>
              <w:autoSpaceDE/>
              <w:autoSpaceDN/>
              <w:spacing w:line="24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（万元人民币）</w:t>
            </w:r>
          </w:p>
        </w:tc>
      </w:tr>
      <w:tr w14:paraId="65175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1" w:hRule="atLeast"/>
          <w:jc w:val="center"/>
        </w:trPr>
        <w:tc>
          <w:tcPr>
            <w:tcW w:w="1735" w:type="pct"/>
            <w:tcMar>
              <w:top w:w="15" w:type="dxa"/>
              <w:left w:w="108" w:type="dxa"/>
              <w:bottom w:w="0" w:type="dxa"/>
              <w:right w:w="108" w:type="dxa"/>
            </w:tcMar>
            <w:vAlign w:val="center"/>
          </w:tcPr>
          <w:p w14:paraId="64A6C904">
            <w:pPr>
              <w:pStyle w:val="14"/>
              <w:widowControl w:val="0"/>
              <w:kinsoku/>
              <w:autoSpaceDE/>
              <w:autoSpaceDN/>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合计约3000个</w:t>
            </w:r>
          </w:p>
          <w:p w14:paraId="07FEBDFF">
            <w:pPr>
              <w:pStyle w:val="14"/>
              <w:widowControl w:val="0"/>
              <w:kinsoku/>
              <w:autoSpaceDE/>
              <w:autoSpaceDN/>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投保主体</w:t>
            </w:r>
          </w:p>
        </w:tc>
        <w:tc>
          <w:tcPr>
            <w:tcW w:w="3264" w:type="pct"/>
            <w:vAlign w:val="center"/>
          </w:tcPr>
          <w:p w14:paraId="63A7343F">
            <w:pPr>
              <w:pStyle w:val="14"/>
              <w:widowControl w:val="0"/>
              <w:kinsoku/>
              <w:autoSpaceDE/>
              <w:autoSpaceDN/>
              <w:spacing w:line="24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新型农业经营主体：30</w:t>
            </w:r>
          </w:p>
          <w:p w14:paraId="2EE2F1FF">
            <w:pPr>
              <w:pStyle w:val="14"/>
              <w:widowControl w:val="0"/>
              <w:kinsoku/>
              <w:autoSpaceDE/>
              <w:autoSpaceDN/>
              <w:spacing w:line="24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农村集体经济组织</w:t>
            </w:r>
            <w:r>
              <w:rPr>
                <w:rFonts w:hint="eastAsia" w:ascii="仿宋_GB2312" w:hAnsi="仿宋_GB2312" w:eastAsia="仿宋_GB2312" w:cs="仿宋_GB2312"/>
                <w:sz w:val="28"/>
                <w:szCs w:val="28"/>
                <w:shd w:val="clear" w:color="auto" w:fill="auto"/>
                <w:lang w:eastAsia="zh-CN"/>
              </w:rPr>
              <w:t>、行业组织</w:t>
            </w:r>
            <w:r>
              <w:rPr>
                <w:rFonts w:hint="eastAsia" w:ascii="仿宋_GB2312" w:hAnsi="仿宋_GB2312" w:eastAsia="仿宋_GB2312" w:cs="仿宋_GB2312"/>
                <w:sz w:val="28"/>
                <w:szCs w:val="28"/>
              </w:rPr>
              <w:t>：25</w:t>
            </w:r>
          </w:p>
          <w:p w14:paraId="6DAC31DD">
            <w:pPr>
              <w:pStyle w:val="14"/>
              <w:widowControl w:val="0"/>
              <w:kinsoku/>
              <w:autoSpaceDE/>
              <w:autoSpaceDN/>
              <w:spacing w:line="24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农户：10</w:t>
            </w:r>
          </w:p>
        </w:tc>
      </w:tr>
    </w:tbl>
    <w:p w14:paraId="713959A1">
      <w:pPr>
        <w:pStyle w:val="5"/>
        <w:keepNext w:val="0"/>
        <w:keepLines w:val="0"/>
        <w:pageBreakBefore w:val="0"/>
        <w:widowControl w:val="0"/>
        <w:kinsoku/>
        <w:wordWrap/>
        <w:overflowPunct/>
        <w:topLinePunct w:val="0"/>
        <w:autoSpaceDE/>
        <w:autoSpaceDN/>
        <w:bidi w:val="0"/>
        <w:adjustRightInd w:val="0"/>
        <w:snapToGrid w:val="0"/>
        <w:spacing w:after="0" w:line="568" w:lineRule="exact"/>
        <w:ind w:firstLine="640" w:firstLineChars="200"/>
        <w:jc w:val="both"/>
        <w:textAlignment w:val="baseline"/>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二、补贴政策及申报流程</w:t>
      </w:r>
    </w:p>
    <w:p w14:paraId="542D9A0B">
      <w:pPr>
        <w:pStyle w:val="6"/>
        <w:keepNext w:val="0"/>
        <w:keepLines w:val="0"/>
        <w:pageBreakBefore w:val="0"/>
        <w:widowControl w:val="0"/>
        <w:kinsoku/>
        <w:wordWrap/>
        <w:overflowPunct/>
        <w:topLinePunct w:val="0"/>
        <w:autoSpaceDE/>
        <w:autoSpaceDN/>
        <w:bidi w:val="0"/>
        <w:adjustRightInd w:val="0"/>
        <w:snapToGrid w:val="0"/>
        <w:spacing w:line="568"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补贴政策：生猪保费补贴80%，蔬菜、荔枝、水产等产品保费补贴70%，其余部分由投保主体自行承担。</w:t>
      </w:r>
    </w:p>
    <w:p w14:paraId="67CBE472">
      <w:pPr>
        <w:pStyle w:val="6"/>
        <w:keepNext w:val="0"/>
        <w:keepLines w:val="0"/>
        <w:pageBreakBefore w:val="0"/>
        <w:widowControl w:val="0"/>
        <w:kinsoku/>
        <w:wordWrap/>
        <w:overflowPunct/>
        <w:topLinePunct w:val="0"/>
        <w:autoSpaceDE/>
        <w:autoSpaceDN/>
        <w:bidi w:val="0"/>
        <w:adjustRightInd w:val="0"/>
        <w:snapToGrid w:val="0"/>
        <w:spacing w:line="568"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具体补贴申报流程如下：</w:t>
      </w:r>
    </w:p>
    <w:p w14:paraId="164EF137">
      <w:pPr>
        <w:pStyle w:val="6"/>
        <w:keepNext w:val="0"/>
        <w:keepLines w:val="0"/>
        <w:pageBreakBefore w:val="0"/>
        <w:widowControl w:val="0"/>
        <w:kinsoku/>
        <w:wordWrap/>
        <w:overflowPunct/>
        <w:topLinePunct w:val="0"/>
        <w:autoSpaceDE/>
        <w:autoSpaceDN/>
        <w:bidi w:val="0"/>
        <w:adjustRightInd w:val="0"/>
        <w:snapToGrid w:val="0"/>
        <w:spacing w:line="568"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（一）投保主体购买项目指定品种价值链农产品质量安全责任保险产品，向保险公司支付自行承担的年保费。</w:t>
      </w:r>
    </w:p>
    <w:p w14:paraId="27148D5E">
      <w:pPr>
        <w:pStyle w:val="6"/>
        <w:keepNext w:val="0"/>
        <w:keepLines w:val="0"/>
        <w:pageBreakBefore w:val="0"/>
        <w:widowControl w:val="0"/>
        <w:kinsoku/>
        <w:wordWrap/>
        <w:overflowPunct/>
        <w:topLinePunct w:val="0"/>
        <w:autoSpaceDE/>
        <w:autoSpaceDN/>
        <w:bidi w:val="0"/>
        <w:adjustRightInd w:val="0"/>
        <w:snapToGrid w:val="0"/>
        <w:spacing w:line="568"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保险公司使用定制支出报表分两次向省农业农村厅申请保费补助，第一次：收到投保主体缴纳的年保费，保险公司建立风险减量服务体系并通过我厅验收后，附投保主体自行承担的部分保费支付资料（包括合作协议、保险单、保险合同等）和风险减量服务体系方案，于每季度结束之日起10个工作日内向省农业农村厅申请应补贴保费的一半（即生猪40%，蔬菜、荔枝、水产等35%）；第二次：收到第三方咨询服务机构《保险价值链农产品质量安全综合服务年度评价报告》后，按评价等级，向省农业农村厅申请其余年保费补助。</w:t>
      </w:r>
    </w:p>
    <w:p w14:paraId="31B22F5C">
      <w:pPr>
        <w:pStyle w:val="6"/>
        <w:keepNext w:val="0"/>
        <w:keepLines w:val="0"/>
        <w:pageBreakBefore w:val="0"/>
        <w:widowControl w:val="0"/>
        <w:kinsoku/>
        <w:wordWrap/>
        <w:overflowPunct/>
        <w:topLinePunct w:val="0"/>
        <w:autoSpaceDE/>
        <w:autoSpaceDN/>
        <w:bidi w:val="0"/>
        <w:adjustRightInd w:val="0"/>
        <w:snapToGrid w:val="0"/>
        <w:spacing w:line="568"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（三）省农业农村厅分批次报世界银行同意；</w:t>
      </w:r>
    </w:p>
    <w:p w14:paraId="2806388E">
      <w:pPr>
        <w:pStyle w:val="6"/>
        <w:keepNext w:val="0"/>
        <w:keepLines w:val="0"/>
        <w:pageBreakBefore w:val="0"/>
        <w:widowControl w:val="0"/>
        <w:kinsoku/>
        <w:wordWrap/>
        <w:overflowPunct/>
        <w:topLinePunct w:val="0"/>
        <w:autoSpaceDE/>
        <w:autoSpaceDN/>
        <w:bidi w:val="0"/>
        <w:adjustRightInd w:val="0"/>
        <w:snapToGrid w:val="0"/>
        <w:spacing w:line="568"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（四）省农业农村厅向省财政厅申请报账。</w:t>
      </w:r>
    </w:p>
    <w:p w14:paraId="64978F99">
      <w:pPr>
        <w:pStyle w:val="5"/>
        <w:keepNext w:val="0"/>
        <w:keepLines w:val="0"/>
        <w:pageBreakBefore w:val="0"/>
        <w:widowControl w:val="0"/>
        <w:kinsoku/>
        <w:wordWrap/>
        <w:overflowPunct/>
        <w:topLinePunct w:val="0"/>
        <w:autoSpaceDE/>
        <w:autoSpaceDN/>
        <w:bidi w:val="0"/>
        <w:adjustRightInd w:val="0"/>
        <w:snapToGrid w:val="0"/>
        <w:spacing w:after="0" w:line="568" w:lineRule="exact"/>
        <w:ind w:firstLine="640" w:firstLineChars="200"/>
        <w:jc w:val="both"/>
        <w:textAlignment w:val="baseline"/>
        <w:rPr>
          <w:rFonts w:hint="eastAsia" w:ascii="黑体" w:hAnsi="黑体" w:eastAsia="黑体" w:cs="黑体"/>
          <w:b w:val="0"/>
          <w:bCs w:val="0"/>
          <w:sz w:val="32"/>
          <w:szCs w:val="32"/>
          <w:lang w:val="en-US" w:eastAsia="zh-CN"/>
        </w:rPr>
      </w:pPr>
      <w:r>
        <w:rPr>
          <w:rFonts w:hint="eastAsia" w:ascii="黑体" w:hAnsi="黑体" w:eastAsia="黑体" w:cs="黑体"/>
          <w:snapToGrid w:val="0"/>
          <w:color w:val="000000"/>
          <w:kern w:val="0"/>
          <w:sz w:val="32"/>
          <w:szCs w:val="32"/>
          <w:lang w:val="en-US" w:eastAsia="zh-CN" w:bidi="ar-SA"/>
        </w:rPr>
        <w:t>三、</w:t>
      </w:r>
      <w:r>
        <w:rPr>
          <w:rFonts w:hint="eastAsia" w:ascii="黑体" w:hAnsi="黑体" w:eastAsia="黑体" w:cs="黑体"/>
          <w:b w:val="0"/>
          <w:bCs w:val="0"/>
          <w:sz w:val="32"/>
          <w:szCs w:val="32"/>
          <w:lang w:val="en-US" w:eastAsia="zh-CN"/>
        </w:rPr>
        <w:t>保险服务内容与方案</w:t>
      </w:r>
    </w:p>
    <w:p w14:paraId="56106E4C">
      <w:pPr>
        <w:pStyle w:val="6"/>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jc w:val="both"/>
        <w:textAlignment w:val="baseline"/>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（一）保险服务内容</w:t>
      </w:r>
    </w:p>
    <w:p w14:paraId="167FC787">
      <w:pPr>
        <w:pStyle w:val="6"/>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jc w:val="both"/>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全流程风险管控服务。保前对拟投保人开展全价值链风险评估，建立风险档案，明确告知其责任和义务（如投入品使用规范）。保中提供用药技术指导、日常巡查、农事信息推送、风险预警、田头检测等。保后协助投保人完成理赔申请、不合格产品追回及整改验收。</w:t>
      </w:r>
    </w:p>
    <w:p w14:paraId="67946E5B">
      <w:pPr>
        <w:pStyle w:val="6"/>
        <w:keepNext w:val="0"/>
        <w:keepLines w:val="0"/>
        <w:pageBreakBefore w:val="0"/>
        <w:widowControl w:val="0"/>
        <w:kinsoku/>
        <w:wordWrap/>
        <w:overflowPunct/>
        <w:topLinePunct w:val="0"/>
        <w:autoSpaceDE/>
        <w:autoSpaceDN/>
        <w:bidi w:val="0"/>
        <w:adjustRightInd w:val="0"/>
        <w:snapToGrid w:val="0"/>
        <w:spacing w:line="568" w:lineRule="exact"/>
        <w:ind w:firstLine="640" w:firstLineChars="200"/>
        <w:jc w:val="both"/>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全过程保险保障。在生产环节，赔偿因不可抗力引至质量安全风险造成的直接经济损失或成本增加（如需延长休药期造成农户成本增加或收入损失等）。在流通环节，承担不合格产品追回（召回）和无害化处理的实际费用，以及造成第三方人身损害、财产损失的赔偿。</w:t>
      </w:r>
    </w:p>
    <w:p w14:paraId="645ACA3E">
      <w:pPr>
        <w:pStyle w:val="6"/>
        <w:widowControl w:val="0"/>
        <w:kinsoku/>
        <w:autoSpaceDE/>
        <w:autoSpaceDN/>
        <w:spacing w:line="568"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3.增值服务内容。包括品牌认证赋能、销售渠道赋能、贴标赋能、融资赋能等服务。</w:t>
      </w:r>
    </w:p>
    <w:p w14:paraId="64330D38">
      <w:pPr>
        <w:pStyle w:val="6"/>
        <w:widowControl w:val="0"/>
        <w:kinsoku/>
        <w:autoSpaceDE/>
        <w:autoSpaceDN/>
        <w:spacing w:line="568" w:lineRule="exact"/>
        <w:ind w:firstLine="640" w:firstLineChars="200"/>
        <w:jc w:val="both"/>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（二）保险方案</w:t>
      </w:r>
    </w:p>
    <w:p w14:paraId="0B62C7ED">
      <w:pPr>
        <w:pStyle w:val="5"/>
        <w:keepNext w:val="0"/>
        <w:keepLines w:val="0"/>
        <w:pageBreakBefore w:val="0"/>
        <w:widowControl w:val="0"/>
        <w:kinsoku/>
        <w:wordWrap/>
        <w:overflowPunct/>
        <w:topLinePunct w:val="0"/>
        <w:autoSpaceDE/>
        <w:autoSpaceDN/>
        <w:bidi w:val="0"/>
        <w:adjustRightInd w:val="0"/>
        <w:snapToGrid w:val="0"/>
        <w:spacing w:after="0" w:line="568"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保险由单个保险公司承担，制订保险方案，出具保险单、收费并开展保险服务，由该家保险公司承担风险。</w:t>
      </w:r>
    </w:p>
    <w:p w14:paraId="1D0F7D9E">
      <w:pPr>
        <w:pStyle w:val="5"/>
        <w:keepNext w:val="0"/>
        <w:keepLines w:val="0"/>
        <w:pageBreakBefore w:val="0"/>
        <w:widowControl w:val="0"/>
        <w:kinsoku/>
        <w:wordWrap/>
        <w:overflowPunct/>
        <w:topLinePunct w:val="0"/>
        <w:autoSpaceDE/>
        <w:autoSpaceDN/>
        <w:bidi w:val="0"/>
        <w:adjustRightInd w:val="0"/>
        <w:snapToGrid w:val="0"/>
        <w:spacing w:after="0" w:line="568"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保险服务方案可以体现差异化，保险保障方案和费率保持一致。</w:t>
      </w:r>
    </w:p>
    <w:p w14:paraId="30A3F915">
      <w:pPr>
        <w:pStyle w:val="5"/>
        <w:keepNext w:val="0"/>
        <w:keepLines w:val="0"/>
        <w:pageBreakBefore w:val="0"/>
        <w:widowControl w:val="0"/>
        <w:kinsoku/>
        <w:wordWrap/>
        <w:overflowPunct/>
        <w:topLinePunct w:val="0"/>
        <w:autoSpaceDE/>
        <w:autoSpaceDN/>
        <w:bidi w:val="0"/>
        <w:adjustRightInd w:val="0"/>
        <w:snapToGrid w:val="0"/>
        <w:spacing w:after="0" w:line="568" w:lineRule="exact"/>
        <w:ind w:firstLine="640" w:firstLineChars="200"/>
        <w:jc w:val="both"/>
        <w:textAlignment w:val="baseline"/>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四、考核程序与结果应用</w:t>
      </w:r>
    </w:p>
    <w:p w14:paraId="735F6AC0">
      <w:pPr>
        <w:pStyle w:val="6"/>
        <w:keepNext w:val="0"/>
        <w:keepLines w:val="0"/>
        <w:pageBreakBefore w:val="0"/>
        <w:widowControl w:val="0"/>
        <w:kinsoku/>
        <w:wordWrap/>
        <w:overflowPunct/>
        <w:topLinePunct w:val="0"/>
        <w:autoSpaceDE/>
        <w:autoSpaceDN/>
        <w:bidi w:val="0"/>
        <w:adjustRightInd w:val="0"/>
        <w:snapToGrid w:val="0"/>
        <w:spacing w:line="568" w:lineRule="exact"/>
        <w:ind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每年度对合作保险机构进行考核。根据评价考核等级，支付第二期年保费补贴。</w:t>
      </w:r>
    </w:p>
    <w:p w14:paraId="1A8508B6">
      <w:pPr>
        <w:pStyle w:val="6"/>
        <w:keepNext w:val="0"/>
        <w:keepLines w:val="0"/>
        <w:pageBreakBefore w:val="0"/>
        <w:widowControl w:val="0"/>
        <w:kinsoku/>
        <w:wordWrap/>
        <w:overflowPunct/>
        <w:topLinePunct w:val="0"/>
        <w:autoSpaceDE/>
        <w:autoSpaceDN/>
        <w:bidi w:val="0"/>
        <w:adjustRightInd w:val="0"/>
        <w:snapToGrid w:val="0"/>
        <w:spacing w:line="568" w:lineRule="exact"/>
        <w:ind w:right="0" w:firstLine="640" w:firstLineChars="200"/>
        <w:jc w:val="both"/>
        <w:textAlignment w:val="baseline"/>
        <w:rPr>
          <w:rFonts w:hint="eastAsia" w:ascii="仿宋_GB2312" w:hAnsi="仿宋_GB2312" w:eastAsia="仿宋_GB2312" w:cs="仿宋_GB2312"/>
          <w:sz w:val="32"/>
          <w:szCs w:val="32"/>
          <w:lang w:val="en-US" w:eastAsia="zh-CN"/>
        </w:rPr>
      </w:pPr>
    </w:p>
    <w:p w14:paraId="0DA9140D">
      <w:pPr>
        <w:spacing w:line="580" w:lineRule="exact"/>
        <w:rPr>
          <w:rFonts w:hint="eastAsia" w:ascii="仿宋_GB2312" w:hAnsi="仿宋_GB2312" w:eastAsia="仿宋_GB2312" w:cs="仿宋_GB2312"/>
          <w:sz w:val="32"/>
          <w:szCs w:val="32"/>
          <w:lang w:val="en-US" w:eastAsia="zh-CN"/>
        </w:rPr>
      </w:pPr>
    </w:p>
    <w:sectPr>
      <w:footerReference r:id="rId6" w:type="first"/>
      <w:footerReference r:id="rId5" w:type="default"/>
      <w:pgSz w:w="11906" w:h="16838"/>
      <w:pgMar w:top="1871" w:right="1531" w:bottom="1871" w:left="1531" w:header="851" w:footer="1417" w:gutter="0"/>
      <w:pgNumType w:fmt="decimal" w:start="2"/>
      <w:cols w:space="0" w:num="1"/>
      <w:titlePg/>
      <w:rtlGutter w:val="0"/>
      <w:docGrid w:type="lines" w:linePitch="59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C3D48">
    <w:pPr>
      <w:pStyle w:val="8"/>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E64DE73">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f4ic1s8BAACbAwAADgAAAAAAAAABACAAAAAfAQAAZHJz&#10;L2Uyb0RvYy54bWxQSwUGAAAAAAYABgBZAQAAYAUAAAAA&#10;">
              <v:fill on="f" focussize="0,0"/>
              <v:stroke on="f"/>
              <v:imagedata o:title=""/>
              <o:lock v:ext="edit" aspectratio="f"/>
              <v:textbox inset="0mm,0mm,0mm,0mm" style="mso-fit-shape-to-text:t;">
                <w:txbxContent>
                  <w:p w14:paraId="2E64DE73">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D29AE">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004A6">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22004A6">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decimal"/>
      <w:pStyle w:val="3"/>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298"/>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D32657"/>
    <w:rsid w:val="220E555B"/>
    <w:rsid w:val="5F7745F3"/>
    <w:rsid w:val="7ADF034E"/>
    <w:rsid w:val="FDFBA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Autospacing="0" w:after="330" w:afterAutospacing="0" w:line="576" w:lineRule="auto"/>
      <w:outlineLvl w:val="0"/>
    </w:pPr>
    <w:rPr>
      <w:b/>
      <w:kern w:val="44"/>
      <w:sz w:val="44"/>
    </w:rPr>
  </w:style>
  <w:style w:type="paragraph" w:styleId="3">
    <w:name w:val="heading 3"/>
    <w:basedOn w:val="1"/>
    <w:next w:val="1"/>
    <w:qFormat/>
    <w:uiPriority w:val="0"/>
    <w:pPr>
      <w:keepNext/>
      <w:keepLines/>
      <w:numPr>
        <w:ilvl w:val="2"/>
        <w:numId w:val="1"/>
      </w:numPr>
      <w:spacing w:line="360" w:lineRule="auto"/>
      <w:outlineLvl w:val="2"/>
    </w:pPr>
    <w:rPr>
      <w:rFonts w:eastAsia="仿宋_GB2312"/>
      <w:b/>
      <w:sz w:val="28"/>
    </w:rPr>
  </w:style>
  <w:style w:type="character" w:default="1" w:styleId="13">
    <w:name w:val="Default Paragraph Font"/>
    <w:qFormat/>
    <w:uiPriority w:val="0"/>
  </w:style>
  <w:style w:type="table" w:default="1" w:styleId="12">
    <w:name w:val="Normal Table"/>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rFonts w:ascii="Calibri" w:hAnsi="Calibri" w:eastAsia="宋体" w:cs="Times New Roman"/>
    </w:rPr>
  </w:style>
  <w:style w:type="paragraph" w:styleId="5">
    <w:name w:val="Body Text 2"/>
    <w:basedOn w:val="1"/>
    <w:next w:val="6"/>
    <w:qFormat/>
    <w:uiPriority w:val="0"/>
    <w:pPr>
      <w:spacing w:after="120" w:line="480" w:lineRule="auto"/>
    </w:pPr>
    <w:rPr>
      <w:rFonts w:ascii="Times New Roman" w:hAnsi="Times New Roman" w:eastAsia="宋体" w:cs="Times New Roman"/>
      <w:kern w:val="0"/>
      <w:sz w:val="20"/>
      <w:szCs w:val="21"/>
    </w:rPr>
  </w:style>
  <w:style w:type="paragraph" w:styleId="6">
    <w:name w:val="Body Text"/>
    <w:basedOn w:val="1"/>
    <w:next w:val="7"/>
    <w:qFormat/>
    <w:uiPriority w:val="0"/>
    <w:rPr>
      <w:rFonts w:ascii="FangSong_GB2312" w:hAnsi="FangSong_GB2312" w:eastAsia="FangSong_GB2312" w:cs="FangSong_GB2312"/>
      <w:sz w:val="31"/>
      <w:szCs w:val="31"/>
      <w:lang w:val="en-US" w:eastAsia="en-US" w:bidi="ar-SA"/>
    </w:rPr>
  </w:style>
  <w:style w:type="paragraph" w:styleId="7">
    <w:name w:val="toc 5"/>
    <w:basedOn w:val="1"/>
    <w:next w:val="1"/>
    <w:qFormat/>
    <w:uiPriority w:val="0"/>
    <w:pPr>
      <w:ind w:left="840"/>
      <w:jc w:val="left"/>
    </w:pPr>
    <w:rPr>
      <w:rFonts w:ascii="Calibri" w:hAnsi="Calibri" w:eastAsia="仿宋_GB2312" w:cs="Calibri"/>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qFormat/>
    <w:uiPriority w:val="0"/>
    <w:pPr>
      <w:snapToGrid w:val="0"/>
      <w:jc w:val="left"/>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4">
    <w:name w:val="表格"/>
    <w:basedOn w:val="1"/>
    <w:qFormat/>
    <w:uiPriority w:val="0"/>
    <w:pPr>
      <w:jc w:val="left"/>
    </w:pPr>
    <w:rPr>
      <w:rFonts w:hint="eastAsia"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省农业农村厅</Company>
  <Pages>6</Pages>
  <Words>2555</Words>
  <Characters>2606</Characters>
  <Paragraphs>166</Paragraphs>
  <TotalTime>5</TotalTime>
  <ScaleCrop>false</ScaleCrop>
  <LinksUpToDate>false</LinksUpToDate>
  <CharactersWithSpaces>2612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2025-09-30T02:27:00Z</dcterms:created>
  <dc:creator>陈</dc:creator>
  <cp:lastModifiedBy>李ZD</cp:lastModifiedBy>
  <dcterms:modified xsi:type="dcterms:W3CDTF">2025-11-05T02:05:26Z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eyJoZGlkIjoiY2MyMzYyMjE4OGEyYmU0NGU4OWM3NGNlZDgzMmNmZWUiLCJ1c2VySWQiOiIyMjU2NjUwODMifQ==</vt:lpwstr>
  </property>
  <property fmtid="{D5CDD505-2E9C-101B-9397-08002B2CF9AE}" pid="4" name="ICV">
    <vt:lpwstr>68FA9421D7F04ADABDB8B1570E404122_13</vt:lpwstr>
  </property>
  <property fmtid="{D5CDD505-2E9C-101B-9397-08002B2CF9AE}" pid="5" name="showFlag">
    <vt:bool>true</vt:bool>
  </property>
  <property fmtid="{D5CDD505-2E9C-101B-9397-08002B2CF9AE}" pid="6" name="close">
    <vt:lpwstr>true</vt:lpwstr>
  </property>
</Properties>
</file>