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bookmarkStart w:id="10" w:name="_GoBack"/>
      <w:bookmarkEnd w:id="10"/>
      <w:bookmarkStart w:id="0" w:name="_Toc27099"/>
      <w:r>
        <w:rPr>
          <w:rFonts w:hint="eastAsia" w:ascii="方正小标宋简体" w:hAnsi="方正小标宋简体" w:eastAsia="方正小标宋简体" w:cs="方正小标宋简体"/>
          <w:b w:val="0"/>
          <w:bCs w:val="0"/>
          <w:sz w:val="44"/>
          <w:szCs w:val="44"/>
          <w:lang w:val="en-US" w:eastAsia="zh-CN"/>
        </w:rPr>
        <w:t>珠海市</w:t>
      </w:r>
      <w:r>
        <w:rPr>
          <w:rFonts w:hint="eastAsia" w:ascii="方正小标宋简体" w:hAnsi="方正小标宋简体" w:eastAsia="方正小标宋简体" w:cs="方正小标宋简体"/>
          <w:b w:val="0"/>
          <w:bCs w:val="0"/>
          <w:sz w:val="44"/>
          <w:szCs w:val="44"/>
          <w:lang w:eastAsia="zh-CN"/>
        </w:rPr>
        <w:t>人工智能赋能制造业高质量发展</w:t>
      </w:r>
      <w:bookmarkEnd w:id="0"/>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default" w:ascii="方正小标宋简体" w:hAnsi="方正小标宋简体" w:eastAsia="方正小标宋简体" w:cs="方正小标宋简体"/>
          <w:b w:val="0"/>
          <w:bCs w:val="0"/>
          <w:sz w:val="44"/>
          <w:szCs w:val="44"/>
          <w:lang w:val="en-US" w:eastAsia="zh-CN"/>
        </w:rPr>
      </w:pPr>
      <w:bookmarkStart w:id="1" w:name="_Toc30065"/>
      <w:r>
        <w:rPr>
          <w:rFonts w:hint="eastAsia" w:ascii="方正小标宋简体" w:hAnsi="方正小标宋简体" w:eastAsia="方正小标宋简体" w:cs="方正小标宋简体"/>
          <w:b w:val="0"/>
          <w:bCs w:val="0"/>
          <w:sz w:val="44"/>
          <w:szCs w:val="44"/>
          <w:lang w:eastAsia="zh-CN"/>
        </w:rPr>
        <w:t>行动方案（</w:t>
      </w:r>
      <w:r>
        <w:rPr>
          <w:rFonts w:hint="eastAsia" w:ascii="方正小标宋简体" w:hAnsi="方正小标宋简体" w:eastAsia="方正小标宋简体" w:cs="方正小标宋简体"/>
          <w:b w:val="0"/>
          <w:bCs w:val="0"/>
          <w:sz w:val="44"/>
          <w:szCs w:val="44"/>
          <w:lang w:val="en-US" w:eastAsia="zh-CN"/>
        </w:rPr>
        <w:t>2026—2028年）</w:t>
      </w:r>
      <w:bookmarkEnd w:id="1"/>
    </w:p>
    <w:p>
      <w:pPr>
        <w:pageBreakBefore w:val="0"/>
        <w:kinsoku/>
        <w:wordWrap/>
        <w:overflowPunct/>
        <w:topLinePunct w:val="0"/>
        <w:autoSpaceDE/>
        <w:autoSpaceDN/>
        <w:bidi w:val="0"/>
        <w:snapToGrid/>
        <w:spacing w:line="579" w:lineRule="exact"/>
        <w:ind w:left="0" w:leftChars="0"/>
        <w:jc w:val="center"/>
        <w:textAlignment w:val="auto"/>
        <w:rPr>
          <w:rFonts w:hint="default"/>
          <w:smallCaps w:val="0"/>
          <w:color w:val="auto"/>
          <w:highlight w:val="none"/>
          <w:lang w:val="en-US" w:eastAsia="zh-CN"/>
        </w:rPr>
      </w:pPr>
      <w:r>
        <w:rPr>
          <w:rFonts w:hint="eastAsia"/>
          <w:smallCaps w:val="0"/>
          <w:color w:val="auto"/>
          <w:highlight w:val="none"/>
          <w:lang w:val="en-US" w:eastAsia="zh-CN"/>
        </w:rPr>
        <w:t>（征求意见稿）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9" w:lineRule="exact"/>
        <w:ind w:left="0" w:leftChars="0" w:right="0" w:firstLine="640" w:firstLineChars="200"/>
        <w:jc w:val="left"/>
        <w:textAlignment w:val="auto"/>
        <w:rPr>
          <w:rFonts w:hint="eastAsia"/>
          <w:smallCap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9" w:lineRule="exact"/>
        <w:ind w:leftChars="0" w:firstLine="640" w:firstLineChars="200"/>
        <w:jc w:val="left"/>
        <w:textAlignment w:val="auto"/>
        <w:rPr>
          <w:rFonts w:hint="eastAsia"/>
          <w:smallCaps w:val="0"/>
          <w:color w:val="auto"/>
          <w:highlight w:val="none"/>
          <w:lang w:val="en-US" w:eastAsia="zh-CN"/>
        </w:rPr>
      </w:pPr>
      <w:r>
        <w:rPr>
          <w:rFonts w:hint="eastAsia"/>
          <w:smallCaps w:val="0"/>
          <w:color w:val="auto"/>
          <w:highlight w:val="none"/>
          <w:lang w:val="en-US" w:eastAsia="zh-CN"/>
        </w:rPr>
        <w:t>为深入实施“人工智能+制造”专项行动，充分发挥人工智能技术“倍增”效应，推动人工智能创新与制造业应用“双向赋能”，持续促进制造业数智化转型，引领发展新质生产力，制定本行动方案。</w:t>
      </w:r>
    </w:p>
    <w:p>
      <w:pPr>
        <w:pStyle w:val="5"/>
        <w:keepNext/>
        <w:keepLines/>
        <w:pageBreakBefore w:val="0"/>
        <w:widowControl w:val="0"/>
        <w:kinsoku/>
        <w:wordWrap/>
        <w:overflowPunct/>
        <w:topLinePunct w:val="0"/>
        <w:autoSpaceDE/>
        <w:autoSpaceDN/>
        <w:bidi w:val="0"/>
        <w:adjustRightInd/>
        <w:snapToGrid/>
        <w:spacing w:beforeLines="0" w:afterLines="0" w:line="579" w:lineRule="exact"/>
        <w:ind w:leftChars="0" w:firstLine="640" w:firstLineChars="200"/>
        <w:textAlignment w:val="auto"/>
        <w:rPr>
          <w:rFonts w:hint="eastAsia"/>
          <w:smallCaps w:val="0"/>
          <w:color w:val="auto"/>
          <w:highlight w:val="none"/>
          <w:lang w:val="en-US" w:eastAsia="zh-CN"/>
        </w:rPr>
      </w:pPr>
      <w:bookmarkStart w:id="2" w:name="_Toc18984"/>
      <w:r>
        <w:rPr>
          <w:rFonts w:hint="eastAsia"/>
          <w:smallCaps w:val="0"/>
          <w:color w:val="auto"/>
          <w:highlight w:val="none"/>
          <w:lang w:val="en-US" w:eastAsia="zh-CN"/>
        </w:rPr>
        <w:t>一、总体要求</w:t>
      </w:r>
      <w:bookmarkEnd w:id="2"/>
    </w:p>
    <w:p>
      <w:pPr>
        <w:keepNext w:val="0"/>
        <w:keepLines w:val="0"/>
        <w:pageBreakBefore w:val="0"/>
        <w:numPr>
          <w:ilvl w:val="0"/>
          <w:numId w:val="0"/>
        </w:numPr>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Times New Roman" w:hAnsi="Times New Roman" w:eastAsia="仿宋_GB2312" w:cs="仿宋_GB2312"/>
          <w:b w:val="0"/>
          <w:bCs w:val="0"/>
          <w:smallCaps w:val="0"/>
          <w:color w:val="auto"/>
          <w:kern w:val="0"/>
          <w:sz w:val="32"/>
          <w:szCs w:val="32"/>
          <w:highlight w:val="none"/>
          <w:shd w:val="clear" w:color="auto" w:fill="auto"/>
          <w:lang w:val="en-US" w:eastAsia="zh-CN" w:bidi="ar"/>
        </w:rPr>
      </w:pPr>
      <w:r>
        <w:rPr>
          <w:rFonts w:hint="eastAsia" w:ascii="Times New Roman" w:hAnsi="Times New Roman" w:eastAsia="仿宋_GB2312" w:cs="仿宋_GB2312"/>
          <w:b w:val="0"/>
          <w:bCs w:val="0"/>
          <w:smallCaps w:val="0"/>
          <w:color w:val="auto"/>
          <w:kern w:val="0"/>
          <w:sz w:val="32"/>
          <w:szCs w:val="32"/>
          <w:highlight w:val="none"/>
          <w:shd w:val="clear" w:color="auto" w:fill="auto"/>
          <w:lang w:val="en-US" w:eastAsia="zh-CN" w:bidi="ar"/>
        </w:rPr>
        <w:t>落实国家推动人工智能赋能新型工业化战略部署，坚持人工智能创新与制造业应用“双向赋能”，一端抓技术供给，推动“智能产业化”，一端抓赋能应用，加快“产业智能化”，整体壮大产业生态</w:t>
      </w:r>
      <w:r>
        <w:rPr>
          <w:rFonts w:hint="eastAsia" w:cs="仿宋_GB2312"/>
          <w:b w:val="0"/>
          <w:bCs w:val="0"/>
          <w:smallCaps w:val="0"/>
          <w:color w:val="auto"/>
          <w:kern w:val="0"/>
          <w:sz w:val="32"/>
          <w:szCs w:val="32"/>
          <w:highlight w:val="none"/>
          <w:shd w:val="clear" w:color="auto" w:fill="auto"/>
          <w:lang w:val="en-US" w:eastAsia="zh-CN" w:bidi="ar"/>
        </w:rPr>
        <w:t>。</w:t>
      </w:r>
      <w:r>
        <w:rPr>
          <w:rFonts w:hint="eastAsia" w:ascii="Times New Roman" w:hAnsi="Times New Roman" w:eastAsia="仿宋_GB2312" w:cs="仿宋_GB2312"/>
          <w:b w:val="0"/>
          <w:bCs w:val="0"/>
          <w:smallCaps w:val="0"/>
          <w:color w:val="auto"/>
          <w:kern w:val="0"/>
          <w:sz w:val="32"/>
          <w:szCs w:val="32"/>
          <w:highlight w:val="none"/>
          <w:shd w:val="clear" w:color="auto" w:fill="auto"/>
          <w:lang w:val="en-US" w:eastAsia="zh-CN" w:bidi="ar"/>
        </w:rPr>
        <w:t>聚焦</w:t>
      </w:r>
      <w:r>
        <w:rPr>
          <w:rFonts w:hint="eastAsia" w:cs="仿宋_GB2312"/>
          <w:b w:val="0"/>
          <w:bCs w:val="0"/>
          <w:smallCaps w:val="0"/>
          <w:color w:val="auto"/>
          <w:kern w:val="0"/>
          <w:sz w:val="32"/>
          <w:szCs w:val="32"/>
          <w:highlight w:val="none"/>
          <w:shd w:val="clear" w:color="auto" w:fill="auto"/>
          <w:lang w:val="en-US" w:eastAsia="zh-CN" w:bidi="ar"/>
        </w:rPr>
        <w:t>制造业</w:t>
      </w:r>
      <w:r>
        <w:rPr>
          <w:rFonts w:hint="eastAsia" w:ascii="Times New Roman" w:hAnsi="Times New Roman" w:eastAsia="仿宋_GB2312" w:cs="仿宋_GB2312"/>
          <w:b w:val="0"/>
          <w:bCs w:val="0"/>
          <w:smallCaps w:val="0"/>
          <w:color w:val="auto"/>
          <w:kern w:val="0"/>
          <w:sz w:val="32"/>
          <w:szCs w:val="32"/>
          <w:highlight w:val="none"/>
          <w:shd w:val="clear" w:color="auto" w:fill="auto"/>
          <w:lang w:val="en-US" w:eastAsia="zh-CN" w:bidi="ar"/>
        </w:rPr>
        <w:t>研发设计、生产制造、供应链管理、经营管理等核心关键环节，促进人工智能科技创新与产业创新深度融合</w:t>
      </w:r>
      <w:r>
        <w:rPr>
          <w:rFonts w:hint="eastAsia" w:cs="仿宋_GB2312"/>
          <w:b w:val="0"/>
          <w:bCs w:val="0"/>
          <w:smallCaps w:val="0"/>
          <w:color w:val="auto"/>
          <w:kern w:val="0"/>
          <w:sz w:val="32"/>
          <w:szCs w:val="32"/>
          <w:highlight w:val="none"/>
          <w:shd w:val="clear" w:color="auto" w:fill="auto"/>
          <w:lang w:val="en-US" w:eastAsia="zh-CN" w:bidi="ar"/>
        </w:rPr>
        <w:t>，</w:t>
      </w:r>
      <w:r>
        <w:rPr>
          <w:rFonts w:hint="eastAsia" w:ascii="Times New Roman" w:hAnsi="Times New Roman" w:eastAsia="仿宋_GB2312" w:cs="仿宋_GB2312"/>
          <w:b w:val="0"/>
          <w:bCs w:val="0"/>
          <w:smallCaps w:val="0"/>
          <w:color w:val="auto"/>
          <w:kern w:val="0"/>
          <w:sz w:val="32"/>
          <w:szCs w:val="32"/>
          <w:highlight w:val="none"/>
          <w:shd w:val="clear" w:color="auto" w:fill="auto"/>
          <w:lang w:val="en-US" w:eastAsia="zh-CN" w:bidi="ar"/>
        </w:rPr>
        <w:t>奋力打造人工智能赋能新型工业化标杆城市。</w:t>
      </w:r>
    </w:p>
    <w:p>
      <w:pPr>
        <w:pStyle w:val="5"/>
        <w:keepNext/>
        <w:keepLines/>
        <w:pageBreakBefore w:val="0"/>
        <w:widowControl w:val="0"/>
        <w:kinsoku/>
        <w:wordWrap/>
        <w:overflowPunct/>
        <w:topLinePunct w:val="0"/>
        <w:autoSpaceDE/>
        <w:autoSpaceDN/>
        <w:bidi w:val="0"/>
        <w:adjustRightInd/>
        <w:snapToGrid/>
        <w:spacing w:beforeLines="0" w:afterLines="0" w:line="579" w:lineRule="exact"/>
        <w:ind w:leftChars="0" w:firstLine="640" w:firstLineChars="200"/>
        <w:textAlignment w:val="auto"/>
        <w:rPr>
          <w:rFonts w:hint="default"/>
          <w:smallCaps w:val="0"/>
          <w:color w:val="auto"/>
          <w:highlight w:val="none"/>
          <w:lang w:val="en-US" w:eastAsia="zh-CN"/>
        </w:rPr>
      </w:pPr>
      <w:r>
        <w:rPr>
          <w:rFonts w:hint="eastAsia"/>
          <w:smallCaps w:val="0"/>
          <w:color w:val="auto"/>
          <w:highlight w:val="none"/>
          <w:lang w:val="en-US" w:eastAsia="zh-CN"/>
        </w:rPr>
        <w:t>二、工作目标</w:t>
      </w:r>
    </w:p>
    <w:p>
      <w:pPr>
        <w:keepNext w:val="0"/>
        <w:keepLines w:val="0"/>
        <w:pageBreakBefore w:val="0"/>
        <w:numPr>
          <w:ilvl w:val="0"/>
          <w:numId w:val="0"/>
        </w:numPr>
        <w:kinsoku/>
        <w:wordWrap/>
        <w:overflowPunct/>
        <w:topLinePunct w:val="0"/>
        <w:autoSpaceDE/>
        <w:autoSpaceDN/>
        <w:bidi w:val="0"/>
        <w:adjustRightInd/>
        <w:snapToGrid/>
        <w:spacing w:line="579" w:lineRule="exact"/>
        <w:ind w:left="0" w:leftChars="0" w:firstLine="640" w:firstLineChars="200"/>
        <w:jc w:val="left"/>
        <w:textAlignment w:val="auto"/>
        <w:rPr>
          <w:rFonts w:hint="eastAsia"/>
          <w:smallCaps w:val="0"/>
          <w:color w:val="auto"/>
          <w:sz w:val="32"/>
          <w:szCs w:val="32"/>
          <w:highlight w:val="none"/>
          <w:lang w:val="en-US" w:eastAsia="zh-CN"/>
        </w:rPr>
      </w:pPr>
      <w:r>
        <w:rPr>
          <w:rFonts w:hint="eastAsia"/>
          <w:smallCaps w:val="0"/>
          <w:color w:val="auto"/>
          <w:sz w:val="32"/>
          <w:szCs w:val="32"/>
          <w:highlight w:val="none"/>
          <w:lang w:val="en-US" w:eastAsia="zh-CN"/>
        </w:rPr>
        <w:t>到2028年，规模以上工业企业实现数智化转型全覆盖，</w:t>
      </w:r>
      <w:r>
        <w:rPr>
          <w:rFonts w:hint="eastAsia" w:cs="仿宋_GB2312"/>
          <w:b w:val="0"/>
          <w:bCs w:val="0"/>
          <w:smallCaps w:val="0"/>
          <w:color w:val="auto"/>
          <w:kern w:val="0"/>
          <w:sz w:val="32"/>
          <w:szCs w:val="32"/>
          <w:highlight w:val="none"/>
          <w:shd w:val="clear" w:color="auto" w:fill="auto"/>
          <w:lang w:val="en-US" w:eastAsia="zh-CN" w:bidi="ar"/>
        </w:rPr>
        <w:t>企业设备更新、工艺升级、数字赋能、管理创新步伐加快，</w:t>
      </w:r>
      <w:r>
        <w:rPr>
          <w:rFonts w:hint="eastAsia"/>
          <w:smallCaps w:val="0"/>
          <w:color w:val="auto"/>
          <w:sz w:val="32"/>
          <w:szCs w:val="32"/>
          <w:highlight w:val="none"/>
          <w:lang w:val="en-US" w:eastAsia="zh-CN"/>
        </w:rPr>
        <w:t>重点产业链供应链数字化水平有效提升。引育一批具有竞争力的综合集成服务商、专业服务商，建成一批领航级、卓越级、先进级智能工厂。推动20个以上工业智能体在制造业深度应用，挖掘30个以上可复制、易推广、有价值的“</w:t>
      </w:r>
      <w:r>
        <w:rPr>
          <w:rFonts w:hint="eastAsia"/>
          <w:smallCaps w:val="0"/>
          <w:color w:val="auto"/>
          <w:highlight w:val="none"/>
        </w:rPr>
        <w:t>人工智能</w:t>
      </w:r>
      <w:r>
        <w:rPr>
          <w:rFonts w:hint="eastAsia"/>
          <w:smallCaps w:val="0"/>
          <w:color w:val="auto"/>
          <w:sz w:val="32"/>
          <w:szCs w:val="32"/>
          <w:highlight w:val="none"/>
          <w:lang w:val="en-US" w:eastAsia="zh-CN"/>
        </w:rPr>
        <w:t>+先进制造”应用场景示范项目，培育50款以上智能终端爆品爆款，智能终端产业规模突破2000亿，推动制造业实现智能化、绿色化、融合化发展。</w:t>
      </w:r>
    </w:p>
    <w:p>
      <w:pPr>
        <w:pStyle w:val="5"/>
        <w:keepNext/>
        <w:keepLines/>
        <w:pageBreakBefore w:val="0"/>
        <w:widowControl w:val="0"/>
        <w:numPr>
          <w:ilvl w:val="0"/>
          <w:numId w:val="1"/>
        </w:numPr>
        <w:kinsoku/>
        <w:wordWrap/>
        <w:overflowPunct/>
        <w:topLinePunct w:val="0"/>
        <w:autoSpaceDE/>
        <w:autoSpaceDN/>
        <w:bidi w:val="0"/>
        <w:adjustRightInd/>
        <w:snapToGrid/>
        <w:spacing w:beforeLines="0" w:afterLines="0" w:line="579" w:lineRule="exact"/>
        <w:ind w:leftChars="0" w:firstLine="640" w:firstLineChars="200"/>
        <w:textAlignment w:val="auto"/>
        <w:rPr>
          <w:rFonts w:hint="eastAsia"/>
          <w:smallCaps w:val="0"/>
          <w:color w:val="auto"/>
          <w:highlight w:val="none"/>
          <w:lang w:val="en-US" w:eastAsia="zh-CN"/>
        </w:rPr>
      </w:pPr>
      <w:r>
        <w:rPr>
          <w:rFonts w:hint="eastAsia"/>
          <w:smallCaps w:val="0"/>
          <w:color w:val="auto"/>
          <w:highlight w:val="none"/>
          <w:lang w:val="en-US" w:eastAsia="zh-CN"/>
        </w:rPr>
        <w:t>重点行动</w:t>
      </w:r>
    </w:p>
    <w:p>
      <w:pPr>
        <w:pStyle w:val="5"/>
        <w:keepNext/>
        <w:keepLines/>
        <w:pageBreakBefore w:val="0"/>
        <w:widowControl w:val="0"/>
        <w:numPr>
          <w:ilvl w:val="-1"/>
          <w:numId w:val="0"/>
        </w:numPr>
        <w:kinsoku/>
        <w:wordWrap/>
        <w:overflowPunct/>
        <w:topLinePunct w:val="0"/>
        <w:autoSpaceDE/>
        <w:autoSpaceDN/>
        <w:bidi w:val="0"/>
        <w:adjustRightInd/>
        <w:snapToGrid/>
        <w:spacing w:beforeLines="0" w:afterLines="0" w:line="579" w:lineRule="exact"/>
        <w:ind w:leftChars="200" w:firstLine="0" w:firstLineChars="0"/>
        <w:textAlignment w:val="auto"/>
        <w:rPr>
          <w:rFonts w:hint="eastAsia" w:ascii="楷体_GB2312" w:hAnsi="楷体_GB2312" w:eastAsia="楷体_GB2312" w:cs="楷体_GB2312"/>
          <w:smallCaps w:val="0"/>
          <w:color w:val="auto"/>
          <w:highlight w:val="none"/>
          <w:lang w:val="en-US" w:eastAsia="zh-CN"/>
        </w:rPr>
      </w:pPr>
      <w:r>
        <w:rPr>
          <w:rFonts w:hint="eastAsia" w:ascii="楷体_GB2312" w:hAnsi="楷体_GB2312" w:eastAsia="楷体_GB2312" w:cs="楷体_GB2312"/>
          <w:smallCaps w:val="0"/>
          <w:color w:val="auto"/>
          <w:highlight w:val="none"/>
          <w:lang w:val="en-US" w:eastAsia="zh-CN"/>
        </w:rPr>
        <w:t>（一）工业智能体培育行动</w:t>
      </w:r>
    </w:p>
    <w:p>
      <w:pPr>
        <w:keepNext w:val="0"/>
        <w:keepLines w:val="0"/>
        <w:pageBreakBefore w:val="0"/>
        <w:widowControl w:val="0"/>
        <w:kinsoku/>
        <w:wordWrap/>
        <w:overflowPunct/>
        <w:topLinePunct w:val="0"/>
        <w:autoSpaceDE/>
        <w:autoSpaceDN/>
        <w:bidi w:val="0"/>
        <w:adjustRightInd/>
        <w:snapToGrid/>
        <w:spacing w:line="579" w:lineRule="exact"/>
        <w:ind w:leftChars="0" w:firstLine="642" w:firstLineChars="200"/>
        <w:jc w:val="both"/>
        <w:textAlignment w:val="auto"/>
        <w:rPr>
          <w:rFonts w:hint="eastAsia"/>
          <w:b w:val="0"/>
          <w:bCs w:val="0"/>
          <w:smallCaps w:val="0"/>
          <w:color w:val="auto"/>
          <w:highlight w:val="none"/>
          <w:lang w:val="en-US" w:eastAsia="zh-CN"/>
        </w:rPr>
      </w:pPr>
      <w:r>
        <w:rPr>
          <w:rFonts w:hint="eastAsia" w:ascii="仿宋_GB2312" w:hAnsi="仿宋_GB2312" w:cs="仿宋_GB2312"/>
          <w:b/>
          <w:bCs/>
          <w:smallCaps w:val="0"/>
          <w:color w:val="auto"/>
          <w:sz w:val="32"/>
          <w:szCs w:val="32"/>
          <w:highlight w:val="none"/>
          <w:lang w:val="en-US" w:eastAsia="zh-CN"/>
        </w:rPr>
        <w:t>1.打造高质量工业数据集</w:t>
      </w:r>
      <w:r>
        <w:rPr>
          <w:rFonts w:hint="eastAsia"/>
          <w:b/>
          <w:bCs/>
          <w:smallCaps w:val="0"/>
          <w:color w:val="auto"/>
          <w:highlight w:val="none"/>
          <w:lang w:val="en-US" w:eastAsia="zh-CN"/>
        </w:rPr>
        <w:t>。</w:t>
      </w:r>
      <w:r>
        <w:rPr>
          <w:smallCaps w:val="0"/>
          <w:color w:val="auto"/>
          <w:sz w:val="32"/>
          <w:szCs w:val="32"/>
          <w:highlight w:val="none"/>
        </w:rPr>
        <w:t>鼓励企业</w:t>
      </w:r>
      <w:r>
        <w:rPr>
          <w:rFonts w:hint="eastAsia"/>
          <w:smallCaps w:val="0"/>
          <w:color w:val="auto"/>
          <w:sz w:val="32"/>
          <w:szCs w:val="32"/>
          <w:highlight w:val="none"/>
          <w:lang w:val="en-US" w:eastAsia="zh-CN"/>
        </w:rPr>
        <w:t>实施</w:t>
      </w:r>
      <w:r>
        <w:rPr>
          <w:smallCaps w:val="0"/>
          <w:color w:val="auto"/>
          <w:sz w:val="32"/>
          <w:szCs w:val="32"/>
          <w:highlight w:val="none"/>
        </w:rPr>
        <w:t>首席数据官制度，建立涵盖规划、实施、评价、改进的数据管理体系</w:t>
      </w:r>
      <w:r>
        <w:rPr>
          <w:rFonts w:hint="eastAsia"/>
          <w:smallCaps w:val="0"/>
          <w:color w:val="auto"/>
          <w:sz w:val="32"/>
          <w:szCs w:val="32"/>
          <w:highlight w:val="none"/>
          <w:lang w:eastAsia="zh-CN"/>
        </w:rPr>
        <w:t>。</w:t>
      </w:r>
      <w:r>
        <w:rPr>
          <w:smallCaps w:val="0"/>
          <w:color w:val="auto"/>
          <w:sz w:val="32"/>
          <w:szCs w:val="32"/>
          <w:highlight w:val="none"/>
        </w:rPr>
        <w:t>加强数据处理工具使用，</w:t>
      </w:r>
      <w:r>
        <w:rPr>
          <w:rFonts w:hint="eastAsia"/>
          <w:smallCaps w:val="0"/>
          <w:color w:val="auto"/>
          <w:sz w:val="32"/>
          <w:szCs w:val="32"/>
          <w:highlight w:val="none"/>
          <w:lang w:eastAsia="zh-CN"/>
        </w:rPr>
        <w:t>汇聚研发设计、生产制造、经营管理等环节多模态数据构建高质量数据集。</w:t>
      </w:r>
      <w:r>
        <w:rPr>
          <w:rFonts w:hint="eastAsia" w:ascii="仿宋_GB2312" w:hAnsi="仿宋_GB2312" w:cs="仿宋_GB2312"/>
          <w:smallCaps w:val="0"/>
          <w:color w:val="auto"/>
          <w:sz w:val="32"/>
          <w:szCs w:val="32"/>
          <w:highlight w:val="none"/>
          <w:lang w:val="en-US" w:eastAsia="zh-CN"/>
        </w:rPr>
        <w:t>支持企业承担建设工业可信数据空间，</w:t>
      </w:r>
      <w:r>
        <w:rPr>
          <w:rFonts w:hint="eastAsia" w:ascii="仿宋_GB2312" w:hAnsi="仿宋_GB2312" w:eastAsia="仿宋_GB2312" w:cs="仿宋_GB2312"/>
          <w:smallCaps w:val="0"/>
          <w:color w:val="auto"/>
          <w:sz w:val="32"/>
          <w:szCs w:val="32"/>
          <w:highlight w:val="none"/>
          <w:lang w:val="en-US" w:eastAsia="zh-CN"/>
        </w:rPr>
        <w:t>鼓励有条件的工业企业支持和参与开源生态建设，推动工业数据集开放共享。</w:t>
      </w:r>
      <w:r>
        <w:rPr>
          <w:rFonts w:hint="eastAsia"/>
          <w:smallCaps w:val="0"/>
          <w:color w:val="auto"/>
          <w:sz w:val="32"/>
          <w:szCs w:val="32"/>
          <w:highlight w:val="none"/>
        </w:rPr>
        <w:t>（责任单位：</w:t>
      </w:r>
      <w:r>
        <w:rPr>
          <w:rFonts w:hint="eastAsia"/>
          <w:smallCaps w:val="0"/>
          <w:color w:val="auto"/>
          <w:sz w:val="32"/>
          <w:szCs w:val="32"/>
          <w:highlight w:val="none"/>
          <w:lang w:eastAsia="zh-CN"/>
        </w:rPr>
        <w:t>市工业和信息化局、</w:t>
      </w:r>
      <w:r>
        <w:rPr>
          <w:rFonts w:hint="eastAsia"/>
          <w:smallCaps w:val="0"/>
          <w:color w:val="auto"/>
          <w:sz w:val="32"/>
          <w:szCs w:val="32"/>
          <w:highlight w:val="none"/>
          <w:lang w:val="en-US" w:eastAsia="zh-CN"/>
        </w:rPr>
        <w:t>市政务和数据局，以下工作均需各区政府（管委会）结合实际抓好落实，不再一一列出</w:t>
      </w:r>
      <w:r>
        <w:rPr>
          <w:rFonts w:hint="eastAsia"/>
          <w:smallCap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leftChars="0" w:firstLine="642" w:firstLineChars="200"/>
        <w:textAlignment w:val="auto"/>
        <w:rPr>
          <w:rFonts w:hint="eastAsia" w:ascii="仿宋" w:hAnsi="仿宋" w:eastAsia="仿宋" w:cs="仿宋"/>
          <w:smallCaps w:val="0"/>
          <w:color w:val="auto"/>
          <w:sz w:val="32"/>
          <w:szCs w:val="32"/>
          <w:highlight w:val="none"/>
          <w:lang w:eastAsia="zh-CN"/>
        </w:rPr>
      </w:pPr>
      <w:r>
        <w:rPr>
          <w:rFonts w:hint="eastAsia" w:ascii="仿宋_GB2312" w:hAnsi="仿宋_GB2312" w:cs="仿宋_GB2312"/>
          <w:b/>
          <w:bCs/>
          <w:smallCaps w:val="0"/>
          <w:color w:val="auto"/>
          <w:kern w:val="2"/>
          <w:sz w:val="32"/>
          <w:szCs w:val="32"/>
          <w:highlight w:val="none"/>
          <w:lang w:val="en-US" w:eastAsia="zh-CN" w:bidi="ar-SA"/>
        </w:rPr>
        <w:t>2</w:t>
      </w:r>
      <w:r>
        <w:rPr>
          <w:rFonts w:hint="eastAsia" w:ascii="仿宋_GB2312" w:hAnsi="仿宋_GB2312" w:eastAsia="仿宋_GB2312" w:cs="仿宋_GB2312"/>
          <w:b/>
          <w:bCs/>
          <w:smallCaps w:val="0"/>
          <w:color w:val="auto"/>
          <w:kern w:val="2"/>
          <w:sz w:val="32"/>
          <w:szCs w:val="32"/>
          <w:highlight w:val="none"/>
          <w:lang w:val="en-US" w:eastAsia="zh-CN" w:bidi="ar-SA"/>
        </w:rPr>
        <w:t>.</w:t>
      </w:r>
      <w:r>
        <w:rPr>
          <w:rFonts w:hint="eastAsia" w:ascii="仿宋_GB2312" w:hAnsi="仿宋_GB2312" w:cs="仿宋_GB2312"/>
          <w:b/>
          <w:bCs/>
          <w:smallCaps w:val="0"/>
          <w:color w:val="auto"/>
          <w:kern w:val="2"/>
          <w:sz w:val="32"/>
          <w:szCs w:val="32"/>
          <w:highlight w:val="none"/>
          <w:lang w:val="en-US" w:eastAsia="zh-CN" w:bidi="ar-SA"/>
        </w:rPr>
        <w:t>支持</w:t>
      </w:r>
      <w:r>
        <w:rPr>
          <w:rFonts w:hint="eastAsia" w:ascii="仿宋_GB2312" w:hAnsi="仿宋_GB2312" w:eastAsia="仿宋_GB2312" w:cs="仿宋_GB2312"/>
          <w:b/>
          <w:bCs/>
          <w:smallCaps w:val="0"/>
          <w:color w:val="auto"/>
          <w:kern w:val="2"/>
          <w:sz w:val="32"/>
          <w:szCs w:val="32"/>
          <w:highlight w:val="none"/>
          <w:lang w:val="en-US" w:eastAsia="zh-CN" w:bidi="ar-SA"/>
        </w:rPr>
        <w:t>工业模型</w:t>
      </w:r>
      <w:r>
        <w:rPr>
          <w:rFonts w:hint="eastAsia" w:ascii="仿宋_GB2312" w:hAnsi="仿宋_GB2312" w:cs="仿宋_GB2312"/>
          <w:b/>
          <w:bCs/>
          <w:smallCaps w:val="0"/>
          <w:color w:val="auto"/>
          <w:kern w:val="2"/>
          <w:sz w:val="32"/>
          <w:szCs w:val="32"/>
          <w:highlight w:val="none"/>
          <w:lang w:val="en-US" w:eastAsia="zh-CN" w:bidi="ar-SA"/>
        </w:rPr>
        <w:t>和智能体研发应用</w:t>
      </w:r>
      <w:r>
        <w:rPr>
          <w:rFonts w:hint="eastAsia" w:ascii="仿宋_GB2312" w:hAnsi="仿宋_GB2312" w:eastAsia="仿宋_GB2312" w:cs="仿宋_GB2312"/>
          <w:b/>
          <w:bCs/>
          <w:smallCaps w:val="0"/>
          <w:color w:val="auto"/>
          <w:kern w:val="2"/>
          <w:sz w:val="32"/>
          <w:szCs w:val="32"/>
          <w:highlight w:val="none"/>
          <w:lang w:val="en-US" w:eastAsia="zh-CN" w:bidi="ar-SA"/>
        </w:rPr>
        <w:t>。</w:t>
      </w:r>
      <w:r>
        <w:rPr>
          <w:rFonts w:hint="eastAsia" w:ascii="仿宋_GB2312" w:hAnsi="仿宋_GB2312" w:eastAsia="仿宋_GB2312" w:cs="仿宋_GB2312"/>
          <w:b w:val="0"/>
          <w:smallCaps w:val="0"/>
          <w:color w:val="auto"/>
          <w:kern w:val="0"/>
          <w:sz w:val="32"/>
          <w:szCs w:val="32"/>
          <w:highlight w:val="none"/>
          <w:lang w:val="en-US" w:eastAsia="zh-CN" w:bidi="ar"/>
        </w:rPr>
        <w:t>培育一批适应制造业复杂任务环境、具备跨模态数据处理能力的垂直领域大模型，</w:t>
      </w:r>
      <w:r>
        <w:rPr>
          <w:rFonts w:hint="eastAsia" w:ascii="仿宋_GB2312" w:hAnsi="仿宋_GB2312" w:cs="仿宋_GB2312"/>
          <w:b w:val="0"/>
          <w:smallCaps w:val="0"/>
          <w:color w:val="auto"/>
          <w:kern w:val="0"/>
          <w:sz w:val="32"/>
          <w:szCs w:val="32"/>
          <w:highlight w:val="none"/>
          <w:lang w:val="en-US" w:eastAsia="zh-CN" w:bidi="ar"/>
        </w:rPr>
        <w:t>以及</w:t>
      </w:r>
      <w:r>
        <w:rPr>
          <w:rFonts w:hint="eastAsia" w:ascii="仿宋_GB2312" w:hAnsi="仿宋_GB2312" w:eastAsia="仿宋_GB2312" w:cs="仿宋_GB2312"/>
          <w:b w:val="0"/>
          <w:smallCaps w:val="0"/>
          <w:color w:val="auto"/>
          <w:kern w:val="0"/>
          <w:sz w:val="32"/>
          <w:szCs w:val="32"/>
          <w:highlight w:val="none"/>
          <w:lang w:val="en-US" w:eastAsia="zh-CN" w:bidi="ar"/>
        </w:rPr>
        <w:t>面向质量监测、工艺优化、设备运维等场景专用小模型，打造</w:t>
      </w:r>
      <w:r>
        <w:rPr>
          <w:rFonts w:hint="eastAsia" w:ascii="仿宋_GB2312" w:hAnsi="仿宋_GB2312" w:cs="仿宋_GB2312"/>
          <w:b w:val="0"/>
          <w:smallCaps w:val="0"/>
          <w:color w:val="auto"/>
          <w:kern w:val="0"/>
          <w:sz w:val="32"/>
          <w:szCs w:val="32"/>
          <w:highlight w:val="none"/>
          <w:lang w:val="en-US" w:eastAsia="zh-CN" w:bidi="ar"/>
        </w:rPr>
        <w:t>一批</w:t>
      </w:r>
      <w:r>
        <w:rPr>
          <w:rFonts w:hint="eastAsia" w:ascii="仿宋_GB2312" w:hAnsi="仿宋_GB2312" w:eastAsia="仿宋_GB2312" w:cs="仿宋_GB2312"/>
          <w:b w:val="0"/>
          <w:smallCaps w:val="0"/>
          <w:color w:val="auto"/>
          <w:kern w:val="0"/>
          <w:sz w:val="32"/>
          <w:szCs w:val="32"/>
          <w:highlight w:val="none"/>
          <w:lang w:val="en-US" w:eastAsia="zh-CN" w:bidi="ar"/>
        </w:rPr>
        <w:t>具备数据处理和智能决策能力的高价值工业智能体。对于企业购买大模型服务且</w:t>
      </w:r>
      <w:r>
        <w:rPr>
          <w:rFonts w:hint="eastAsia" w:ascii="仿宋_GB2312" w:hAnsi="仿宋_GB2312" w:cs="仿宋_GB2312"/>
          <w:b w:val="0"/>
          <w:smallCaps w:val="0"/>
          <w:color w:val="auto"/>
          <w:kern w:val="0"/>
          <w:sz w:val="32"/>
          <w:szCs w:val="32"/>
          <w:highlight w:val="none"/>
          <w:lang w:val="en-US" w:eastAsia="zh-CN" w:bidi="ar"/>
        </w:rPr>
        <w:t>形成智能体应用的</w:t>
      </w:r>
      <w:r>
        <w:rPr>
          <w:rFonts w:hint="eastAsia" w:ascii="仿宋_GB2312" w:hAnsi="仿宋_GB2312" w:eastAsia="仿宋_GB2312" w:cs="仿宋_GB2312"/>
          <w:b w:val="0"/>
          <w:smallCaps w:val="0"/>
          <w:color w:val="auto"/>
          <w:kern w:val="0"/>
          <w:sz w:val="32"/>
          <w:szCs w:val="32"/>
          <w:highlight w:val="none"/>
          <w:lang w:val="en-US" w:eastAsia="zh-CN" w:bidi="ar"/>
        </w:rPr>
        <w:t>，按实际支出费用不超过30%的比例予以“模型券”资助，每家企业每年累计资助额度不超过</w:t>
      </w:r>
      <w:r>
        <w:rPr>
          <w:rFonts w:hint="eastAsia" w:ascii="仿宋_GB2312" w:hAnsi="仿宋_GB2312" w:cs="仿宋_GB2312"/>
          <w:b w:val="0"/>
          <w:smallCaps w:val="0"/>
          <w:color w:val="auto"/>
          <w:kern w:val="0"/>
          <w:sz w:val="32"/>
          <w:szCs w:val="32"/>
          <w:highlight w:val="none"/>
          <w:lang w:val="en-US" w:eastAsia="zh-CN" w:bidi="ar"/>
        </w:rPr>
        <w:t>100</w:t>
      </w:r>
      <w:r>
        <w:rPr>
          <w:rFonts w:hint="eastAsia" w:ascii="仿宋" w:hAnsi="仿宋" w:eastAsia="仿宋" w:cs="仿宋"/>
          <w:smallCaps w:val="0"/>
          <w:color w:val="auto"/>
          <w:sz w:val="32"/>
          <w:szCs w:val="32"/>
          <w:highlight w:val="none"/>
        </w:rPr>
        <w:t>万元</w:t>
      </w:r>
      <w:r>
        <w:rPr>
          <w:rFonts w:hint="eastAsia" w:ascii="仿宋" w:hAnsi="仿宋" w:eastAsia="仿宋" w:cs="仿宋"/>
          <w:smallCaps w:val="0"/>
          <w:color w:val="auto"/>
          <w:sz w:val="32"/>
          <w:szCs w:val="32"/>
          <w:highlight w:val="none"/>
          <w:lang w:eastAsia="zh-CN"/>
        </w:rPr>
        <w:t>。</w:t>
      </w:r>
      <w:r>
        <w:rPr>
          <w:rFonts w:hint="eastAsia"/>
          <w:smallCaps w:val="0"/>
          <w:color w:val="auto"/>
          <w:sz w:val="32"/>
          <w:szCs w:val="32"/>
          <w:highlight w:val="none"/>
        </w:rPr>
        <w:t>（责任单位：</w:t>
      </w:r>
      <w:r>
        <w:rPr>
          <w:rFonts w:hint="eastAsia"/>
          <w:smallCaps w:val="0"/>
          <w:color w:val="auto"/>
          <w:sz w:val="32"/>
          <w:szCs w:val="32"/>
          <w:highlight w:val="none"/>
          <w:lang w:eastAsia="zh-CN"/>
        </w:rPr>
        <w:t>市工业和信息化局</w:t>
      </w:r>
      <w:r>
        <w:rPr>
          <w:rFonts w:hint="eastAsia"/>
          <w:smallCaps w:val="0"/>
          <w:color w:val="auto"/>
          <w:sz w:val="32"/>
          <w:szCs w:val="32"/>
          <w:highlight w:val="none"/>
        </w:rPr>
        <w:t>）</w:t>
      </w:r>
    </w:p>
    <w:p>
      <w:pPr>
        <w:pStyle w:val="5"/>
        <w:keepNext/>
        <w:keepLines/>
        <w:pageBreakBefore w:val="0"/>
        <w:widowControl w:val="0"/>
        <w:numPr>
          <w:ilvl w:val="-1"/>
          <w:numId w:val="0"/>
        </w:numPr>
        <w:kinsoku/>
        <w:wordWrap/>
        <w:overflowPunct/>
        <w:topLinePunct w:val="0"/>
        <w:autoSpaceDE/>
        <w:autoSpaceDN/>
        <w:bidi w:val="0"/>
        <w:adjustRightInd/>
        <w:snapToGrid/>
        <w:spacing w:beforeLines="0" w:afterLines="0" w:line="579" w:lineRule="exact"/>
        <w:ind w:leftChars="200" w:firstLine="0" w:firstLineChars="0"/>
        <w:textAlignment w:val="auto"/>
        <w:rPr>
          <w:rFonts w:hint="eastAsia" w:ascii="楷体_GB2312" w:hAnsi="楷体_GB2312" w:eastAsia="楷体_GB2312" w:cs="楷体_GB2312"/>
          <w:smallCaps w:val="0"/>
          <w:color w:val="auto"/>
          <w:highlight w:val="none"/>
          <w:lang w:val="en-US" w:eastAsia="zh-CN"/>
        </w:rPr>
      </w:pPr>
      <w:r>
        <w:rPr>
          <w:rFonts w:hint="eastAsia" w:ascii="楷体_GB2312" w:hAnsi="楷体_GB2312" w:eastAsia="楷体_GB2312" w:cs="楷体_GB2312"/>
          <w:smallCaps w:val="0"/>
          <w:color w:val="auto"/>
          <w:highlight w:val="none"/>
          <w:lang w:val="en-US" w:eastAsia="zh-CN"/>
        </w:rPr>
        <w:t>（二）数智赋能提升行动</w:t>
      </w:r>
    </w:p>
    <w:p>
      <w:pPr>
        <w:keepNext w:val="0"/>
        <w:keepLines w:val="0"/>
        <w:pageBreakBefore w:val="0"/>
        <w:widowControl w:val="0"/>
        <w:kinsoku/>
        <w:wordWrap/>
        <w:overflowPunct/>
        <w:topLinePunct w:val="0"/>
        <w:autoSpaceDE/>
        <w:autoSpaceDN/>
        <w:bidi w:val="0"/>
        <w:adjustRightInd/>
        <w:snapToGrid/>
        <w:spacing w:line="579" w:lineRule="exact"/>
        <w:ind w:leftChars="0" w:firstLine="642" w:firstLineChars="200"/>
        <w:textAlignment w:val="auto"/>
        <w:rPr>
          <w:rFonts w:hint="eastAsia" w:ascii="仿宋_GB2312" w:hAnsi="仿宋_GB2312" w:cs="仿宋_GB2312"/>
          <w:b/>
          <w:bCs/>
          <w:smallCaps w:val="0"/>
          <w:color w:val="auto"/>
          <w:kern w:val="2"/>
          <w:sz w:val="32"/>
          <w:szCs w:val="32"/>
          <w:highlight w:val="none"/>
          <w:lang w:val="en-US" w:eastAsia="zh-CN" w:bidi="ar-SA"/>
        </w:rPr>
      </w:pPr>
      <w:bookmarkStart w:id="3" w:name="_Toc28149"/>
      <w:r>
        <w:rPr>
          <w:rFonts w:hint="eastAsia" w:ascii="仿宋_GB2312" w:hAnsi="仿宋_GB2312" w:cs="仿宋_GB2312"/>
          <w:b/>
          <w:bCs/>
          <w:smallCaps w:val="0"/>
          <w:color w:val="auto"/>
          <w:kern w:val="2"/>
          <w:sz w:val="32"/>
          <w:szCs w:val="32"/>
          <w:highlight w:val="none"/>
          <w:lang w:val="en-US" w:eastAsia="zh-CN" w:bidi="ar-SA"/>
        </w:rPr>
        <w:t>3.加快重点行业应用赋能</w:t>
      </w:r>
      <w:bookmarkEnd w:id="3"/>
      <w:r>
        <w:rPr>
          <w:rFonts w:hint="eastAsia" w:ascii="仿宋_GB2312" w:hAnsi="仿宋_GB2312" w:cs="仿宋_GB2312"/>
          <w:b/>
          <w:bCs/>
          <w:smallCaps w:val="0"/>
          <w:color w:val="auto"/>
          <w:kern w:val="2"/>
          <w:sz w:val="32"/>
          <w:szCs w:val="32"/>
          <w:highlight w:val="none"/>
          <w:lang w:val="en-US" w:eastAsia="zh-CN" w:bidi="ar-SA"/>
        </w:rPr>
        <w:t>。</w:t>
      </w:r>
      <w:r>
        <w:rPr>
          <w:rFonts w:hint="eastAsia" w:ascii="仿宋_GB2312" w:hAnsi="仿宋_GB2312" w:cs="仿宋_GB2312"/>
          <w:b w:val="0"/>
          <w:bCs w:val="0"/>
          <w:smallCaps w:val="0"/>
          <w:color w:val="auto"/>
          <w:kern w:val="2"/>
          <w:sz w:val="32"/>
          <w:szCs w:val="32"/>
          <w:highlight w:val="none"/>
          <w:lang w:val="en-US" w:eastAsia="zh-CN" w:bidi="ar-SA"/>
        </w:rPr>
        <w:t>深挖“4+3”产业体系转型需求和痛点，摸清行业数智化发展现状，针对行业上中下游生产工序流程关键环节，围绕数据链、模型链、工具链提炼标准化解决方案，形成结构化行业数智化转型图谱，助力企业快速切入，降低试错成本，提升数智化转型效率。（责任单位：市工业和信息化局）</w:t>
      </w:r>
    </w:p>
    <w:p>
      <w:pPr>
        <w:keepNext w:val="0"/>
        <w:keepLines w:val="0"/>
        <w:pageBreakBefore w:val="0"/>
        <w:widowControl w:val="0"/>
        <w:kinsoku/>
        <w:wordWrap/>
        <w:overflowPunct/>
        <w:topLinePunct w:val="0"/>
        <w:autoSpaceDE/>
        <w:autoSpaceDN/>
        <w:bidi w:val="0"/>
        <w:spacing w:line="579" w:lineRule="exact"/>
        <w:ind w:leftChars="0" w:firstLine="642" w:firstLineChars="200"/>
        <w:jc w:val="both"/>
        <w:textAlignment w:val="auto"/>
        <w:rPr>
          <w:rFonts w:hint="eastAsia" w:cs="仿宋_GB2312"/>
          <w:b w:val="0"/>
          <w:bCs w:val="0"/>
          <w:smallCaps w:val="0"/>
          <w:color w:val="auto"/>
          <w:sz w:val="32"/>
          <w:szCs w:val="32"/>
          <w:highlight w:val="none"/>
          <w:lang w:val="en-US" w:eastAsia="zh-CN"/>
        </w:rPr>
      </w:pPr>
      <w:r>
        <w:rPr>
          <w:rFonts w:hint="eastAsia"/>
          <w:b/>
          <w:bCs/>
          <w:smallCaps w:val="0"/>
          <w:color w:val="auto"/>
          <w:highlight w:val="none"/>
          <w:lang w:val="en-US" w:eastAsia="zh-CN"/>
        </w:rPr>
        <w:t>4.</w:t>
      </w:r>
      <w:r>
        <w:rPr>
          <w:rFonts w:hint="eastAsia" w:ascii="仿宋_GB2312" w:hAnsi="仿宋_GB2312" w:cs="仿宋_GB2312"/>
          <w:b/>
          <w:bCs/>
          <w:smallCaps w:val="0"/>
          <w:color w:val="auto"/>
          <w:sz w:val="32"/>
          <w:szCs w:val="32"/>
          <w:highlight w:val="none"/>
          <w:lang w:val="en-US" w:eastAsia="zh-CN"/>
        </w:rPr>
        <w:t>推动企业数智化“链式改造”。</w:t>
      </w:r>
      <w:r>
        <w:rPr>
          <w:rFonts w:hint="eastAsia" w:ascii="仿宋_GB2312" w:hAnsi="仿宋_GB2312" w:cs="仿宋_GB2312"/>
          <w:b w:val="0"/>
          <w:bCs w:val="0"/>
          <w:smallCaps w:val="0"/>
          <w:color w:val="auto"/>
          <w:kern w:val="2"/>
          <w:sz w:val="32"/>
          <w:szCs w:val="32"/>
          <w:highlight w:val="none"/>
          <w:lang w:val="en-US" w:eastAsia="zh-CN" w:bidi="ar-SA"/>
        </w:rPr>
        <w:t>支持行业龙头企业编制企业级人工智能战略规划，推动组织架构、生产流程和终端产品全链条实施AI赋能。鼓励具备技术优势的行业领军企业，通过开放平台接口、开源通用模型及工具链、共享高性能算法模型等方式，向产业链上下游输出整体技术解决方案。支持中小企业开展数智化转型，</w:t>
      </w:r>
      <w:r>
        <w:rPr>
          <w:rFonts w:hint="eastAsia" w:ascii="仿宋_GB2312" w:hAnsi="仿宋_GB2312" w:eastAsia="仿宋_GB2312" w:cs="仿宋_GB2312"/>
          <w:smallCaps w:val="0"/>
          <w:color w:val="auto"/>
          <w:sz w:val="32"/>
          <w:szCs w:val="32"/>
          <w:highlight w:val="none"/>
          <w:lang w:val="en-US" w:eastAsia="zh-CN"/>
        </w:rPr>
        <w:t>搭建线上线下供需对接平台，常态化开展数字化赋能对接，精准匹配AI赋能和数字化转型工具</w:t>
      </w:r>
      <w:r>
        <w:rPr>
          <w:rFonts w:hint="eastAsia" w:ascii="仿宋_GB2312" w:hAnsi="仿宋_GB2312" w:cs="仿宋_GB2312"/>
          <w:smallCaps w:val="0"/>
          <w:color w:val="auto"/>
          <w:sz w:val="32"/>
          <w:szCs w:val="32"/>
          <w:highlight w:val="none"/>
          <w:lang w:val="en-US" w:eastAsia="zh-CN"/>
        </w:rPr>
        <w:t>，</w:t>
      </w:r>
      <w:r>
        <w:rPr>
          <w:rFonts w:hint="eastAsia" w:ascii="仿宋_GB2312" w:hAnsi="仿宋_GB2312" w:eastAsia="仿宋_GB2312" w:cs="仿宋_GB2312"/>
          <w:smallCaps w:val="0"/>
          <w:color w:val="auto"/>
          <w:sz w:val="32"/>
          <w:szCs w:val="32"/>
          <w:highlight w:val="none"/>
          <w:lang w:val="en-US" w:eastAsia="zh-CN"/>
        </w:rPr>
        <w:t>加快行业标杆解决方案和经验推广应用。</w:t>
      </w:r>
      <w:r>
        <w:rPr>
          <w:rFonts w:hint="eastAsia" w:ascii="仿宋_GB2312" w:hAnsi="仿宋_GB2312" w:cs="仿宋_GB2312"/>
          <w:smallCaps w:val="0"/>
          <w:color w:val="auto"/>
          <w:sz w:val="32"/>
          <w:szCs w:val="32"/>
          <w:highlight w:val="none"/>
          <w:lang w:val="en-US" w:eastAsia="zh-CN"/>
        </w:rPr>
        <w:t>对</w:t>
      </w:r>
      <w:r>
        <w:rPr>
          <w:rFonts w:hint="eastAsia" w:ascii="仿宋_GB2312" w:hAnsi="仿宋_GB2312" w:eastAsia="仿宋_GB2312" w:cs="仿宋_GB2312"/>
          <w:smallCaps w:val="0"/>
          <w:color w:val="auto"/>
          <w:sz w:val="32"/>
          <w:szCs w:val="32"/>
          <w:highlight w:val="none"/>
          <w:lang w:val="en-US" w:eastAsia="zh-CN"/>
        </w:rPr>
        <w:t>制造业中小企业</w:t>
      </w:r>
      <w:r>
        <w:rPr>
          <w:rFonts w:hint="eastAsia" w:ascii="仿宋_GB2312" w:hAnsi="仿宋_GB2312" w:cs="仿宋_GB2312"/>
          <w:smallCaps w:val="0"/>
          <w:color w:val="auto"/>
          <w:sz w:val="32"/>
          <w:szCs w:val="32"/>
          <w:highlight w:val="none"/>
          <w:lang w:val="en-US" w:eastAsia="zh-CN"/>
        </w:rPr>
        <w:t>实施</w:t>
      </w:r>
      <w:r>
        <w:rPr>
          <w:rFonts w:hint="eastAsia" w:ascii="仿宋_GB2312" w:hAnsi="仿宋_GB2312" w:eastAsia="仿宋_GB2312" w:cs="仿宋_GB2312"/>
          <w:smallCaps w:val="0"/>
          <w:color w:val="auto"/>
          <w:sz w:val="32"/>
          <w:szCs w:val="32"/>
          <w:highlight w:val="none"/>
          <w:lang w:val="en-US" w:eastAsia="zh-CN"/>
        </w:rPr>
        <w:t>AI赋能</w:t>
      </w:r>
      <w:r>
        <w:rPr>
          <w:rFonts w:hint="eastAsia" w:ascii="仿宋_GB2312" w:hAnsi="仿宋_GB2312" w:cs="仿宋_GB2312"/>
          <w:smallCaps w:val="0"/>
          <w:color w:val="auto"/>
          <w:sz w:val="32"/>
          <w:szCs w:val="32"/>
          <w:highlight w:val="none"/>
          <w:lang w:val="en-US" w:eastAsia="zh-CN"/>
        </w:rPr>
        <w:t>项目，且企业</w:t>
      </w:r>
      <w:r>
        <w:rPr>
          <w:rFonts w:hint="eastAsia" w:ascii="仿宋_GB2312" w:hAnsi="仿宋_GB2312" w:eastAsia="仿宋_GB2312" w:cs="仿宋_GB2312"/>
          <w:smallCaps w:val="0"/>
          <w:color w:val="auto"/>
          <w:sz w:val="32"/>
          <w:szCs w:val="32"/>
          <w:highlight w:val="none"/>
          <w:lang w:val="en-US" w:eastAsia="zh-CN"/>
        </w:rPr>
        <w:t>达到数字化</w:t>
      </w:r>
      <w:r>
        <w:rPr>
          <w:rFonts w:hint="eastAsia" w:ascii="仿宋_GB2312" w:hAnsi="仿宋_GB2312" w:cs="仿宋_GB2312"/>
          <w:smallCaps w:val="0"/>
          <w:color w:val="auto"/>
          <w:sz w:val="32"/>
          <w:szCs w:val="32"/>
          <w:highlight w:val="none"/>
          <w:lang w:val="en-US" w:eastAsia="zh-CN"/>
        </w:rPr>
        <w:t>水平</w:t>
      </w:r>
      <w:r>
        <w:rPr>
          <w:rFonts w:hint="eastAsia" w:ascii="仿宋_GB2312" w:hAnsi="仿宋_GB2312" w:eastAsia="仿宋_GB2312" w:cs="仿宋_GB2312"/>
          <w:smallCaps w:val="0"/>
          <w:color w:val="auto"/>
          <w:sz w:val="32"/>
          <w:szCs w:val="32"/>
          <w:highlight w:val="none"/>
          <w:lang w:val="en-US" w:eastAsia="zh-CN"/>
        </w:rPr>
        <w:t>二级以上的，按项目</w:t>
      </w:r>
      <w:r>
        <w:rPr>
          <w:rFonts w:hint="eastAsia" w:ascii="仿宋_GB2312" w:hAnsi="仿宋_GB2312" w:cs="仿宋_GB2312"/>
          <w:smallCaps w:val="0"/>
          <w:color w:val="auto"/>
          <w:sz w:val="32"/>
          <w:szCs w:val="32"/>
          <w:highlight w:val="none"/>
          <w:lang w:val="en-US" w:eastAsia="zh-CN"/>
        </w:rPr>
        <w:t>软硬件投入</w:t>
      </w:r>
      <w:r>
        <w:rPr>
          <w:rFonts w:hint="eastAsia" w:ascii="仿宋_GB2312" w:hAnsi="仿宋_GB2312" w:eastAsia="仿宋_GB2312" w:cs="仿宋_GB2312"/>
          <w:smallCaps w:val="0"/>
          <w:color w:val="auto"/>
          <w:sz w:val="32"/>
          <w:szCs w:val="32"/>
          <w:highlight w:val="none"/>
          <w:lang w:val="en-US" w:eastAsia="zh-CN"/>
        </w:rPr>
        <w:t>不超过</w:t>
      </w:r>
      <w:r>
        <w:rPr>
          <w:rFonts w:hint="eastAsia" w:ascii="仿宋_GB2312" w:hAnsi="仿宋_GB2312" w:cs="仿宋_GB2312"/>
          <w:smallCaps w:val="0"/>
          <w:color w:val="auto"/>
          <w:sz w:val="32"/>
          <w:szCs w:val="32"/>
          <w:highlight w:val="none"/>
          <w:lang w:val="en-US" w:eastAsia="zh-CN"/>
        </w:rPr>
        <w:t>3</w:t>
      </w:r>
      <w:r>
        <w:rPr>
          <w:rFonts w:hint="eastAsia" w:ascii="仿宋_GB2312" w:hAnsi="仿宋_GB2312" w:eastAsia="仿宋_GB2312" w:cs="仿宋_GB2312"/>
          <w:smallCaps w:val="0"/>
          <w:color w:val="auto"/>
          <w:sz w:val="32"/>
          <w:szCs w:val="32"/>
          <w:highlight w:val="none"/>
          <w:lang w:val="en-US" w:eastAsia="zh-CN"/>
        </w:rPr>
        <w:t>0%的比例，予以</w:t>
      </w:r>
      <w:r>
        <w:rPr>
          <w:rFonts w:hint="eastAsia" w:ascii="仿宋_GB2312" w:hAnsi="仿宋_GB2312" w:cs="仿宋_GB2312"/>
          <w:smallCaps w:val="0"/>
          <w:color w:val="auto"/>
          <w:sz w:val="32"/>
          <w:szCs w:val="32"/>
          <w:highlight w:val="none"/>
          <w:lang w:val="en-US" w:eastAsia="zh-CN"/>
        </w:rPr>
        <w:t>最高50万元支持。</w:t>
      </w:r>
      <w:r>
        <w:rPr>
          <w:rFonts w:hint="eastAsia"/>
          <w:smallCaps w:val="0"/>
          <w:color w:val="auto"/>
          <w:sz w:val="32"/>
          <w:szCs w:val="32"/>
          <w:highlight w:val="none"/>
        </w:rPr>
        <w:t>（责任单位：</w:t>
      </w:r>
      <w:r>
        <w:rPr>
          <w:rFonts w:hint="eastAsia"/>
          <w:smallCaps w:val="0"/>
          <w:color w:val="auto"/>
          <w:sz w:val="32"/>
          <w:szCs w:val="32"/>
          <w:highlight w:val="none"/>
          <w:lang w:eastAsia="zh-CN"/>
        </w:rPr>
        <w:t>市工业和信息化局</w:t>
      </w:r>
      <w:r>
        <w:rPr>
          <w:rFonts w:hint="eastAsia"/>
          <w:smallCaps w:val="0"/>
          <w:color w:val="auto"/>
          <w:sz w:val="32"/>
          <w:szCs w:val="32"/>
          <w:highlight w:val="none"/>
        </w:rPr>
        <w:t>）</w:t>
      </w:r>
    </w:p>
    <w:p>
      <w:pPr>
        <w:pStyle w:val="5"/>
        <w:keepNext/>
        <w:keepLines/>
        <w:pageBreakBefore w:val="0"/>
        <w:widowControl w:val="0"/>
        <w:numPr>
          <w:ilvl w:val="-1"/>
          <w:numId w:val="0"/>
        </w:numPr>
        <w:kinsoku/>
        <w:wordWrap/>
        <w:overflowPunct/>
        <w:topLinePunct w:val="0"/>
        <w:autoSpaceDE/>
        <w:autoSpaceDN/>
        <w:bidi w:val="0"/>
        <w:adjustRightInd/>
        <w:snapToGrid/>
        <w:spacing w:beforeLines="0" w:afterLines="0" w:line="579" w:lineRule="exact"/>
        <w:ind w:leftChars="200" w:firstLine="0" w:firstLineChars="0"/>
        <w:textAlignment w:val="auto"/>
        <w:rPr>
          <w:rFonts w:hint="eastAsia" w:ascii="楷体_GB2312" w:hAnsi="楷体_GB2312" w:eastAsia="楷体_GB2312" w:cs="楷体_GB2312"/>
          <w:smallCaps w:val="0"/>
          <w:color w:val="auto"/>
          <w:highlight w:val="none"/>
          <w:lang w:val="en-US" w:eastAsia="zh-CN"/>
        </w:rPr>
      </w:pPr>
      <w:r>
        <w:rPr>
          <w:rFonts w:hint="eastAsia" w:ascii="楷体_GB2312" w:hAnsi="楷体_GB2312" w:eastAsia="楷体_GB2312" w:cs="楷体_GB2312"/>
          <w:smallCaps w:val="0"/>
          <w:color w:val="auto"/>
          <w:highlight w:val="none"/>
          <w:lang w:val="en-US" w:eastAsia="zh-CN"/>
        </w:rPr>
        <w:t>（三）智能工厂建设行动</w:t>
      </w:r>
    </w:p>
    <w:p>
      <w:pPr>
        <w:pageBreakBefore w:val="0"/>
        <w:widowControl w:val="0"/>
        <w:kinsoku/>
        <w:wordWrap/>
        <w:overflowPunct/>
        <w:topLinePunct w:val="0"/>
        <w:autoSpaceDE/>
        <w:autoSpaceDN/>
        <w:bidi w:val="0"/>
        <w:spacing w:line="579" w:lineRule="exact"/>
        <w:ind w:leftChars="0" w:firstLine="642" w:firstLineChars="200"/>
        <w:jc w:val="both"/>
        <w:textAlignment w:val="auto"/>
        <w:rPr>
          <w:rFonts w:hint="default" w:ascii="Times New Roman" w:hAnsi="Times New Roman" w:eastAsia="仿宋_GB2312"/>
          <w:b w:val="0"/>
          <w:bCs w:val="0"/>
          <w:smallCaps w:val="0"/>
          <w:color w:val="auto"/>
          <w:highlight w:val="none"/>
          <w:lang w:val="en-US" w:eastAsia="zh-CN"/>
        </w:rPr>
      </w:pPr>
      <w:r>
        <w:rPr>
          <w:rFonts w:hint="eastAsia" w:ascii="仿宋_GB2312" w:hAnsi="仿宋_GB2312" w:cs="仿宋_GB2312"/>
          <w:b/>
          <w:bCs/>
          <w:smallCaps w:val="0"/>
          <w:color w:val="auto"/>
          <w:sz w:val="32"/>
          <w:szCs w:val="32"/>
          <w:highlight w:val="none"/>
          <w:lang w:val="en-US" w:eastAsia="zh-CN"/>
        </w:rPr>
        <w:t>5.推动企业智能化技术改造</w:t>
      </w:r>
      <w:r>
        <w:rPr>
          <w:rFonts w:hint="eastAsia" w:ascii="仿宋_GB2312" w:hAnsi="仿宋_GB2312"/>
          <w:b/>
          <w:bCs/>
          <w:smallCaps w:val="0"/>
          <w:color w:val="auto"/>
          <w:highlight w:val="none"/>
        </w:rPr>
        <w:t>。</w:t>
      </w:r>
      <w:r>
        <w:rPr>
          <w:rFonts w:hint="eastAsia" w:ascii="Times New Roman" w:hAnsi="Times New Roman" w:eastAsia="仿宋_GB2312"/>
          <w:b w:val="0"/>
          <w:bCs w:val="0"/>
          <w:smallCaps w:val="0"/>
          <w:color w:val="auto"/>
          <w:highlight w:val="none"/>
          <w:lang w:val="en-US" w:eastAsia="zh-CN"/>
        </w:rPr>
        <w:t>发挥</w:t>
      </w:r>
      <w:r>
        <w:rPr>
          <w:rFonts w:hint="eastAsia"/>
          <w:b w:val="0"/>
          <w:bCs w:val="0"/>
          <w:smallCaps w:val="0"/>
          <w:color w:val="auto"/>
          <w:highlight w:val="none"/>
          <w:lang w:val="en-US" w:eastAsia="zh-CN"/>
        </w:rPr>
        <w:t>各级</w:t>
      </w:r>
      <w:r>
        <w:rPr>
          <w:rFonts w:hint="eastAsia" w:ascii="Times New Roman" w:hAnsi="Times New Roman" w:eastAsia="仿宋_GB2312"/>
          <w:b w:val="0"/>
          <w:bCs w:val="0"/>
          <w:smallCaps w:val="0"/>
          <w:color w:val="auto"/>
          <w:highlight w:val="none"/>
          <w:lang w:val="en-US" w:eastAsia="zh-CN"/>
        </w:rPr>
        <w:t>技术改造政策引导作用，鼓励企业以数智化改造为重点，围绕生产作业、仓储物流、质量管控等环节，推动数控机床与基础制造装备、增材制造装备、工业机器人、工业控制装备、智能物流装备、传感与检测装备等</w:t>
      </w:r>
      <w:r>
        <w:rPr>
          <w:rFonts w:hint="eastAsia"/>
          <w:b w:val="0"/>
          <w:bCs w:val="0"/>
          <w:smallCaps w:val="0"/>
          <w:color w:val="auto"/>
          <w:highlight w:val="none"/>
          <w:lang w:val="en-US" w:eastAsia="zh-CN"/>
        </w:rPr>
        <w:t>设备</w:t>
      </w:r>
      <w:r>
        <w:rPr>
          <w:rFonts w:hint="eastAsia" w:ascii="Times New Roman" w:hAnsi="Times New Roman" w:eastAsia="仿宋_GB2312"/>
          <w:b w:val="0"/>
          <w:bCs w:val="0"/>
          <w:smallCaps w:val="0"/>
          <w:color w:val="auto"/>
          <w:highlight w:val="none"/>
          <w:lang w:val="en-US" w:eastAsia="zh-CN"/>
        </w:rPr>
        <w:t>更新，提升数字化生产设备普及率。</w:t>
      </w:r>
      <w:r>
        <w:rPr>
          <w:rFonts w:hint="default" w:ascii="Times New Roman" w:hAnsi="Times New Roman" w:eastAsia="仿宋_GB2312"/>
          <w:b w:val="0"/>
          <w:bCs w:val="0"/>
          <w:color w:val="auto"/>
          <w:highlight w:val="none"/>
        </w:rPr>
        <w:t>对实施工业技术改造项目，按照不超过新设备购置额（不含税）的15%给予补贴，单个企业（项目）最高不超过1000万元。</w:t>
      </w:r>
      <w:r>
        <w:rPr>
          <w:rFonts w:hint="eastAsia" w:ascii="Times New Roman" w:hAnsi="Times New Roman" w:eastAsia="仿宋_GB2312"/>
          <w:b w:val="0"/>
          <w:bCs w:val="0"/>
          <w:smallCaps w:val="0"/>
          <w:color w:val="auto"/>
          <w:highlight w:val="none"/>
          <w:lang w:val="en-US" w:eastAsia="zh-CN"/>
        </w:rPr>
        <w:t>（责任单位：市工业和信息化局）</w:t>
      </w:r>
    </w:p>
    <w:p>
      <w:pPr>
        <w:keepNext w:val="0"/>
        <w:keepLines w:val="0"/>
        <w:pageBreakBefore w:val="0"/>
        <w:widowControl w:val="0"/>
        <w:kinsoku/>
        <w:wordWrap/>
        <w:overflowPunct/>
        <w:topLinePunct w:val="0"/>
        <w:autoSpaceDE/>
        <w:autoSpaceDN/>
        <w:bidi w:val="0"/>
        <w:adjustRightInd/>
        <w:snapToGrid/>
        <w:spacing w:line="579" w:lineRule="exact"/>
        <w:ind w:leftChars="0" w:firstLine="642" w:firstLineChars="200"/>
        <w:textAlignment w:val="auto"/>
        <w:rPr>
          <w:rFonts w:hint="eastAsia" w:ascii="仿宋_GB2312" w:hAnsi="仿宋_GB2312" w:cs="仿宋_GB2312"/>
          <w:b/>
          <w:bCs/>
          <w:smallCaps w:val="0"/>
          <w:color w:val="auto"/>
          <w:sz w:val="32"/>
          <w:szCs w:val="32"/>
          <w:highlight w:val="none"/>
          <w:lang w:val="en-US" w:eastAsia="zh-CN"/>
        </w:rPr>
      </w:pPr>
      <w:r>
        <w:rPr>
          <w:rFonts w:hint="eastAsia" w:ascii="仿宋_GB2312" w:hAnsi="仿宋_GB2312"/>
          <w:b/>
          <w:bCs/>
          <w:smallCaps w:val="0"/>
          <w:color w:val="auto"/>
          <w:highlight w:val="none"/>
          <w:lang w:val="en-US" w:eastAsia="zh-CN"/>
        </w:rPr>
        <w:t>6.支持智能工厂建设。</w:t>
      </w:r>
      <w:r>
        <w:rPr>
          <w:rFonts w:hint="eastAsia" w:ascii="仿宋_GB2312" w:hAnsi="仿宋_GB2312" w:eastAsia="仿宋_GB2312" w:cs="仿宋_GB2312"/>
          <w:smallCaps w:val="0"/>
          <w:color w:val="auto"/>
          <w:sz w:val="32"/>
          <w:szCs w:val="32"/>
          <w:highlight w:val="none"/>
          <w:lang w:val="en-US" w:eastAsia="zh-CN"/>
        </w:rPr>
        <w:t>支持工业企业通过部署智能制造装备、工业软件，</w:t>
      </w:r>
      <w:r>
        <w:rPr>
          <w:rFonts w:hint="eastAsia" w:ascii="仿宋_GB2312" w:hAnsi="仿宋_GB2312" w:cs="仿宋_GB2312"/>
          <w:smallCaps w:val="0"/>
          <w:color w:val="auto"/>
          <w:sz w:val="32"/>
          <w:szCs w:val="32"/>
          <w:highlight w:val="none"/>
          <w:lang w:val="en-US" w:eastAsia="zh-CN"/>
        </w:rPr>
        <w:t>强化</w:t>
      </w:r>
      <w:r>
        <w:rPr>
          <w:rFonts w:hint="eastAsia" w:ascii="仿宋_GB2312" w:hAnsi="仿宋_GB2312" w:eastAsia="仿宋_GB2312" w:cs="仿宋_GB2312"/>
          <w:smallCaps w:val="0"/>
          <w:color w:val="auto"/>
          <w:sz w:val="32"/>
          <w:szCs w:val="32"/>
          <w:highlight w:val="none"/>
          <w:lang w:val="en-US" w:eastAsia="zh-CN"/>
        </w:rPr>
        <w:t>数据挖掘与模型开发能力，</w:t>
      </w:r>
      <w:r>
        <w:rPr>
          <w:rFonts w:hint="eastAsia" w:ascii="仿宋_GB2312" w:hAnsi="仿宋_GB2312" w:cs="仿宋_GB2312"/>
          <w:smallCaps w:val="0"/>
          <w:color w:val="auto"/>
          <w:sz w:val="32"/>
          <w:szCs w:val="32"/>
          <w:highlight w:val="none"/>
          <w:lang w:val="en-US" w:eastAsia="zh-CN"/>
        </w:rPr>
        <w:t>集成优化制造各环节，革新</w:t>
      </w:r>
      <w:r>
        <w:rPr>
          <w:rFonts w:hint="eastAsia" w:ascii="仿宋_GB2312" w:hAnsi="仿宋_GB2312" w:eastAsia="仿宋_GB2312" w:cs="仿宋_GB2312"/>
          <w:smallCaps w:val="0"/>
          <w:color w:val="auto"/>
          <w:sz w:val="32"/>
          <w:szCs w:val="32"/>
          <w:highlight w:val="none"/>
          <w:lang w:val="en-US" w:eastAsia="zh-CN"/>
        </w:rPr>
        <w:t>业务模式和企业形态</w:t>
      </w:r>
      <w:r>
        <w:rPr>
          <w:rFonts w:hint="eastAsia" w:ascii="仿宋_GB2312" w:hAnsi="仿宋_GB2312" w:cs="仿宋_GB2312"/>
          <w:smallCaps w:val="0"/>
          <w:color w:val="auto"/>
          <w:sz w:val="32"/>
          <w:szCs w:val="32"/>
          <w:highlight w:val="none"/>
          <w:lang w:val="en-US" w:eastAsia="zh-CN"/>
        </w:rPr>
        <w:t>，引领行业研发范式、生产方式、协同模式的智能化变革。对进入国家</w:t>
      </w:r>
      <w:r>
        <w:rPr>
          <w:rFonts w:hint="eastAsia" w:ascii="仿宋_GB2312" w:hAnsi="仿宋_GB2312" w:eastAsia="仿宋_GB2312" w:cs="仿宋_GB2312"/>
          <w:smallCaps w:val="0"/>
          <w:color w:val="auto"/>
          <w:sz w:val="32"/>
          <w:szCs w:val="32"/>
          <w:highlight w:val="none"/>
          <w:lang w:val="en-US" w:eastAsia="zh-CN"/>
        </w:rPr>
        <w:t>卓越级、领航级智能工厂</w:t>
      </w:r>
      <w:r>
        <w:rPr>
          <w:rFonts w:hint="eastAsia" w:ascii="仿宋_GB2312" w:hAnsi="仿宋_GB2312" w:cs="仿宋_GB2312"/>
          <w:smallCaps w:val="0"/>
          <w:color w:val="auto"/>
          <w:sz w:val="32"/>
          <w:szCs w:val="32"/>
          <w:highlight w:val="none"/>
          <w:lang w:val="en-US" w:eastAsia="zh-CN"/>
        </w:rPr>
        <w:t>培育名单的企业</w:t>
      </w:r>
      <w:r>
        <w:rPr>
          <w:rFonts w:hint="eastAsia" w:ascii="仿宋_GB2312" w:hAnsi="仿宋_GB2312" w:eastAsia="仿宋_GB2312" w:cs="仿宋_GB2312"/>
          <w:smallCaps w:val="0"/>
          <w:color w:val="auto"/>
          <w:sz w:val="32"/>
          <w:szCs w:val="32"/>
          <w:highlight w:val="none"/>
          <w:lang w:val="en-US" w:eastAsia="zh-CN"/>
        </w:rPr>
        <w:t>，分别予以最高</w:t>
      </w:r>
      <w:r>
        <w:rPr>
          <w:rFonts w:hint="eastAsia" w:ascii="仿宋_GB2312" w:hAnsi="仿宋_GB2312" w:cs="仿宋_GB2312"/>
          <w:smallCaps w:val="0"/>
          <w:color w:val="auto"/>
          <w:sz w:val="32"/>
          <w:szCs w:val="32"/>
          <w:highlight w:val="none"/>
          <w:lang w:val="en-US" w:eastAsia="zh-CN"/>
        </w:rPr>
        <w:t>10</w:t>
      </w:r>
      <w:r>
        <w:rPr>
          <w:rFonts w:hint="eastAsia" w:ascii="仿宋_GB2312" w:hAnsi="仿宋_GB2312" w:eastAsia="仿宋_GB2312" w:cs="仿宋_GB2312"/>
          <w:smallCaps w:val="0"/>
          <w:color w:val="auto"/>
          <w:sz w:val="32"/>
          <w:szCs w:val="32"/>
          <w:highlight w:val="none"/>
          <w:lang w:val="en-US" w:eastAsia="zh-CN"/>
        </w:rPr>
        <w:t>0万元、</w:t>
      </w:r>
      <w:r>
        <w:rPr>
          <w:rFonts w:hint="eastAsia" w:ascii="仿宋_GB2312" w:hAnsi="仿宋_GB2312" w:cs="仿宋_GB2312"/>
          <w:smallCaps w:val="0"/>
          <w:color w:val="auto"/>
          <w:sz w:val="32"/>
          <w:szCs w:val="32"/>
          <w:highlight w:val="none"/>
          <w:lang w:val="en-US" w:eastAsia="zh-CN"/>
        </w:rPr>
        <w:t>5</w:t>
      </w:r>
      <w:r>
        <w:rPr>
          <w:rFonts w:hint="eastAsia" w:ascii="仿宋_GB2312" w:hAnsi="仿宋_GB2312" w:eastAsia="仿宋_GB2312" w:cs="仿宋_GB2312"/>
          <w:smallCaps w:val="0"/>
          <w:color w:val="auto"/>
          <w:sz w:val="32"/>
          <w:szCs w:val="32"/>
          <w:highlight w:val="none"/>
          <w:lang w:val="en-US" w:eastAsia="zh-CN"/>
        </w:rPr>
        <w:t>00万元一次性奖励</w:t>
      </w:r>
      <w:r>
        <w:rPr>
          <w:rFonts w:hint="default" w:ascii="Times New Roman" w:hAnsi="Times New Roman" w:eastAsia="仿宋_GB2312"/>
          <w:b w:val="0"/>
          <w:bCs w:val="0"/>
          <w:color w:val="auto"/>
          <w:highlight w:val="none"/>
        </w:rPr>
        <w:t>。</w:t>
      </w:r>
      <w:r>
        <w:rPr>
          <w:rFonts w:hint="eastAsia"/>
          <w:smallCaps w:val="0"/>
          <w:color w:val="auto"/>
          <w:sz w:val="32"/>
          <w:szCs w:val="32"/>
          <w:highlight w:val="none"/>
        </w:rPr>
        <w:t>（责任单位：</w:t>
      </w:r>
      <w:r>
        <w:rPr>
          <w:rFonts w:hint="eastAsia"/>
          <w:smallCaps w:val="0"/>
          <w:color w:val="auto"/>
          <w:sz w:val="32"/>
          <w:szCs w:val="32"/>
          <w:highlight w:val="none"/>
          <w:lang w:eastAsia="zh-CN"/>
        </w:rPr>
        <w:t>市工业和信息化局</w:t>
      </w:r>
      <w:r>
        <w:rPr>
          <w:rFonts w:hint="eastAsia"/>
          <w:smallCaps w:val="0"/>
          <w:color w:val="auto"/>
          <w:sz w:val="32"/>
          <w:szCs w:val="32"/>
          <w:highlight w:val="none"/>
        </w:rPr>
        <w:t>）</w:t>
      </w:r>
    </w:p>
    <w:p>
      <w:pPr>
        <w:pStyle w:val="5"/>
        <w:keepNext/>
        <w:keepLines/>
        <w:pageBreakBefore w:val="0"/>
        <w:widowControl w:val="0"/>
        <w:numPr>
          <w:ilvl w:val="-1"/>
          <w:numId w:val="0"/>
        </w:numPr>
        <w:kinsoku/>
        <w:wordWrap/>
        <w:overflowPunct/>
        <w:topLinePunct w:val="0"/>
        <w:autoSpaceDE/>
        <w:autoSpaceDN/>
        <w:bidi w:val="0"/>
        <w:adjustRightInd/>
        <w:snapToGrid/>
        <w:spacing w:beforeLines="0" w:afterLines="0" w:line="579" w:lineRule="exact"/>
        <w:ind w:leftChars="200" w:firstLine="0" w:firstLineChars="0"/>
        <w:textAlignment w:val="auto"/>
        <w:rPr>
          <w:rFonts w:hint="eastAsia" w:ascii="楷体_GB2312" w:hAnsi="楷体_GB2312" w:eastAsia="楷体_GB2312" w:cs="楷体_GB2312"/>
          <w:smallCaps w:val="0"/>
          <w:color w:val="auto"/>
          <w:highlight w:val="none"/>
          <w:lang w:val="en-US" w:eastAsia="zh-CN"/>
        </w:rPr>
      </w:pPr>
      <w:bookmarkStart w:id="4" w:name="_Toc29594"/>
      <w:r>
        <w:rPr>
          <w:rFonts w:hint="eastAsia" w:ascii="楷体_GB2312" w:hAnsi="楷体_GB2312" w:eastAsia="楷体_GB2312" w:cs="楷体_GB2312"/>
          <w:smallCaps w:val="0"/>
          <w:color w:val="auto"/>
          <w:highlight w:val="none"/>
          <w:lang w:val="en-US" w:eastAsia="zh-CN"/>
        </w:rPr>
        <w:t>（四）数智转型伙伴行动</w:t>
      </w:r>
    </w:p>
    <w:p>
      <w:pPr>
        <w:keepNext w:val="0"/>
        <w:keepLines w:val="0"/>
        <w:pageBreakBefore w:val="0"/>
        <w:widowControl w:val="0"/>
        <w:kinsoku/>
        <w:wordWrap/>
        <w:overflowPunct/>
        <w:topLinePunct w:val="0"/>
        <w:autoSpaceDE/>
        <w:autoSpaceDN/>
        <w:bidi w:val="0"/>
        <w:adjustRightInd/>
        <w:snapToGrid/>
        <w:spacing w:line="579" w:lineRule="exact"/>
        <w:ind w:leftChars="0" w:firstLine="642" w:firstLineChars="200"/>
        <w:textAlignment w:val="auto"/>
        <w:rPr>
          <w:rFonts w:hint="eastAsia" w:ascii="仿宋_GB2312" w:hAnsi="仿宋_GB2312"/>
          <w:smallCaps w:val="0"/>
          <w:color w:val="auto"/>
          <w:sz w:val="32"/>
          <w:szCs w:val="32"/>
          <w:highlight w:val="none"/>
        </w:rPr>
      </w:pPr>
      <w:r>
        <w:rPr>
          <w:rFonts w:hint="eastAsia" w:ascii="仿宋_GB2312" w:hAnsi="宋体" w:cs="仿宋_GB2312"/>
          <w:b/>
          <w:bCs/>
          <w:i w:val="0"/>
          <w:iCs w:val="0"/>
          <w:caps w:val="0"/>
          <w:smallCaps w:val="0"/>
          <w:color w:val="auto"/>
          <w:spacing w:val="0"/>
          <w:kern w:val="0"/>
          <w:sz w:val="32"/>
          <w:szCs w:val="32"/>
          <w:highlight w:val="none"/>
          <w:lang w:val="en-US" w:eastAsia="zh-CN" w:bidi="ar"/>
        </w:rPr>
        <w:t>7.发展赋能应用服务商</w:t>
      </w:r>
      <w:bookmarkEnd w:id="4"/>
      <w:r>
        <w:rPr>
          <w:rFonts w:hint="eastAsia" w:ascii="仿宋_GB2312" w:hAnsi="宋体" w:cs="仿宋_GB2312"/>
          <w:b/>
          <w:bCs/>
          <w:i w:val="0"/>
          <w:iCs w:val="0"/>
          <w:caps w:val="0"/>
          <w:smallCaps w:val="0"/>
          <w:color w:val="auto"/>
          <w:spacing w:val="0"/>
          <w:kern w:val="0"/>
          <w:sz w:val="32"/>
          <w:szCs w:val="32"/>
          <w:highlight w:val="none"/>
          <w:lang w:val="en-US" w:eastAsia="zh-CN" w:bidi="ar"/>
        </w:rPr>
        <w:t>。</w:t>
      </w:r>
      <w:r>
        <w:rPr>
          <w:rFonts w:hint="eastAsia" w:ascii="仿宋_GB2312" w:hAnsi="仿宋_GB2312" w:cs="仿宋_GB2312"/>
          <w:i w:val="0"/>
          <w:iCs w:val="0"/>
          <w:caps w:val="0"/>
          <w:smallCaps w:val="0"/>
          <w:color w:val="auto"/>
          <w:spacing w:val="0"/>
          <w:kern w:val="0"/>
          <w:sz w:val="32"/>
          <w:szCs w:val="32"/>
          <w:highlight w:val="none"/>
          <w:lang w:val="en-US" w:eastAsia="zh-CN" w:bidi="ar"/>
        </w:rPr>
        <w:t>推动珠海数字化转型服务商、工业互联网服务商加快向数智化服务商转型，支持综合集成服务商发展壮大。以“市场+资源+应用场景”模式，加速场景项目合作，引育10家以上具有行业竞争力的综合服务商。定期发布优质服务商目录，组建专家人才库，助力企业人工智能战略转型。</w:t>
      </w:r>
      <w:r>
        <w:rPr>
          <w:rFonts w:hint="eastAsia" w:ascii="仿宋_GB2312" w:hAnsi="仿宋_GB2312"/>
          <w:smallCaps w:val="0"/>
          <w:color w:val="auto"/>
          <w:sz w:val="32"/>
          <w:szCs w:val="32"/>
          <w:highlight w:val="none"/>
        </w:rPr>
        <w:t>（责任单位：</w:t>
      </w:r>
      <w:r>
        <w:rPr>
          <w:rFonts w:hint="eastAsia" w:ascii="仿宋_GB2312" w:hAnsi="仿宋_GB2312"/>
          <w:smallCaps w:val="0"/>
          <w:color w:val="auto"/>
          <w:sz w:val="32"/>
          <w:szCs w:val="32"/>
          <w:highlight w:val="none"/>
          <w:lang w:eastAsia="zh-CN"/>
        </w:rPr>
        <w:t>市工业和信息化局</w:t>
      </w:r>
      <w:r>
        <w:rPr>
          <w:rFonts w:hint="eastAsia" w:ascii="仿宋_GB2312" w:hAnsi="仿宋_GB2312"/>
          <w:smallCap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leftChars="0" w:firstLine="642" w:firstLineChars="200"/>
        <w:textAlignment w:val="auto"/>
        <w:rPr>
          <w:rFonts w:hint="eastAsia" w:ascii="仿宋_GB2312" w:hAnsi="仿宋_GB2312" w:eastAsia="仿宋_GB2312" w:cs="仿宋_GB2312"/>
          <w:smallCaps w:val="0"/>
          <w:color w:val="auto"/>
          <w:sz w:val="32"/>
          <w:szCs w:val="32"/>
          <w:highlight w:val="none"/>
          <w:lang w:val="en-US" w:eastAsia="zh-CN"/>
        </w:rPr>
      </w:pPr>
      <w:r>
        <w:rPr>
          <w:rFonts w:hint="eastAsia" w:ascii="仿宋_GB2312" w:hAnsi="仿宋_GB2312" w:cs="仿宋_GB2312"/>
          <w:b/>
          <w:bCs/>
          <w:smallCaps w:val="0"/>
          <w:color w:val="auto"/>
          <w:kern w:val="2"/>
          <w:sz w:val="32"/>
          <w:szCs w:val="32"/>
          <w:highlight w:val="none"/>
          <w:lang w:val="en-US" w:eastAsia="zh-CN" w:bidi="ar-SA"/>
        </w:rPr>
        <w:t>8.</w:t>
      </w:r>
      <w:r>
        <w:rPr>
          <w:rStyle w:val="14"/>
          <w:rFonts w:hint="eastAsia" w:cs="Times New Roman"/>
          <w:b/>
          <w:bCs/>
          <w:i w:val="0"/>
          <w:iCs w:val="0"/>
          <w:caps w:val="0"/>
          <w:smallCaps w:val="0"/>
          <w:color w:val="auto"/>
          <w:spacing w:val="0"/>
          <w:kern w:val="0"/>
          <w:sz w:val="32"/>
          <w:szCs w:val="32"/>
          <w:highlight w:val="none"/>
          <w:u w:val="none"/>
          <w:shd w:val="clear" w:color="auto" w:fill="FFFFFF"/>
          <w:lang w:val="en-US" w:eastAsia="zh-CN" w:bidi="ar"/>
        </w:rPr>
        <w:t>探索“模数共振”新机制</w:t>
      </w:r>
      <w:r>
        <w:rPr>
          <w:rFonts w:hint="eastAsia"/>
          <w:b/>
          <w:bCs/>
          <w:smallCaps w:val="0"/>
          <w:color w:val="auto"/>
          <w:sz w:val="32"/>
          <w:szCs w:val="32"/>
          <w:highlight w:val="none"/>
          <w:lang w:eastAsia="zh-CN"/>
        </w:rPr>
        <w:t>。</w:t>
      </w:r>
      <w:r>
        <w:rPr>
          <w:rFonts w:hint="eastAsia" w:ascii="仿宋_GB2312" w:hAnsi="仿宋_GB2312" w:cs="仿宋_GB2312"/>
          <w:b w:val="0"/>
          <w:bCs w:val="0"/>
          <w:smallCaps w:val="0"/>
          <w:color w:val="auto"/>
          <w:kern w:val="2"/>
          <w:sz w:val="32"/>
          <w:szCs w:val="32"/>
          <w:highlight w:val="none"/>
          <w:lang w:val="en-US" w:eastAsia="zh-CN" w:bidi="ar-SA"/>
        </w:rPr>
        <w:t>推动</w:t>
      </w:r>
      <w:r>
        <w:rPr>
          <w:rStyle w:val="14"/>
          <w:rFonts w:hint="eastAsia" w:cs="Times New Roman"/>
          <w:b w:val="0"/>
          <w:bCs w:val="0"/>
          <w:i w:val="0"/>
          <w:iCs w:val="0"/>
          <w:caps w:val="0"/>
          <w:smallCaps w:val="0"/>
          <w:color w:val="auto"/>
          <w:spacing w:val="0"/>
          <w:kern w:val="0"/>
          <w:sz w:val="32"/>
          <w:szCs w:val="32"/>
          <w:highlight w:val="none"/>
          <w:u w:val="none"/>
          <w:shd w:val="clear" w:color="auto" w:fill="FFFFFF"/>
          <w:lang w:val="en-US" w:eastAsia="zh-CN" w:bidi="ar"/>
        </w:rPr>
        <w:t>制造业和服务商</w:t>
      </w:r>
      <w:r>
        <w:rPr>
          <w:rStyle w:val="14"/>
          <w:rFonts w:hint="default" w:ascii="Times New Roman" w:hAnsi="Times New Roman" w:eastAsia="仿宋_GB2312" w:cs="Times New Roman"/>
          <w:b w:val="0"/>
          <w:bCs w:val="0"/>
          <w:i w:val="0"/>
          <w:iCs w:val="0"/>
          <w:caps w:val="0"/>
          <w:smallCaps w:val="0"/>
          <w:color w:val="auto"/>
          <w:spacing w:val="0"/>
          <w:kern w:val="0"/>
          <w:sz w:val="32"/>
          <w:szCs w:val="32"/>
          <w:highlight w:val="none"/>
          <w:u w:val="none"/>
          <w:shd w:val="clear" w:color="auto" w:fill="FFFFFF"/>
          <w:lang w:val="en-US" w:eastAsia="zh-CN" w:bidi="ar"/>
        </w:rPr>
        <w:t>联合</w:t>
      </w:r>
      <w:r>
        <w:rPr>
          <w:rStyle w:val="14"/>
          <w:rFonts w:hint="eastAsia" w:cs="Times New Roman"/>
          <w:b w:val="0"/>
          <w:bCs w:val="0"/>
          <w:i w:val="0"/>
          <w:iCs w:val="0"/>
          <w:caps w:val="0"/>
          <w:smallCaps w:val="0"/>
          <w:color w:val="auto"/>
          <w:spacing w:val="0"/>
          <w:kern w:val="0"/>
          <w:sz w:val="32"/>
          <w:szCs w:val="32"/>
          <w:highlight w:val="none"/>
          <w:u w:val="none"/>
          <w:shd w:val="clear" w:color="auto" w:fill="FFFFFF"/>
          <w:lang w:val="en-US" w:eastAsia="zh-CN" w:bidi="ar"/>
        </w:rPr>
        <w:t>创新，</w:t>
      </w:r>
      <w:r>
        <w:rPr>
          <w:rFonts w:hint="eastAsia"/>
          <w:smallCaps w:val="0"/>
          <w:color w:val="auto"/>
          <w:sz w:val="32"/>
          <w:szCs w:val="32"/>
          <w:highlight w:val="none"/>
          <w:lang w:eastAsia="zh-CN"/>
        </w:rPr>
        <w:t>基于工业数据</w:t>
      </w:r>
      <w:r>
        <w:rPr>
          <w:rStyle w:val="14"/>
          <w:rFonts w:hint="default" w:ascii="Times New Roman" w:hAnsi="Times New Roman" w:eastAsia="仿宋_GB2312" w:cs="Times New Roman"/>
          <w:b w:val="0"/>
          <w:bCs w:val="0"/>
          <w:i w:val="0"/>
          <w:iCs w:val="0"/>
          <w:caps w:val="0"/>
          <w:smallCaps w:val="0"/>
          <w:color w:val="auto"/>
          <w:spacing w:val="0"/>
          <w:kern w:val="0"/>
          <w:sz w:val="32"/>
          <w:szCs w:val="32"/>
          <w:highlight w:val="none"/>
          <w:u w:val="none"/>
          <w:shd w:val="clear" w:color="auto" w:fill="FFFFFF"/>
          <w:lang w:val="en-US" w:eastAsia="zh-CN" w:bidi="ar"/>
        </w:rPr>
        <w:t>打造具备数据处理和智能决策能力的工业智能体</w:t>
      </w:r>
      <w:r>
        <w:rPr>
          <w:rStyle w:val="14"/>
          <w:rFonts w:hint="eastAsia" w:cs="Times New Roman"/>
          <w:b w:val="0"/>
          <w:bCs w:val="0"/>
          <w:i w:val="0"/>
          <w:iCs w:val="0"/>
          <w:caps w:val="0"/>
          <w:smallCaps w:val="0"/>
          <w:color w:val="auto"/>
          <w:spacing w:val="0"/>
          <w:kern w:val="0"/>
          <w:sz w:val="32"/>
          <w:szCs w:val="32"/>
          <w:highlight w:val="none"/>
          <w:u w:val="none"/>
          <w:shd w:val="clear" w:color="auto" w:fill="FFFFFF"/>
          <w:lang w:val="en-US" w:eastAsia="zh-CN" w:bidi="ar"/>
        </w:rPr>
        <w:t>，并</w:t>
      </w:r>
      <w:r>
        <w:rPr>
          <w:rFonts w:hint="eastAsia" w:ascii="仿宋_GB2312" w:hAnsi="仿宋_GB2312" w:cs="仿宋_GB2312"/>
          <w:smallCaps w:val="0"/>
          <w:color w:val="auto"/>
          <w:sz w:val="32"/>
          <w:szCs w:val="32"/>
          <w:highlight w:val="none"/>
          <w:lang w:val="en-US" w:eastAsia="zh-CN"/>
        </w:rPr>
        <w:t>向垂直行业推广智能体，共享收益。</w:t>
      </w:r>
      <w:r>
        <w:rPr>
          <w:rStyle w:val="14"/>
          <w:rFonts w:hint="eastAsia" w:ascii="Times New Roman" w:hAnsi="Times New Roman" w:eastAsia="仿宋_GB2312" w:cs="Times New Roman"/>
          <w:b w:val="0"/>
          <w:bCs w:val="0"/>
          <w:i w:val="0"/>
          <w:iCs w:val="0"/>
          <w:caps w:val="0"/>
          <w:smallCaps w:val="0"/>
          <w:color w:val="auto"/>
          <w:spacing w:val="0"/>
          <w:kern w:val="0"/>
          <w:sz w:val="32"/>
          <w:szCs w:val="32"/>
          <w:highlight w:val="none"/>
          <w:u w:val="none"/>
          <w:shd w:val="clear" w:color="auto" w:fill="FFFFFF"/>
          <w:lang w:val="en-US" w:eastAsia="zh-CN" w:bidi="ar"/>
        </w:rPr>
        <w:t>每年遴选</w:t>
      </w:r>
      <w:r>
        <w:rPr>
          <w:rStyle w:val="14"/>
          <w:rFonts w:hint="eastAsia" w:cs="Times New Roman"/>
          <w:b w:val="0"/>
          <w:bCs w:val="0"/>
          <w:i w:val="0"/>
          <w:iCs w:val="0"/>
          <w:caps w:val="0"/>
          <w:smallCaps w:val="0"/>
          <w:color w:val="auto"/>
          <w:spacing w:val="0"/>
          <w:kern w:val="0"/>
          <w:sz w:val="32"/>
          <w:szCs w:val="32"/>
          <w:highlight w:val="none"/>
          <w:u w:val="none"/>
          <w:shd w:val="clear" w:color="auto" w:fill="FFFFFF"/>
          <w:lang w:val="en-US" w:eastAsia="zh-CN" w:bidi="ar"/>
        </w:rPr>
        <w:t>不超过</w:t>
      </w:r>
      <w:r>
        <w:rPr>
          <w:rStyle w:val="14"/>
          <w:rFonts w:hint="eastAsia" w:ascii="Times New Roman" w:hAnsi="Times New Roman" w:eastAsia="仿宋_GB2312" w:cs="Times New Roman"/>
          <w:b w:val="0"/>
          <w:bCs w:val="0"/>
          <w:i w:val="0"/>
          <w:iCs w:val="0"/>
          <w:caps w:val="0"/>
          <w:smallCaps w:val="0"/>
          <w:color w:val="auto"/>
          <w:spacing w:val="0"/>
          <w:kern w:val="0"/>
          <w:sz w:val="32"/>
          <w:szCs w:val="32"/>
          <w:highlight w:val="none"/>
          <w:u w:val="none"/>
          <w:shd w:val="clear" w:color="auto" w:fill="FFFFFF"/>
          <w:lang w:val="en-US" w:eastAsia="zh-CN" w:bidi="ar"/>
        </w:rPr>
        <w:t>5个</w:t>
      </w:r>
      <w:r>
        <w:rPr>
          <w:rFonts w:hint="eastAsia" w:ascii="仿宋_GB2312" w:hAnsi="仿宋_GB2312" w:cs="仿宋_GB2312"/>
          <w:smallCaps w:val="0"/>
          <w:color w:val="auto"/>
          <w:sz w:val="32"/>
          <w:szCs w:val="32"/>
          <w:highlight w:val="none"/>
          <w:lang w:val="en-US" w:eastAsia="zh-CN"/>
        </w:rPr>
        <w:t>“模数共振”示范案例</w:t>
      </w:r>
      <w:r>
        <w:rPr>
          <w:rStyle w:val="14"/>
          <w:rFonts w:hint="eastAsia" w:ascii="Times New Roman" w:hAnsi="Times New Roman" w:eastAsia="仿宋_GB2312" w:cs="Times New Roman"/>
          <w:b w:val="0"/>
          <w:bCs w:val="0"/>
          <w:i w:val="0"/>
          <w:iCs w:val="0"/>
          <w:caps w:val="0"/>
          <w:smallCaps w:val="0"/>
          <w:color w:val="auto"/>
          <w:spacing w:val="0"/>
          <w:kern w:val="0"/>
          <w:sz w:val="32"/>
          <w:szCs w:val="32"/>
          <w:highlight w:val="none"/>
          <w:u w:val="none"/>
          <w:shd w:val="clear" w:color="auto" w:fill="FFFFFF"/>
          <w:lang w:val="en-US" w:eastAsia="zh-CN" w:bidi="ar"/>
        </w:rPr>
        <w:t>，每个案例最高奖补5</w:t>
      </w:r>
      <w:r>
        <w:rPr>
          <w:rStyle w:val="14"/>
          <w:rFonts w:hint="default" w:ascii="Times New Roman" w:hAnsi="Times New Roman" w:eastAsia="仿宋_GB2312" w:cs="Times New Roman"/>
          <w:b w:val="0"/>
          <w:bCs w:val="0"/>
          <w:i w:val="0"/>
          <w:iCs w:val="0"/>
          <w:caps w:val="0"/>
          <w:smallCaps w:val="0"/>
          <w:color w:val="auto"/>
          <w:spacing w:val="0"/>
          <w:kern w:val="0"/>
          <w:sz w:val="32"/>
          <w:szCs w:val="32"/>
          <w:highlight w:val="none"/>
          <w:u w:val="none"/>
          <w:shd w:val="clear" w:color="auto" w:fill="FFFFFF"/>
          <w:lang w:val="en-US" w:eastAsia="zh-CN" w:bidi="ar"/>
        </w:rPr>
        <w:t>0万元</w:t>
      </w:r>
      <w:r>
        <w:rPr>
          <w:rStyle w:val="14"/>
          <w:rFonts w:hint="eastAsia" w:ascii="Times New Roman" w:hAnsi="Times New Roman" w:eastAsia="仿宋_GB2312" w:cs="Times New Roman"/>
          <w:b w:val="0"/>
          <w:bCs w:val="0"/>
          <w:i w:val="0"/>
          <w:iCs w:val="0"/>
          <w:caps w:val="0"/>
          <w:smallCaps w:val="0"/>
          <w:color w:val="auto"/>
          <w:spacing w:val="0"/>
          <w:kern w:val="0"/>
          <w:sz w:val="32"/>
          <w:szCs w:val="32"/>
          <w:highlight w:val="none"/>
          <w:u w:val="none"/>
          <w:shd w:val="clear" w:color="auto" w:fill="FFFFFF"/>
          <w:lang w:val="en-US" w:eastAsia="zh-CN" w:bidi="ar"/>
        </w:rPr>
        <w:t>。</w:t>
      </w:r>
      <w:r>
        <w:rPr>
          <w:rFonts w:hint="eastAsia"/>
          <w:smallCaps w:val="0"/>
          <w:color w:val="auto"/>
          <w:sz w:val="32"/>
          <w:szCs w:val="32"/>
          <w:highlight w:val="none"/>
        </w:rPr>
        <w:t>（责任单位：</w:t>
      </w:r>
      <w:r>
        <w:rPr>
          <w:rFonts w:hint="eastAsia"/>
          <w:smallCaps w:val="0"/>
          <w:color w:val="auto"/>
          <w:sz w:val="32"/>
          <w:szCs w:val="32"/>
          <w:highlight w:val="none"/>
          <w:lang w:eastAsia="zh-CN"/>
        </w:rPr>
        <w:t>市工业和信息化局</w:t>
      </w:r>
      <w:r>
        <w:rPr>
          <w:rFonts w:hint="eastAsia"/>
          <w:smallCaps w:val="0"/>
          <w:color w:val="auto"/>
          <w:sz w:val="32"/>
          <w:szCs w:val="32"/>
          <w:highlight w:val="none"/>
        </w:rPr>
        <w:t>）</w:t>
      </w:r>
    </w:p>
    <w:p>
      <w:pPr>
        <w:pStyle w:val="5"/>
        <w:keepNext/>
        <w:keepLines/>
        <w:pageBreakBefore w:val="0"/>
        <w:widowControl w:val="0"/>
        <w:numPr>
          <w:ilvl w:val="-1"/>
          <w:numId w:val="0"/>
        </w:numPr>
        <w:kinsoku/>
        <w:wordWrap/>
        <w:overflowPunct/>
        <w:topLinePunct w:val="0"/>
        <w:autoSpaceDE/>
        <w:autoSpaceDN/>
        <w:bidi w:val="0"/>
        <w:adjustRightInd/>
        <w:snapToGrid/>
        <w:spacing w:beforeLines="0" w:afterLines="0" w:line="579" w:lineRule="exact"/>
        <w:ind w:leftChars="200" w:firstLine="0" w:firstLineChars="0"/>
        <w:textAlignment w:val="auto"/>
        <w:rPr>
          <w:rFonts w:hint="eastAsia" w:ascii="楷体_GB2312" w:hAnsi="楷体_GB2312" w:eastAsia="楷体_GB2312" w:cs="楷体_GB2312"/>
          <w:smallCaps w:val="0"/>
          <w:color w:val="auto"/>
          <w:highlight w:val="none"/>
          <w:lang w:val="en-US" w:eastAsia="zh-CN"/>
        </w:rPr>
      </w:pPr>
      <w:r>
        <w:rPr>
          <w:rFonts w:hint="eastAsia" w:ascii="楷体_GB2312" w:hAnsi="楷体_GB2312" w:eastAsia="楷体_GB2312" w:cs="楷体_GB2312"/>
          <w:smallCaps w:val="0"/>
          <w:color w:val="auto"/>
          <w:highlight w:val="none"/>
          <w:lang w:val="en-US" w:eastAsia="zh-CN"/>
        </w:rPr>
        <w:t>（五）应用场景推广行动</w:t>
      </w:r>
    </w:p>
    <w:p>
      <w:pPr>
        <w:keepNext w:val="0"/>
        <w:keepLines w:val="0"/>
        <w:pageBreakBefore w:val="0"/>
        <w:widowControl w:val="0"/>
        <w:kinsoku/>
        <w:wordWrap/>
        <w:overflowPunct/>
        <w:topLinePunct w:val="0"/>
        <w:autoSpaceDE/>
        <w:autoSpaceDN/>
        <w:bidi w:val="0"/>
        <w:adjustRightInd/>
        <w:snapToGrid/>
        <w:spacing w:line="579" w:lineRule="exact"/>
        <w:ind w:leftChars="0" w:firstLine="642" w:firstLineChars="200"/>
        <w:textAlignment w:val="auto"/>
        <w:rPr>
          <w:rFonts w:hint="eastAsia" w:ascii="仿宋_GB2312" w:hAnsi="宋体" w:cs="仿宋_GB2312"/>
          <w:i w:val="0"/>
          <w:iCs w:val="0"/>
          <w:caps w:val="0"/>
          <w:smallCaps w:val="0"/>
          <w:color w:val="auto"/>
          <w:spacing w:val="0"/>
          <w:kern w:val="0"/>
          <w:sz w:val="32"/>
          <w:szCs w:val="32"/>
          <w:highlight w:val="none"/>
          <w:lang w:val="en-US" w:eastAsia="zh-CN" w:bidi="ar"/>
        </w:rPr>
      </w:pPr>
      <w:r>
        <w:rPr>
          <w:rFonts w:hint="eastAsia" w:ascii="仿宋_GB2312" w:hAnsi="宋体" w:cs="仿宋_GB2312"/>
          <w:b/>
          <w:bCs/>
          <w:i w:val="0"/>
          <w:iCs w:val="0"/>
          <w:caps w:val="0"/>
          <w:smallCaps w:val="0"/>
          <w:color w:val="auto"/>
          <w:spacing w:val="0"/>
          <w:kern w:val="0"/>
          <w:sz w:val="32"/>
          <w:szCs w:val="32"/>
          <w:highlight w:val="none"/>
          <w:lang w:val="en-US" w:eastAsia="zh-CN" w:bidi="ar"/>
        </w:rPr>
        <w:t>9.打造推广典型示范场景。</w:t>
      </w:r>
      <w:r>
        <w:rPr>
          <w:rFonts w:hint="eastAsia" w:ascii="仿宋_GB2312" w:hAnsi="宋体" w:cs="仿宋_GB2312"/>
          <w:i w:val="0"/>
          <w:iCs w:val="0"/>
          <w:caps w:val="0"/>
          <w:smallCaps w:val="0"/>
          <w:color w:val="auto"/>
          <w:spacing w:val="0"/>
          <w:kern w:val="0"/>
          <w:sz w:val="32"/>
          <w:szCs w:val="32"/>
          <w:highlight w:val="none"/>
          <w:lang w:val="en-US" w:eastAsia="zh-CN" w:bidi="ar"/>
        </w:rPr>
        <w:t>围绕制造业典型场景，如虚拟试验与调试、模具工艺生成、生产计划排程、产品视觉质检、设备预测性维护等环节，遴选高价值、可复制的应用场景示范项目。探索“北斗+人工智能”在物流配送、园区导航、自主巡检等场景应用。编制应用场景示范案例集、研究报告，邀请技术专家、数智转型伙伴、企业转型负责人等进行授课，组织开展智能场景现场会、专家行等活动，引导企业通过“看样学样”等方式开展数智化转型。对“人工智能+制造”示范项目，按不超过项目软硬件投入额30%，给予最高100万元资助。（责任单位：市工业和信息化局）</w:t>
      </w:r>
    </w:p>
    <w:p>
      <w:pPr>
        <w:keepNext w:val="0"/>
        <w:keepLines w:val="0"/>
        <w:pageBreakBefore w:val="0"/>
        <w:widowControl w:val="0"/>
        <w:kinsoku/>
        <w:wordWrap/>
        <w:overflowPunct/>
        <w:topLinePunct w:val="0"/>
        <w:autoSpaceDE/>
        <w:autoSpaceDN/>
        <w:bidi w:val="0"/>
        <w:adjustRightInd/>
        <w:snapToGrid/>
        <w:spacing w:line="579" w:lineRule="exact"/>
        <w:ind w:leftChars="0" w:firstLine="642" w:firstLineChars="200"/>
        <w:textAlignment w:val="auto"/>
        <w:rPr>
          <w:rFonts w:hint="eastAsia"/>
          <w:smallCaps w:val="0"/>
          <w:color w:val="auto"/>
          <w:sz w:val="32"/>
          <w:szCs w:val="32"/>
          <w:highlight w:val="none"/>
          <w:lang w:val="en-US" w:eastAsia="zh-CN"/>
        </w:rPr>
      </w:pPr>
      <w:r>
        <w:rPr>
          <w:rFonts w:hint="eastAsia" w:ascii="仿宋_GB2312" w:hAnsi="宋体" w:cs="仿宋_GB2312"/>
          <w:b/>
          <w:bCs/>
          <w:i w:val="0"/>
          <w:iCs w:val="0"/>
          <w:caps w:val="0"/>
          <w:smallCaps w:val="0"/>
          <w:color w:val="auto"/>
          <w:spacing w:val="0"/>
          <w:kern w:val="0"/>
          <w:sz w:val="32"/>
          <w:szCs w:val="32"/>
          <w:highlight w:val="none"/>
          <w:lang w:val="en-US" w:eastAsia="zh-CN" w:bidi="ar"/>
        </w:rPr>
        <w:t>10.搭建制造业数智赋能中心。</w:t>
      </w:r>
      <w:r>
        <w:rPr>
          <w:rFonts w:hint="eastAsia" w:ascii="仿宋_GB2312" w:hAnsi="宋体" w:cs="仿宋_GB2312"/>
          <w:i w:val="0"/>
          <w:iCs w:val="0"/>
          <w:caps w:val="0"/>
          <w:smallCaps w:val="0"/>
          <w:color w:val="auto"/>
          <w:spacing w:val="0"/>
          <w:kern w:val="0"/>
          <w:sz w:val="32"/>
          <w:szCs w:val="32"/>
          <w:highlight w:val="none"/>
          <w:lang w:val="en-US" w:eastAsia="zh-CN" w:bidi="ar"/>
        </w:rPr>
        <w:t>构建服务供应商与企业的常态化对接机制，提供从诊断咨询到数智化解决方案实施的专家资源、服务商资源、金融、政策咨询等综合服务。开展常态化对接活动，为中小企业提供“小快轻准”的人工智能解决方案，实现市场需求感知与产品创新精准对接。</w:t>
      </w:r>
      <w:r>
        <w:rPr>
          <w:rFonts w:hint="eastAsia"/>
          <w:smallCaps w:val="0"/>
          <w:color w:val="auto"/>
          <w:sz w:val="32"/>
          <w:szCs w:val="32"/>
          <w:highlight w:val="none"/>
        </w:rPr>
        <w:t>（责任单位：</w:t>
      </w:r>
      <w:r>
        <w:rPr>
          <w:rFonts w:hint="eastAsia"/>
          <w:smallCaps w:val="0"/>
          <w:color w:val="auto"/>
          <w:sz w:val="32"/>
          <w:szCs w:val="32"/>
          <w:highlight w:val="none"/>
          <w:lang w:eastAsia="zh-CN"/>
        </w:rPr>
        <w:t>市工业和信息化局</w:t>
      </w:r>
      <w:r>
        <w:rPr>
          <w:rFonts w:hint="eastAsia"/>
          <w:smallCaps w:val="0"/>
          <w:color w:val="auto"/>
          <w:sz w:val="32"/>
          <w:szCs w:val="32"/>
          <w:highlight w:val="none"/>
        </w:rPr>
        <w:t>）</w:t>
      </w:r>
    </w:p>
    <w:p>
      <w:pPr>
        <w:pStyle w:val="5"/>
        <w:keepNext/>
        <w:keepLines/>
        <w:pageBreakBefore w:val="0"/>
        <w:widowControl w:val="0"/>
        <w:numPr>
          <w:ilvl w:val="-1"/>
          <w:numId w:val="0"/>
        </w:numPr>
        <w:kinsoku/>
        <w:wordWrap/>
        <w:overflowPunct/>
        <w:topLinePunct w:val="0"/>
        <w:autoSpaceDE/>
        <w:autoSpaceDN/>
        <w:bidi w:val="0"/>
        <w:adjustRightInd/>
        <w:snapToGrid/>
        <w:spacing w:beforeLines="0" w:afterLines="0" w:line="579" w:lineRule="exact"/>
        <w:ind w:leftChars="200" w:firstLine="0" w:firstLineChars="0"/>
        <w:textAlignment w:val="auto"/>
        <w:rPr>
          <w:rFonts w:hint="eastAsia" w:ascii="楷体_GB2312" w:hAnsi="楷体_GB2312" w:eastAsia="楷体_GB2312" w:cs="楷体_GB2312"/>
          <w:smallCaps w:val="0"/>
          <w:color w:val="auto"/>
          <w:highlight w:val="none"/>
          <w:lang w:val="en-US" w:eastAsia="zh-CN"/>
        </w:rPr>
      </w:pPr>
      <w:r>
        <w:rPr>
          <w:rFonts w:hint="eastAsia" w:ascii="楷体_GB2312" w:hAnsi="楷体_GB2312" w:eastAsia="楷体_GB2312" w:cs="楷体_GB2312"/>
          <w:smallCaps w:val="0"/>
          <w:color w:val="auto"/>
          <w:highlight w:val="none"/>
          <w:lang w:val="en-US" w:eastAsia="zh-CN"/>
        </w:rPr>
        <w:t>（六）智能产业跃升行动</w:t>
      </w:r>
    </w:p>
    <w:p>
      <w:pPr>
        <w:pStyle w:val="6"/>
        <w:keepNext/>
        <w:keepLines/>
        <w:pageBreakBefore w:val="0"/>
        <w:widowControl w:val="0"/>
        <w:kinsoku/>
        <w:wordWrap/>
        <w:overflowPunct/>
        <w:topLinePunct w:val="0"/>
        <w:autoSpaceDE/>
        <w:autoSpaceDN/>
        <w:bidi w:val="0"/>
        <w:adjustRightInd/>
        <w:snapToGrid/>
        <w:spacing w:beforeLines="0" w:afterLines="0" w:line="579" w:lineRule="exact"/>
        <w:ind w:leftChars="0" w:firstLine="642" w:firstLineChars="200"/>
        <w:textAlignment w:val="auto"/>
        <w:rPr>
          <w:rFonts w:hint="eastAsia" w:ascii="仿宋_GB2312" w:hAnsi="宋体" w:eastAsia="仿宋_GB2312" w:cs="仿宋_GB2312"/>
          <w:b w:val="0"/>
          <w:i w:val="0"/>
          <w:iCs w:val="0"/>
          <w:caps w:val="0"/>
          <w:smallCaps w:val="0"/>
          <w:color w:val="auto"/>
          <w:spacing w:val="0"/>
          <w:kern w:val="0"/>
          <w:sz w:val="32"/>
          <w:szCs w:val="32"/>
          <w:highlight w:val="none"/>
          <w:lang w:val="en-US" w:eastAsia="zh-CN" w:bidi="ar"/>
        </w:rPr>
      </w:pPr>
      <w:bookmarkStart w:id="5" w:name="_Toc17657"/>
      <w:r>
        <w:rPr>
          <w:rFonts w:hint="eastAsia" w:ascii="仿宋_GB2312" w:hAnsi="宋体" w:eastAsia="仿宋_GB2312" w:cs="仿宋_GB2312"/>
          <w:b/>
          <w:bCs/>
          <w:i w:val="0"/>
          <w:iCs w:val="0"/>
          <w:caps w:val="0"/>
          <w:smallCaps w:val="0"/>
          <w:color w:val="auto"/>
          <w:spacing w:val="0"/>
          <w:kern w:val="0"/>
          <w:sz w:val="32"/>
          <w:szCs w:val="32"/>
          <w:highlight w:val="none"/>
          <w:lang w:val="en-US" w:eastAsia="zh-CN" w:bidi="ar"/>
        </w:rPr>
        <w:t>11.</w:t>
      </w:r>
      <w:r>
        <w:rPr>
          <w:rFonts w:hint="default" w:ascii="仿宋_GB2312" w:hAnsi="宋体" w:eastAsia="仿宋_GB2312" w:cs="仿宋_GB2312"/>
          <w:b/>
          <w:bCs/>
          <w:i w:val="0"/>
          <w:iCs w:val="0"/>
          <w:caps w:val="0"/>
          <w:smallCaps w:val="0"/>
          <w:color w:val="auto"/>
          <w:spacing w:val="0"/>
          <w:kern w:val="0"/>
          <w:sz w:val="32"/>
          <w:szCs w:val="32"/>
          <w:highlight w:val="none"/>
          <w:lang w:val="en-US" w:eastAsia="zh-CN" w:bidi="ar"/>
        </w:rPr>
        <w:t>推动</w:t>
      </w:r>
      <w:bookmarkEnd w:id="5"/>
      <w:r>
        <w:rPr>
          <w:rFonts w:hint="eastAsia" w:ascii="仿宋_GB2312" w:hAnsi="宋体" w:eastAsia="仿宋_GB2312" w:cs="仿宋_GB2312"/>
          <w:b/>
          <w:bCs/>
          <w:i w:val="0"/>
          <w:iCs w:val="0"/>
          <w:caps w:val="0"/>
          <w:smallCaps w:val="0"/>
          <w:color w:val="auto"/>
          <w:spacing w:val="0"/>
          <w:kern w:val="0"/>
          <w:sz w:val="32"/>
          <w:szCs w:val="32"/>
          <w:highlight w:val="none"/>
          <w:lang w:val="en-US" w:eastAsia="zh-CN" w:bidi="ar"/>
        </w:rPr>
        <w:t>智能软硬件协同发展。</w:t>
      </w:r>
      <w:r>
        <w:rPr>
          <w:rFonts w:hint="eastAsia" w:ascii="仿宋_GB2312" w:hAnsi="宋体" w:eastAsia="仿宋_GB2312" w:cs="仿宋_GB2312"/>
          <w:b w:val="0"/>
          <w:i w:val="0"/>
          <w:iCs w:val="0"/>
          <w:caps w:val="0"/>
          <w:smallCaps w:val="0"/>
          <w:color w:val="auto"/>
          <w:spacing w:val="0"/>
          <w:kern w:val="0"/>
          <w:sz w:val="32"/>
          <w:szCs w:val="32"/>
          <w:highlight w:val="none"/>
          <w:lang w:val="en-US" w:eastAsia="zh-CN" w:bidi="ar"/>
        </w:rPr>
        <w:t>夯实底层芯片根基，支持突破高性能通用GPU、人工智能训练加速芯片（TPU类）、高能效推理芯片等关键核心技术。打造RISC-V开源生态。加快布局高速光通信芯片、高性能光传感芯片、通感融合芯片等光芯片。提升化合物特色工艺、先进集成封装等制造能力。扩大软件开发优势，</w:t>
      </w:r>
      <w:r>
        <w:rPr>
          <w:rFonts w:hint="default" w:ascii="仿宋_GB2312" w:hAnsi="宋体" w:eastAsia="仿宋_GB2312" w:cs="仿宋_GB2312"/>
          <w:b w:val="0"/>
          <w:i w:val="0"/>
          <w:iCs w:val="0"/>
          <w:caps w:val="0"/>
          <w:smallCaps w:val="0"/>
          <w:color w:val="auto"/>
          <w:spacing w:val="0"/>
          <w:kern w:val="0"/>
          <w:sz w:val="32"/>
          <w:szCs w:val="32"/>
          <w:highlight w:val="none"/>
          <w:lang w:val="en-US" w:eastAsia="zh-CN" w:bidi="ar"/>
        </w:rPr>
        <w:t>全力攻坚工业控制系统、EDA工具、高端IP核</w:t>
      </w:r>
      <w:r>
        <w:rPr>
          <w:rFonts w:hint="eastAsia" w:ascii="仿宋_GB2312" w:hAnsi="宋体" w:eastAsia="仿宋_GB2312" w:cs="仿宋_GB2312"/>
          <w:b w:val="0"/>
          <w:i w:val="0"/>
          <w:iCs w:val="0"/>
          <w:caps w:val="0"/>
          <w:smallCaps w:val="0"/>
          <w:color w:val="auto"/>
          <w:spacing w:val="0"/>
          <w:kern w:val="0"/>
          <w:sz w:val="32"/>
          <w:szCs w:val="32"/>
          <w:highlight w:val="none"/>
          <w:lang w:val="en-US" w:eastAsia="zh-CN" w:bidi="ar"/>
        </w:rPr>
        <w:t>等基础软件的</w:t>
      </w:r>
      <w:r>
        <w:rPr>
          <w:rFonts w:hint="default" w:ascii="仿宋_GB2312" w:hAnsi="宋体" w:eastAsia="仿宋_GB2312" w:cs="仿宋_GB2312"/>
          <w:b w:val="0"/>
          <w:i w:val="0"/>
          <w:iCs w:val="0"/>
          <w:caps w:val="0"/>
          <w:smallCaps w:val="0"/>
          <w:color w:val="auto"/>
          <w:spacing w:val="0"/>
          <w:kern w:val="0"/>
          <w:sz w:val="32"/>
          <w:szCs w:val="32"/>
          <w:highlight w:val="none"/>
          <w:lang w:val="en-US" w:eastAsia="zh-CN" w:bidi="ar"/>
        </w:rPr>
        <w:t>研发及产业化</w:t>
      </w:r>
      <w:r>
        <w:rPr>
          <w:rFonts w:hint="eastAsia" w:ascii="仿宋_GB2312" w:hAnsi="宋体" w:eastAsia="仿宋_GB2312" w:cs="仿宋_GB2312"/>
          <w:b w:val="0"/>
          <w:i w:val="0"/>
          <w:iCs w:val="0"/>
          <w:caps w:val="0"/>
          <w:smallCaps w:val="0"/>
          <w:color w:val="auto"/>
          <w:spacing w:val="0"/>
          <w:kern w:val="0"/>
          <w:sz w:val="32"/>
          <w:szCs w:val="32"/>
          <w:highlight w:val="none"/>
          <w:lang w:val="en-US" w:eastAsia="zh-CN" w:bidi="ar"/>
        </w:rPr>
        <w:t>。以智能体技术为核心驱动力，推动软件从被动响应工具向主动服务伙伴的下一代形态演进，重塑软件产业形态。（责任单位：市工业和信息化局）</w:t>
      </w:r>
    </w:p>
    <w:p>
      <w:pPr>
        <w:keepNext w:val="0"/>
        <w:keepLines w:val="0"/>
        <w:pageBreakBefore w:val="0"/>
        <w:widowControl w:val="0"/>
        <w:kinsoku/>
        <w:wordWrap/>
        <w:overflowPunct/>
        <w:topLinePunct w:val="0"/>
        <w:autoSpaceDE/>
        <w:autoSpaceDN/>
        <w:bidi w:val="0"/>
        <w:adjustRightInd/>
        <w:snapToGrid/>
        <w:spacing w:line="579" w:lineRule="exact"/>
        <w:ind w:leftChars="0" w:firstLine="642" w:firstLineChars="200"/>
        <w:textAlignment w:val="auto"/>
        <w:rPr>
          <w:rFonts w:hint="eastAsia"/>
          <w:smallCaps w:val="0"/>
          <w:color w:val="auto"/>
          <w:highlight w:val="none"/>
          <w:lang w:val="en-US" w:eastAsia="zh-CN"/>
        </w:rPr>
      </w:pPr>
      <w:r>
        <w:rPr>
          <w:rFonts w:hint="eastAsia"/>
          <w:b/>
          <w:bCs/>
          <w:smallCaps w:val="0"/>
          <w:color w:val="auto"/>
          <w:highlight w:val="none"/>
          <w:lang w:val="en-US" w:eastAsia="zh-CN"/>
        </w:rPr>
        <w:t>12.加速智能终端产业发展壮大。</w:t>
      </w:r>
      <w:r>
        <w:rPr>
          <w:rFonts w:hint="eastAsia" w:ascii="仿宋_GB2312" w:hAnsi="仿宋_GB2312" w:eastAsia="仿宋_GB2312" w:cs="仿宋_GB2312"/>
          <w:smallCaps w:val="0"/>
          <w:color w:val="auto"/>
          <w:sz w:val="32"/>
          <w:szCs w:val="32"/>
          <w:highlight w:val="none"/>
          <w:lang w:val="en-US" w:eastAsia="zh-CN"/>
        </w:rPr>
        <w:t>鼓励智能可穿戴设备、虚拟现实和增强现实设备、全屋智能家居产品、智能机器人等</w:t>
      </w:r>
      <w:r>
        <w:rPr>
          <w:rFonts w:hint="eastAsia" w:ascii="仿宋_GB2312" w:hAnsi="仿宋_GB2312" w:cs="仿宋_GB2312"/>
          <w:smallCaps w:val="0"/>
          <w:color w:val="auto"/>
          <w:sz w:val="32"/>
          <w:szCs w:val="32"/>
          <w:highlight w:val="none"/>
          <w:lang w:val="en-US" w:eastAsia="zh-CN"/>
        </w:rPr>
        <w:t>智能终端产品</w:t>
      </w:r>
      <w:r>
        <w:rPr>
          <w:rFonts w:hint="eastAsia" w:ascii="仿宋_GB2312" w:hAnsi="仿宋_GB2312" w:eastAsia="仿宋_GB2312" w:cs="仿宋_GB2312"/>
          <w:smallCaps w:val="0"/>
          <w:color w:val="auto"/>
          <w:sz w:val="32"/>
          <w:szCs w:val="32"/>
          <w:highlight w:val="none"/>
          <w:lang w:val="en-US" w:eastAsia="zh-CN"/>
        </w:rPr>
        <w:t>，</w:t>
      </w:r>
      <w:r>
        <w:rPr>
          <w:rFonts w:hint="eastAsia" w:ascii="仿宋_GB2312" w:hAnsi="仿宋_GB2312" w:cs="仿宋_GB2312"/>
          <w:smallCaps w:val="0"/>
          <w:color w:val="auto"/>
          <w:sz w:val="32"/>
          <w:szCs w:val="32"/>
          <w:highlight w:val="none"/>
          <w:lang w:val="en-US" w:eastAsia="zh-CN"/>
        </w:rPr>
        <w:t>通过提升AI渗透率进一步提升产品附加值，推动终端产品向“高端化、智能化、多元化”升级。经评审，对年度</w:t>
      </w:r>
      <w:r>
        <w:rPr>
          <w:rFonts w:hint="eastAsia" w:ascii="仿宋_GB2312" w:hAnsi="仿宋_GB2312" w:eastAsia="仿宋_GB2312" w:cs="仿宋_GB2312"/>
          <w:smallCaps w:val="0"/>
          <w:color w:val="auto"/>
          <w:sz w:val="32"/>
          <w:szCs w:val="32"/>
          <w:highlight w:val="none"/>
          <w:lang w:val="en-US" w:eastAsia="zh-CN"/>
        </w:rPr>
        <w:t>智能终端标杆产品予以最高50万元的奖励，每家企业每年累计奖励额度不超过100万元。</w:t>
      </w:r>
      <w:r>
        <w:rPr>
          <w:rFonts w:hint="eastAsia"/>
          <w:smallCaps w:val="0"/>
          <w:color w:val="auto"/>
          <w:highlight w:val="none"/>
          <w:lang w:val="en-US" w:eastAsia="zh-CN"/>
        </w:rPr>
        <w:t>（责任单位：市工业和信息化局）</w:t>
      </w:r>
    </w:p>
    <w:p>
      <w:pPr>
        <w:pStyle w:val="5"/>
        <w:keepNext/>
        <w:keepLines/>
        <w:pageBreakBefore w:val="0"/>
        <w:widowControl w:val="0"/>
        <w:numPr>
          <w:ilvl w:val="-1"/>
          <w:numId w:val="0"/>
        </w:numPr>
        <w:kinsoku/>
        <w:wordWrap/>
        <w:overflowPunct/>
        <w:topLinePunct w:val="0"/>
        <w:autoSpaceDE/>
        <w:autoSpaceDN/>
        <w:bidi w:val="0"/>
        <w:adjustRightInd/>
        <w:snapToGrid/>
        <w:spacing w:beforeLines="0" w:afterLines="0" w:line="579" w:lineRule="exact"/>
        <w:ind w:leftChars="200" w:firstLine="0" w:firstLineChars="0"/>
        <w:textAlignment w:val="auto"/>
        <w:rPr>
          <w:rFonts w:hint="eastAsia" w:ascii="楷体_GB2312" w:hAnsi="楷体_GB2312" w:eastAsia="楷体_GB2312" w:cs="楷体_GB2312"/>
          <w:smallCaps w:val="0"/>
          <w:color w:val="auto"/>
          <w:highlight w:val="none"/>
          <w:lang w:val="en-US" w:eastAsia="zh-CN"/>
        </w:rPr>
      </w:pPr>
      <w:r>
        <w:rPr>
          <w:rFonts w:hint="eastAsia" w:ascii="楷体_GB2312" w:hAnsi="楷体_GB2312" w:eastAsia="楷体_GB2312" w:cs="楷体_GB2312"/>
          <w:smallCaps w:val="0"/>
          <w:color w:val="auto"/>
          <w:highlight w:val="none"/>
          <w:lang w:val="en-US" w:eastAsia="zh-CN"/>
        </w:rPr>
        <w:t>（七）创新要素提质行动</w:t>
      </w:r>
    </w:p>
    <w:p>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Chars="0" w:firstLine="642" w:firstLineChars="200"/>
        <w:jc w:val="both"/>
        <w:textAlignment w:val="auto"/>
        <w:rPr>
          <w:rFonts w:hint="eastAsia" w:ascii="仿宋_GB2312" w:hAnsi="仿宋_GB2312" w:eastAsia="仿宋_GB2312" w:cs="仿宋_GB2312"/>
          <w:smallCaps w:val="0"/>
          <w:color w:val="auto"/>
          <w:kern w:val="2"/>
          <w:sz w:val="32"/>
          <w:szCs w:val="32"/>
          <w:highlight w:val="none"/>
          <w:lang w:val="en-US" w:eastAsia="zh-CN" w:bidi="ar-SA"/>
        </w:rPr>
      </w:pPr>
      <w:bookmarkStart w:id="6" w:name="_Toc7768"/>
      <w:r>
        <w:rPr>
          <w:rFonts w:hint="eastAsia" w:ascii="仿宋_GB2312" w:hAnsi="仿宋_GB2312" w:eastAsia="仿宋_GB2312" w:cs="仿宋_GB2312"/>
          <w:b/>
          <w:bCs/>
          <w:smallCaps w:val="0"/>
          <w:color w:val="auto"/>
          <w:kern w:val="2"/>
          <w:sz w:val="32"/>
          <w:szCs w:val="32"/>
          <w:highlight w:val="none"/>
          <w:lang w:val="en-US" w:eastAsia="zh-CN" w:bidi="ar-SA"/>
        </w:rPr>
        <w:t>13.</w:t>
      </w:r>
      <w:bookmarkEnd w:id="6"/>
      <w:r>
        <w:rPr>
          <w:rFonts w:hint="eastAsia" w:ascii="仿宋_GB2312" w:hAnsi="仿宋_GB2312" w:cs="仿宋_GB2312"/>
          <w:b/>
          <w:bCs/>
          <w:smallCaps w:val="0"/>
          <w:color w:val="auto"/>
          <w:kern w:val="2"/>
          <w:sz w:val="32"/>
          <w:szCs w:val="32"/>
          <w:highlight w:val="none"/>
          <w:lang w:val="en-US" w:eastAsia="zh-CN" w:bidi="ar-SA"/>
        </w:rPr>
        <w:t>强化工业智能算力供给</w:t>
      </w:r>
      <w:r>
        <w:rPr>
          <w:rFonts w:hint="eastAsia" w:ascii="仿宋_GB2312" w:hAnsi="仿宋_GB2312" w:eastAsia="仿宋_GB2312" w:cs="仿宋_GB2312"/>
          <w:b/>
          <w:bCs/>
          <w:smallCaps w:val="0"/>
          <w:color w:val="auto"/>
          <w:kern w:val="2"/>
          <w:sz w:val="32"/>
          <w:szCs w:val="32"/>
          <w:highlight w:val="none"/>
          <w:lang w:val="en-US" w:eastAsia="zh-CN" w:bidi="ar-SA"/>
        </w:rPr>
        <w:t>。</w:t>
      </w:r>
      <w:r>
        <w:rPr>
          <w:rFonts w:hint="eastAsia" w:ascii="仿宋_GB2312" w:hAnsi="仿宋_GB2312" w:eastAsia="仿宋_GB2312" w:cs="仿宋_GB2312"/>
          <w:smallCaps w:val="0"/>
          <w:color w:val="auto"/>
          <w:kern w:val="2"/>
          <w:sz w:val="32"/>
          <w:szCs w:val="32"/>
          <w:highlight w:val="none"/>
          <w:lang w:val="en-US" w:eastAsia="zh-CN" w:bidi="ar-SA"/>
        </w:rPr>
        <w:t>通过“算力券”政策，支持制造业企业利用</w:t>
      </w:r>
      <w:r>
        <w:rPr>
          <w:rFonts w:hint="eastAsia" w:ascii="仿宋_GB2312" w:hAnsi="仿宋_GB2312" w:cs="仿宋_GB2312"/>
          <w:smallCaps w:val="0"/>
          <w:color w:val="auto"/>
          <w:kern w:val="2"/>
          <w:sz w:val="32"/>
          <w:szCs w:val="32"/>
          <w:highlight w:val="none"/>
          <w:lang w:val="en-US" w:eastAsia="zh-CN" w:bidi="ar-SA"/>
        </w:rPr>
        <w:t>算力互联服务平台</w:t>
      </w:r>
      <w:r>
        <w:rPr>
          <w:rFonts w:hint="eastAsia" w:ascii="仿宋_GB2312" w:hAnsi="仿宋_GB2312" w:eastAsia="仿宋_GB2312" w:cs="仿宋_GB2312"/>
          <w:smallCaps w:val="0"/>
          <w:color w:val="auto"/>
          <w:kern w:val="2"/>
          <w:sz w:val="32"/>
          <w:szCs w:val="32"/>
          <w:highlight w:val="none"/>
          <w:lang w:val="en-US" w:eastAsia="zh-CN" w:bidi="ar-SA"/>
        </w:rPr>
        <w:t>智算资源，训练开发工业模型，应用人工智能技术赋能研、产、供、销、服等业务场景。支持制造业企业部署边端智算节点，推动端侧设备智能化升级，实现工业云端训练、边缘推理、终端感知等多场景算力综合应用。（责任单位：市工业和信息化局、市政务和数据局）</w:t>
      </w:r>
      <w:bookmarkStart w:id="7" w:name="_Toc10000"/>
    </w:p>
    <w:p>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Chars="0" w:firstLine="642" w:firstLineChars="200"/>
        <w:jc w:val="both"/>
        <w:textAlignment w:val="auto"/>
        <w:rPr>
          <w:rFonts w:hint="eastAsia" w:ascii="仿宋_GB2312" w:hAnsi="仿宋_GB2312" w:eastAsia="仿宋_GB2312" w:cs="仿宋_GB2312"/>
          <w:b w:val="0"/>
          <w:smallCaps w:val="0"/>
          <w:color w:val="auto"/>
          <w:kern w:val="2"/>
          <w:sz w:val="32"/>
          <w:szCs w:val="32"/>
          <w:highlight w:val="none"/>
          <w:lang w:val="en-US" w:eastAsia="zh-CN" w:bidi="ar-SA"/>
        </w:rPr>
      </w:pPr>
      <w:r>
        <w:rPr>
          <w:rFonts w:hint="eastAsia" w:ascii="仿宋_GB2312" w:hAnsi="仿宋_GB2312" w:eastAsia="仿宋_GB2312" w:cs="仿宋_GB2312"/>
          <w:b/>
          <w:bCs/>
          <w:smallCaps w:val="0"/>
          <w:color w:val="auto"/>
          <w:kern w:val="2"/>
          <w:sz w:val="32"/>
          <w:szCs w:val="32"/>
          <w:highlight w:val="none"/>
          <w:lang w:val="en-US" w:eastAsia="zh-CN" w:bidi="ar-SA"/>
        </w:rPr>
        <w:t>14.</w:t>
      </w:r>
      <w:bookmarkEnd w:id="7"/>
      <w:r>
        <w:rPr>
          <w:rFonts w:hint="eastAsia" w:ascii="仿宋_GB2312" w:hAnsi="仿宋_GB2312" w:eastAsia="仿宋_GB2312" w:cs="仿宋_GB2312"/>
          <w:b/>
          <w:bCs/>
          <w:smallCaps w:val="0"/>
          <w:color w:val="auto"/>
          <w:kern w:val="2"/>
          <w:sz w:val="32"/>
          <w:szCs w:val="32"/>
          <w:highlight w:val="none"/>
          <w:lang w:val="en-US" w:eastAsia="zh-CN" w:bidi="ar-SA"/>
        </w:rPr>
        <w:t>支持创新载体建设。</w:t>
      </w:r>
      <w:r>
        <w:rPr>
          <w:rFonts w:hint="eastAsia" w:ascii="仿宋_GB2312" w:hAnsi="仿宋_GB2312" w:eastAsia="仿宋_GB2312" w:cs="仿宋_GB2312"/>
          <w:b w:val="0"/>
          <w:smallCaps w:val="0"/>
          <w:color w:val="auto"/>
          <w:kern w:val="2"/>
          <w:sz w:val="32"/>
          <w:szCs w:val="32"/>
          <w:highlight w:val="none"/>
          <w:lang w:val="en-US" w:eastAsia="zh-CN" w:bidi="ar-SA"/>
        </w:rPr>
        <w:t>发挥机器人数据训练场、机器人关键零部件创新中心、RISC-V开源生态创新中心等创新载体作用，为企业提供具身智能数据采集、场景验证、国产算力适配等服务。按创新载体的设备和软件投入不超过30%的比例，给予累计最高1000万元的资助。对新获得人工智能与机器人领域国家级、省级制造业创新中心称号的，分别给予最高1000万元、500万元的配套资金支持。（责任单位：市工业和信息化局、科技产业集团）</w:t>
      </w:r>
    </w:p>
    <w:p>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Chars="0" w:firstLine="642" w:firstLineChars="200"/>
        <w:jc w:val="both"/>
        <w:textAlignment w:val="auto"/>
        <w:rPr>
          <w:rFonts w:hint="eastAsia" w:ascii="仿宋_GB2312" w:hAnsi="仿宋_GB2312" w:eastAsia="仿宋_GB2312" w:cs="仿宋_GB2312"/>
          <w:b w:val="0"/>
          <w:bCs w:val="0"/>
          <w:smallCaps w:val="0"/>
          <w:color w:val="auto"/>
          <w:kern w:val="2"/>
          <w:sz w:val="32"/>
          <w:szCs w:val="32"/>
          <w:highlight w:val="none"/>
          <w:lang w:val="en-US" w:eastAsia="zh-CN" w:bidi="ar-SA"/>
        </w:rPr>
      </w:pPr>
      <w:r>
        <w:rPr>
          <w:rFonts w:hint="eastAsia" w:ascii="仿宋_GB2312" w:hAnsi="仿宋_GB2312" w:eastAsia="仿宋_GB2312" w:cs="仿宋_GB2312"/>
          <w:b/>
          <w:bCs/>
          <w:smallCaps w:val="0"/>
          <w:color w:val="auto"/>
          <w:kern w:val="2"/>
          <w:sz w:val="32"/>
          <w:szCs w:val="32"/>
          <w:highlight w:val="none"/>
          <w:lang w:val="en-US" w:eastAsia="zh-CN" w:bidi="ar-SA"/>
        </w:rPr>
        <w:t>15.深化珠港澳创新合作。</w:t>
      </w:r>
      <w:r>
        <w:rPr>
          <w:rFonts w:hint="eastAsia" w:ascii="仿宋_GB2312" w:hAnsi="仿宋_GB2312" w:eastAsia="仿宋_GB2312" w:cs="仿宋_GB2312"/>
          <w:b w:val="0"/>
          <w:bCs w:val="0"/>
          <w:smallCaps w:val="0"/>
          <w:color w:val="auto"/>
          <w:kern w:val="2"/>
          <w:sz w:val="32"/>
          <w:szCs w:val="32"/>
          <w:highlight w:val="none"/>
          <w:lang w:val="en-US" w:eastAsia="zh-CN" w:bidi="ar-SA"/>
        </w:rPr>
        <w:t>发挥“港澳研发+横琴政策+珠海制造+全球市场”的乘数效应，支持服务横琴粤澳深度合作区建设跨境可信数据空间和数据资源共享平台，探索建立与澳门、香港的高效安全数据跨境流动机制。依托横琴类脑智能、先进计算、人工智能开源平台等公共技术平台，推动前沿成果转化。积极探索项目联合支持、人才联合培育、资金联合投入的创新模式。（责任单位：市政务和数据局、市科技创新局、市工业和信息化局）</w:t>
      </w:r>
      <w:bookmarkStart w:id="8" w:name="_Toc17369"/>
    </w:p>
    <w:p>
      <w:pPr>
        <w:pStyle w:val="5"/>
        <w:keepNext/>
        <w:keepLines/>
        <w:pageBreakBefore w:val="0"/>
        <w:widowControl w:val="0"/>
        <w:numPr>
          <w:ilvl w:val="-1"/>
          <w:numId w:val="0"/>
        </w:numPr>
        <w:kinsoku/>
        <w:wordWrap/>
        <w:overflowPunct/>
        <w:topLinePunct w:val="0"/>
        <w:autoSpaceDE/>
        <w:autoSpaceDN/>
        <w:bidi w:val="0"/>
        <w:adjustRightInd/>
        <w:snapToGrid/>
        <w:spacing w:beforeLines="0" w:afterLines="0" w:line="579" w:lineRule="exact"/>
        <w:ind w:leftChars="200" w:firstLine="0" w:firstLineChars="0"/>
        <w:textAlignment w:val="auto"/>
        <w:rPr>
          <w:rFonts w:hint="eastAsia" w:ascii="楷体_GB2312" w:hAnsi="楷体_GB2312" w:eastAsia="楷体_GB2312" w:cs="楷体_GB2312"/>
          <w:smallCaps w:val="0"/>
          <w:color w:val="auto"/>
          <w:highlight w:val="none"/>
          <w:lang w:val="en-US" w:eastAsia="zh-CN"/>
        </w:rPr>
      </w:pPr>
      <w:r>
        <w:rPr>
          <w:rFonts w:hint="eastAsia" w:ascii="楷体_GB2312" w:hAnsi="楷体_GB2312" w:eastAsia="楷体_GB2312" w:cs="楷体_GB2312"/>
          <w:smallCaps w:val="0"/>
          <w:color w:val="auto"/>
          <w:highlight w:val="none"/>
          <w:lang w:val="en-US" w:eastAsia="zh-CN"/>
        </w:rPr>
        <w:t>（八）生态体系支撑行动</w:t>
      </w:r>
      <w:bookmarkEnd w:id="8"/>
      <w:bookmarkStart w:id="9" w:name="_Toc13243"/>
    </w:p>
    <w:p>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Chars="0" w:firstLine="642" w:firstLineChars="200"/>
        <w:jc w:val="both"/>
        <w:textAlignment w:val="auto"/>
        <w:rPr>
          <w:rFonts w:hint="eastAsia" w:ascii="仿宋_GB2312" w:hAnsi="仿宋_GB2312" w:eastAsia="仿宋_GB2312" w:cs="仿宋_GB2312"/>
          <w:b w:val="0"/>
          <w:bCs w:val="0"/>
          <w:smallCaps w:val="0"/>
          <w:color w:val="auto"/>
          <w:kern w:val="2"/>
          <w:sz w:val="32"/>
          <w:szCs w:val="32"/>
          <w:highlight w:val="none"/>
          <w:lang w:val="en-US" w:eastAsia="zh-CN" w:bidi="ar-SA"/>
        </w:rPr>
      </w:pPr>
      <w:r>
        <w:rPr>
          <w:rFonts w:hint="eastAsia" w:ascii="仿宋_GB2312" w:hAnsi="仿宋_GB2312" w:eastAsia="仿宋_GB2312" w:cs="仿宋_GB2312"/>
          <w:b/>
          <w:bCs/>
          <w:smallCaps w:val="0"/>
          <w:color w:val="auto"/>
          <w:kern w:val="2"/>
          <w:sz w:val="32"/>
          <w:szCs w:val="32"/>
          <w:highlight w:val="none"/>
          <w:lang w:val="en-US" w:eastAsia="zh-CN" w:bidi="ar-SA"/>
        </w:rPr>
        <w:t>16.完善人才体系。</w:t>
      </w:r>
      <w:r>
        <w:rPr>
          <w:rFonts w:hint="eastAsia" w:ascii="仿宋_GB2312" w:hAnsi="仿宋_GB2312" w:eastAsia="仿宋_GB2312" w:cs="仿宋_GB2312"/>
          <w:b w:val="0"/>
          <w:bCs w:val="0"/>
          <w:smallCaps w:val="0"/>
          <w:color w:val="auto"/>
          <w:kern w:val="2"/>
          <w:sz w:val="32"/>
          <w:szCs w:val="32"/>
          <w:highlight w:val="none"/>
          <w:lang w:val="en-US" w:eastAsia="zh-CN" w:bidi="ar-SA"/>
        </w:rPr>
        <w:t>积极引育人工智能赋能复合型人才，打造既懂AI制造机理又掌握AI技能的人才队伍。鼓励在珠高校加强人工智能相关学科建设。支持有条件企业与高校设置联合课程培养“智能工匠”，共建实习基地，对在珠高校学生予以实习补贴支持。（责任单位：市工业和信息化局、市教育局、市人力资源和社会保障局）</w:t>
      </w:r>
    </w:p>
    <w:p>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Chars="0" w:firstLine="642" w:firstLineChars="200"/>
        <w:jc w:val="both"/>
        <w:textAlignment w:val="auto"/>
        <w:rPr>
          <w:rFonts w:hint="eastAsia" w:ascii="仿宋_GB2312" w:hAnsi="仿宋_GB2312" w:eastAsia="仿宋_GB2312" w:cs="仿宋_GB2312"/>
          <w:b w:val="0"/>
          <w:bCs w:val="0"/>
          <w:smallCaps w:val="0"/>
          <w:color w:val="auto"/>
          <w:kern w:val="2"/>
          <w:sz w:val="32"/>
          <w:szCs w:val="32"/>
          <w:highlight w:val="none"/>
          <w:lang w:val="en-US" w:eastAsia="zh-CN" w:bidi="ar-SA"/>
        </w:rPr>
      </w:pPr>
      <w:r>
        <w:rPr>
          <w:rFonts w:hint="eastAsia" w:ascii="仿宋_GB2312" w:hAnsi="仿宋_GB2312" w:eastAsia="仿宋_GB2312" w:cs="仿宋_GB2312"/>
          <w:b/>
          <w:bCs/>
          <w:smallCaps w:val="0"/>
          <w:color w:val="auto"/>
          <w:kern w:val="2"/>
          <w:sz w:val="32"/>
          <w:szCs w:val="32"/>
          <w:highlight w:val="none"/>
          <w:lang w:val="en-US" w:eastAsia="zh-CN" w:bidi="ar-SA"/>
        </w:rPr>
        <w:t>17.加强金融</w:t>
      </w:r>
      <w:bookmarkEnd w:id="9"/>
      <w:r>
        <w:rPr>
          <w:rFonts w:hint="eastAsia" w:ascii="仿宋_GB2312" w:hAnsi="仿宋_GB2312" w:eastAsia="仿宋_GB2312" w:cs="仿宋_GB2312"/>
          <w:b/>
          <w:bCs/>
          <w:smallCaps w:val="0"/>
          <w:color w:val="auto"/>
          <w:kern w:val="2"/>
          <w:sz w:val="32"/>
          <w:szCs w:val="32"/>
          <w:highlight w:val="none"/>
          <w:lang w:val="en-US" w:eastAsia="zh-CN" w:bidi="ar-SA"/>
        </w:rPr>
        <w:t>服务。</w:t>
      </w:r>
      <w:r>
        <w:rPr>
          <w:rFonts w:hint="eastAsia" w:ascii="仿宋_GB2312" w:hAnsi="仿宋_GB2312" w:eastAsia="仿宋_GB2312" w:cs="仿宋_GB2312"/>
          <w:b w:val="0"/>
          <w:bCs w:val="0"/>
          <w:smallCaps w:val="0"/>
          <w:color w:val="auto"/>
          <w:kern w:val="2"/>
          <w:sz w:val="32"/>
          <w:szCs w:val="32"/>
          <w:highlight w:val="none"/>
          <w:lang w:val="en-US" w:eastAsia="zh-CN" w:bidi="ar-SA"/>
        </w:rPr>
        <w:t>发挥800亿元新质生产力基金作用，重点支持工业模型研发、场景孵化、中试验证等项目，加大人工智能领域以投促引力度。深化政银企合作，建立“政策引导+金融支持+技术赋能”三位一体的融资服务体系，发放“算力贷”“模型贷”，为人工智能赋能企业提供不低于50亿元总授信额度支持。引导银行、创投机构推出“人工智能转型贷”“智能终端专项贷”，给予利率优惠，降低企业融资成本。（责任单位：市委办公室（金融工作），市国资委，市工业和信息化局）</w:t>
      </w:r>
    </w:p>
    <w:p>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Chars="0" w:firstLine="642" w:firstLineChars="200"/>
        <w:jc w:val="both"/>
        <w:textAlignment w:val="auto"/>
        <w:rPr>
          <w:rFonts w:hint="eastAsia" w:ascii="仿宋_GB2312" w:hAnsi="仿宋_GB2312" w:eastAsia="仿宋_GB2312" w:cs="仿宋_GB2312"/>
          <w:b w:val="0"/>
          <w:bCs w:val="0"/>
          <w:smallCaps w:val="0"/>
          <w:color w:val="auto"/>
          <w:kern w:val="2"/>
          <w:sz w:val="32"/>
          <w:szCs w:val="32"/>
          <w:highlight w:val="none"/>
          <w:lang w:val="en-US" w:eastAsia="zh-CN" w:bidi="ar-SA"/>
        </w:rPr>
      </w:pPr>
      <w:r>
        <w:rPr>
          <w:rFonts w:hint="eastAsia" w:ascii="仿宋_GB2312" w:hAnsi="仿宋_GB2312" w:eastAsia="仿宋_GB2312" w:cs="仿宋_GB2312"/>
          <w:b/>
          <w:bCs/>
          <w:smallCaps w:val="0"/>
          <w:color w:val="auto"/>
          <w:kern w:val="2"/>
          <w:sz w:val="32"/>
          <w:szCs w:val="32"/>
          <w:highlight w:val="none"/>
          <w:lang w:val="en-US" w:eastAsia="zh-CN" w:bidi="ar-SA"/>
        </w:rPr>
        <w:t>18.提升安全保障能力。</w:t>
      </w:r>
      <w:r>
        <w:rPr>
          <w:rFonts w:hint="eastAsia" w:ascii="仿宋_GB2312" w:hAnsi="仿宋_GB2312" w:eastAsia="仿宋_GB2312" w:cs="仿宋_GB2312"/>
          <w:b w:val="0"/>
          <w:bCs w:val="0"/>
          <w:smallCaps w:val="0"/>
          <w:color w:val="auto"/>
          <w:kern w:val="2"/>
          <w:sz w:val="32"/>
          <w:szCs w:val="32"/>
          <w:highlight w:val="none"/>
          <w:lang w:val="en-US" w:eastAsia="zh-CN" w:bidi="ar-SA"/>
        </w:rPr>
        <w:t>开展企业工业互联网安全分级分类管理，聚焦供应链上下游协作、服务外包、上云上平台等典型业务场景，加强重要数据和核心数据安全风险监测与应急处置，建立全链条全方位数据安全保护体系，强化人工智能安全保护能力。（责任单位：市工业和信息化局）</w:t>
      </w:r>
    </w:p>
    <w:p>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Chars="0" w:firstLine="640" w:firstLineChars="200"/>
        <w:jc w:val="both"/>
        <w:textAlignment w:val="auto"/>
        <w:rPr>
          <w:rFonts w:hint="eastAsia" w:ascii="仿宋_GB2312" w:hAnsi="仿宋_GB2312" w:eastAsia="仿宋_GB2312" w:cs="仿宋_GB2312"/>
          <w:b w:val="0"/>
          <w:bCs w:val="0"/>
          <w:smallCaps w:val="0"/>
          <w:color w:val="auto"/>
          <w:kern w:val="2"/>
          <w:sz w:val="32"/>
          <w:szCs w:val="32"/>
          <w:highlight w:val="none"/>
          <w:lang w:val="en-US" w:eastAsia="zh-CN" w:bidi="ar-SA"/>
        </w:rPr>
      </w:pPr>
    </w:p>
    <w:p>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Chars="0" w:firstLine="640" w:firstLineChars="200"/>
        <w:jc w:val="both"/>
        <w:textAlignment w:val="auto"/>
        <w:rPr>
          <w:rFonts w:hint="eastAsia" w:ascii="仿宋_GB2312" w:hAnsi="仿宋_GB2312" w:cs="仿宋_GB2312"/>
          <w:b w:val="0"/>
          <w:bCs w:val="0"/>
          <w:smallCaps w:val="0"/>
          <w:color w:val="auto"/>
          <w:kern w:val="2"/>
          <w:sz w:val="32"/>
          <w:szCs w:val="32"/>
          <w:highlight w:val="none"/>
          <w:lang w:val="en-US" w:eastAsia="zh-CN" w:bidi="ar-SA"/>
        </w:rPr>
      </w:pPr>
      <w:r>
        <w:rPr>
          <w:rFonts w:hint="eastAsia" w:ascii="仿宋_GB2312" w:hAnsi="仿宋_GB2312" w:cs="仿宋_GB2312"/>
          <w:b w:val="0"/>
          <w:bCs w:val="0"/>
          <w:smallCaps w:val="0"/>
          <w:color w:val="auto"/>
          <w:kern w:val="2"/>
          <w:sz w:val="32"/>
          <w:szCs w:val="32"/>
          <w:highlight w:val="none"/>
          <w:lang w:val="en-US" w:eastAsia="zh-CN" w:bidi="ar-SA"/>
        </w:rPr>
        <w:t>附件：制造业企业人工智能应用流程图</w:t>
      </w:r>
    </w:p>
    <w:p>
      <w:pPr>
        <w:rPr>
          <w:rFonts w:hint="eastAsia" w:ascii="仿宋_GB2312" w:hAnsi="仿宋_GB2312" w:cs="仿宋_GB2312"/>
          <w:b w:val="0"/>
          <w:bCs w:val="0"/>
          <w:smallCaps w:val="0"/>
          <w:color w:val="auto"/>
          <w:kern w:val="2"/>
          <w:sz w:val="32"/>
          <w:szCs w:val="32"/>
          <w:highlight w:val="none"/>
          <w:lang w:val="en-US" w:eastAsia="zh-CN" w:bidi="ar-SA"/>
        </w:rPr>
      </w:pPr>
      <w:r>
        <w:rPr>
          <w:rFonts w:hint="eastAsia" w:ascii="仿宋_GB2312" w:hAnsi="仿宋_GB2312" w:cs="仿宋_GB2312"/>
          <w:b w:val="0"/>
          <w:bCs w:val="0"/>
          <w:smallCaps w:val="0"/>
          <w:color w:val="auto"/>
          <w:kern w:val="2"/>
          <w:sz w:val="32"/>
          <w:szCs w:val="32"/>
          <w:highlight w:val="none"/>
          <w:lang w:val="en-US" w:eastAsia="zh-CN" w:bidi="ar-SA"/>
        </w:rPr>
        <w:br w:type="page"/>
      </w:r>
    </w:p>
    <w:p>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jc w:val="both"/>
        <w:textAlignment w:val="auto"/>
        <w:rPr>
          <w:rFonts w:hint="eastAsia" w:ascii="黑体" w:hAnsi="黑体" w:eastAsia="黑体" w:cs="黑体"/>
          <w:b w:val="0"/>
          <w:bCs w:val="0"/>
          <w:smallCaps w:val="0"/>
          <w:color w:val="auto"/>
          <w:kern w:val="2"/>
          <w:sz w:val="32"/>
          <w:szCs w:val="32"/>
          <w:highlight w:val="none"/>
          <w:lang w:val="en-US" w:eastAsia="zh-CN" w:bidi="ar-SA"/>
        </w:rPr>
      </w:pPr>
      <w:r>
        <w:rPr>
          <w:rFonts w:hint="eastAsia" w:ascii="黑体" w:hAnsi="黑体" w:eastAsia="黑体" w:cs="黑体"/>
          <w:b w:val="0"/>
          <w:bCs w:val="0"/>
          <w:smallCaps w:val="0"/>
          <w:color w:val="auto"/>
          <w:kern w:val="2"/>
          <w:sz w:val="32"/>
          <w:szCs w:val="32"/>
          <w:highlight w:val="none"/>
          <w:lang w:val="en-US" w:eastAsia="zh-CN" w:bidi="ar-SA"/>
        </w:rPr>
        <w:t>附件：</w:t>
      </w:r>
    </w:p>
    <w:p>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jc w:val="both"/>
        <w:textAlignment w:val="auto"/>
        <w:rPr>
          <w:rFonts w:hint="eastAsia" w:ascii="仿宋_GB2312" w:hAnsi="仿宋_GB2312" w:cs="仿宋_GB2312"/>
          <w:b w:val="0"/>
          <w:bCs w:val="0"/>
          <w:smallCaps w:val="0"/>
          <w:color w:val="auto"/>
          <w:kern w:val="2"/>
          <w:sz w:val="32"/>
          <w:szCs w:val="32"/>
          <w:highlight w:val="none"/>
          <w:lang w:val="en-US" w:eastAsia="zh-CN" w:bidi="ar-SA"/>
        </w:rPr>
      </w:pPr>
      <w:r>
        <w:rPr>
          <w:rFonts w:hint="eastAsia" w:ascii="仿宋_GB2312" w:hAnsi="仿宋_GB2312" w:cs="仿宋_GB2312"/>
          <w:b w:val="0"/>
          <w:bCs w:val="0"/>
          <w:smallCaps w:val="0"/>
          <w:color w:val="auto"/>
          <w:kern w:val="2"/>
          <w:sz w:val="32"/>
          <w:szCs w:val="32"/>
          <w:highlight w:val="none"/>
          <w:lang w:val="en-US" w:eastAsia="zh-CN" w:bidi="ar-SA"/>
        </w:rPr>
        <w:drawing>
          <wp:inline distT="0" distB="0" distL="114300" distR="114300">
            <wp:extent cx="5241290" cy="7405370"/>
            <wp:effectExtent l="0" t="0" r="6985" b="5080"/>
            <wp:docPr id="2" name="图片 2" descr="流程图0114(5)"/>
            <wp:cNvGraphicFramePr/>
            <a:graphic xmlns:a="http://schemas.openxmlformats.org/drawingml/2006/main">
              <a:graphicData uri="http://schemas.openxmlformats.org/drawingml/2006/picture">
                <pic:pic xmlns:pic="http://schemas.openxmlformats.org/drawingml/2006/picture">
                  <pic:nvPicPr>
                    <pic:cNvPr id="2" name="图片 2" descr="流程图0114(5)"/>
                    <pic:cNvPicPr/>
                  </pic:nvPicPr>
                  <pic:blipFill>
                    <a:blip r:embed="rId5"/>
                    <a:stretch>
                      <a:fillRect/>
                    </a:stretch>
                  </pic:blipFill>
                  <pic:spPr>
                    <a:xfrm>
                      <a:off x="0" y="0"/>
                      <a:ext cx="5241290" cy="7405370"/>
                    </a:xfrm>
                    <a:prstGeom prst="rect">
                      <a:avLst/>
                    </a:prstGeom>
                  </pic:spPr>
                </pic:pic>
              </a:graphicData>
            </a:graphic>
          </wp:inline>
        </w:drawing>
      </w:r>
    </w:p>
    <w:p>
      <w:pPr>
        <w:pStyle w:val="3"/>
        <w:pageBreakBefore w:val="0"/>
        <w:kinsoku/>
        <w:wordWrap/>
        <w:overflowPunct/>
        <w:topLinePunct w:val="0"/>
        <w:autoSpaceDE/>
        <w:autoSpaceDN/>
        <w:bidi w:val="0"/>
        <w:spacing w:before="0" w:after="0" w:line="579" w:lineRule="exact"/>
        <w:ind w:left="0" w:leftChars="0" w:firstLine="0" w:firstLineChars="0"/>
        <w:textAlignment w:val="auto"/>
        <w:rPr>
          <w:rFonts w:hint="default"/>
          <w:smallCaps w:val="0"/>
          <w:color w:val="auto"/>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4B6DF3"/>
    <w:multiLevelType w:val="singleLevel"/>
    <w:tmpl w:val="7B4B6DF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57208"/>
    <w:rsid w:val="00070293"/>
    <w:rsid w:val="02144997"/>
    <w:rsid w:val="0225140E"/>
    <w:rsid w:val="032875BA"/>
    <w:rsid w:val="03AA6C1A"/>
    <w:rsid w:val="06600081"/>
    <w:rsid w:val="07456322"/>
    <w:rsid w:val="07DA3CAC"/>
    <w:rsid w:val="0828743C"/>
    <w:rsid w:val="0987015F"/>
    <w:rsid w:val="09940ED8"/>
    <w:rsid w:val="09D26061"/>
    <w:rsid w:val="0A9F60FD"/>
    <w:rsid w:val="0AD02447"/>
    <w:rsid w:val="0AE7534D"/>
    <w:rsid w:val="0C9C1937"/>
    <w:rsid w:val="0D063E2D"/>
    <w:rsid w:val="0E7F4BD9"/>
    <w:rsid w:val="0F4E60C3"/>
    <w:rsid w:val="0FAC0D64"/>
    <w:rsid w:val="102A2BF5"/>
    <w:rsid w:val="142F4EE9"/>
    <w:rsid w:val="14CC0E13"/>
    <w:rsid w:val="15FC5B89"/>
    <w:rsid w:val="163920D2"/>
    <w:rsid w:val="16CD19B0"/>
    <w:rsid w:val="17892501"/>
    <w:rsid w:val="179943E2"/>
    <w:rsid w:val="17F760DF"/>
    <w:rsid w:val="18272969"/>
    <w:rsid w:val="1902372D"/>
    <w:rsid w:val="192D5BA2"/>
    <w:rsid w:val="194D0E94"/>
    <w:rsid w:val="196C36C2"/>
    <w:rsid w:val="1ADF7C05"/>
    <w:rsid w:val="1B4B3CFA"/>
    <w:rsid w:val="1C3361BF"/>
    <w:rsid w:val="1C3D300F"/>
    <w:rsid w:val="1C6B2F11"/>
    <w:rsid w:val="1C7A3345"/>
    <w:rsid w:val="1CC47299"/>
    <w:rsid w:val="1CF22027"/>
    <w:rsid w:val="1CF754A7"/>
    <w:rsid w:val="1CFD6AEF"/>
    <w:rsid w:val="1D1509C8"/>
    <w:rsid w:val="1D1C50CD"/>
    <w:rsid w:val="1D5A2827"/>
    <w:rsid w:val="1DE17414"/>
    <w:rsid w:val="208F387A"/>
    <w:rsid w:val="21BD217C"/>
    <w:rsid w:val="220D313B"/>
    <w:rsid w:val="223955E2"/>
    <w:rsid w:val="230D7BEE"/>
    <w:rsid w:val="23C164A0"/>
    <w:rsid w:val="241209A3"/>
    <w:rsid w:val="243A1D2A"/>
    <w:rsid w:val="25326543"/>
    <w:rsid w:val="258934CE"/>
    <w:rsid w:val="27BC248B"/>
    <w:rsid w:val="27E126B6"/>
    <w:rsid w:val="27F563EA"/>
    <w:rsid w:val="28413455"/>
    <w:rsid w:val="28E9649F"/>
    <w:rsid w:val="28F04EB2"/>
    <w:rsid w:val="29C7779A"/>
    <w:rsid w:val="2A15789A"/>
    <w:rsid w:val="2A7E3A46"/>
    <w:rsid w:val="2A8F1762"/>
    <w:rsid w:val="2AAD3877"/>
    <w:rsid w:val="2B212A66"/>
    <w:rsid w:val="2B377159"/>
    <w:rsid w:val="2B782F86"/>
    <w:rsid w:val="2BA52D91"/>
    <w:rsid w:val="2DA8454D"/>
    <w:rsid w:val="2DFF67F3"/>
    <w:rsid w:val="2E0B6771"/>
    <w:rsid w:val="3050769A"/>
    <w:rsid w:val="305E17D7"/>
    <w:rsid w:val="30C40A2D"/>
    <w:rsid w:val="316E496E"/>
    <w:rsid w:val="31D67E15"/>
    <w:rsid w:val="31DF06EB"/>
    <w:rsid w:val="32C722DC"/>
    <w:rsid w:val="33895A8E"/>
    <w:rsid w:val="33C35121"/>
    <w:rsid w:val="34131D21"/>
    <w:rsid w:val="34FD8B71"/>
    <w:rsid w:val="35B70430"/>
    <w:rsid w:val="36A43BDE"/>
    <w:rsid w:val="37011F5D"/>
    <w:rsid w:val="37C3720B"/>
    <w:rsid w:val="37EF6207"/>
    <w:rsid w:val="37F777E0"/>
    <w:rsid w:val="37FF2350"/>
    <w:rsid w:val="38920276"/>
    <w:rsid w:val="38CC53F5"/>
    <w:rsid w:val="38F46AD2"/>
    <w:rsid w:val="39182D21"/>
    <w:rsid w:val="3A894021"/>
    <w:rsid w:val="3C057858"/>
    <w:rsid w:val="3C790759"/>
    <w:rsid w:val="3CC42B41"/>
    <w:rsid w:val="3CE35C56"/>
    <w:rsid w:val="3CFD619E"/>
    <w:rsid w:val="3D0300A8"/>
    <w:rsid w:val="3D7F5DF9"/>
    <w:rsid w:val="3DCA470A"/>
    <w:rsid w:val="3DDF73B8"/>
    <w:rsid w:val="3E2B6EA5"/>
    <w:rsid w:val="3F9D125E"/>
    <w:rsid w:val="3FDF733D"/>
    <w:rsid w:val="3FF71E46"/>
    <w:rsid w:val="407E23EF"/>
    <w:rsid w:val="411D7EC4"/>
    <w:rsid w:val="42243B52"/>
    <w:rsid w:val="432765A4"/>
    <w:rsid w:val="43992705"/>
    <w:rsid w:val="439F42C5"/>
    <w:rsid w:val="44557CFB"/>
    <w:rsid w:val="465A1079"/>
    <w:rsid w:val="46606643"/>
    <w:rsid w:val="467263C0"/>
    <w:rsid w:val="477779BC"/>
    <w:rsid w:val="47DA1563"/>
    <w:rsid w:val="48BC61AE"/>
    <w:rsid w:val="48C40E1D"/>
    <w:rsid w:val="48FF62C9"/>
    <w:rsid w:val="4A334C12"/>
    <w:rsid w:val="4A4B6D70"/>
    <w:rsid w:val="4A830677"/>
    <w:rsid w:val="4A9F00FA"/>
    <w:rsid w:val="4C0E1539"/>
    <w:rsid w:val="4CE0222C"/>
    <w:rsid w:val="4D7C7413"/>
    <w:rsid w:val="4E225ACA"/>
    <w:rsid w:val="4E40036A"/>
    <w:rsid w:val="4E640A2C"/>
    <w:rsid w:val="4EB77C34"/>
    <w:rsid w:val="4F614492"/>
    <w:rsid w:val="50076E41"/>
    <w:rsid w:val="506F3928"/>
    <w:rsid w:val="5085736F"/>
    <w:rsid w:val="510E7ED4"/>
    <w:rsid w:val="51122012"/>
    <w:rsid w:val="51226A29"/>
    <w:rsid w:val="518B5E73"/>
    <w:rsid w:val="51FD35E2"/>
    <w:rsid w:val="521D148B"/>
    <w:rsid w:val="524938D2"/>
    <w:rsid w:val="524E071D"/>
    <w:rsid w:val="528256EC"/>
    <w:rsid w:val="52CC3005"/>
    <w:rsid w:val="52CDD62F"/>
    <w:rsid w:val="52FFBA98"/>
    <w:rsid w:val="54DD51EC"/>
    <w:rsid w:val="54E375AA"/>
    <w:rsid w:val="55077F47"/>
    <w:rsid w:val="552D631C"/>
    <w:rsid w:val="566E6F5B"/>
    <w:rsid w:val="57D83FAF"/>
    <w:rsid w:val="584432DE"/>
    <w:rsid w:val="588817BB"/>
    <w:rsid w:val="59733559"/>
    <w:rsid w:val="599F88ED"/>
    <w:rsid w:val="59EEFF32"/>
    <w:rsid w:val="5B0867BA"/>
    <w:rsid w:val="5B51765E"/>
    <w:rsid w:val="5B6D2930"/>
    <w:rsid w:val="5CB35126"/>
    <w:rsid w:val="5CE9016E"/>
    <w:rsid w:val="5CF747C6"/>
    <w:rsid w:val="5E0E4430"/>
    <w:rsid w:val="5E48677B"/>
    <w:rsid w:val="5E515E4C"/>
    <w:rsid w:val="5F2C5541"/>
    <w:rsid w:val="5F7B129F"/>
    <w:rsid w:val="5F9D103A"/>
    <w:rsid w:val="5FA92918"/>
    <w:rsid w:val="5FB82E15"/>
    <w:rsid w:val="5FDA50CD"/>
    <w:rsid w:val="60183AB8"/>
    <w:rsid w:val="614F345E"/>
    <w:rsid w:val="61E60EAB"/>
    <w:rsid w:val="6241186F"/>
    <w:rsid w:val="62463054"/>
    <w:rsid w:val="62E373D4"/>
    <w:rsid w:val="63CA40E4"/>
    <w:rsid w:val="63F34083"/>
    <w:rsid w:val="64413DFC"/>
    <w:rsid w:val="653171B0"/>
    <w:rsid w:val="67661634"/>
    <w:rsid w:val="67DC45B1"/>
    <w:rsid w:val="67E411BF"/>
    <w:rsid w:val="684C0F84"/>
    <w:rsid w:val="690F647F"/>
    <w:rsid w:val="69157208"/>
    <w:rsid w:val="69303421"/>
    <w:rsid w:val="69F778DA"/>
    <w:rsid w:val="6B7EFBEE"/>
    <w:rsid w:val="6BBC743F"/>
    <w:rsid w:val="6C14241E"/>
    <w:rsid w:val="6C884442"/>
    <w:rsid w:val="6CAD3D92"/>
    <w:rsid w:val="6CAD6B72"/>
    <w:rsid w:val="6D1758AB"/>
    <w:rsid w:val="6D3349CA"/>
    <w:rsid w:val="6E10519E"/>
    <w:rsid w:val="6EAF0C88"/>
    <w:rsid w:val="6EFE4A6A"/>
    <w:rsid w:val="710C45CB"/>
    <w:rsid w:val="7119421C"/>
    <w:rsid w:val="712703A6"/>
    <w:rsid w:val="713D7853"/>
    <w:rsid w:val="71B3150E"/>
    <w:rsid w:val="72601B70"/>
    <w:rsid w:val="72B654DE"/>
    <w:rsid w:val="72CA397C"/>
    <w:rsid w:val="74742919"/>
    <w:rsid w:val="776FBD0D"/>
    <w:rsid w:val="77BE7A51"/>
    <w:rsid w:val="77C41E54"/>
    <w:rsid w:val="77DA0BDA"/>
    <w:rsid w:val="792E0533"/>
    <w:rsid w:val="793E30C2"/>
    <w:rsid w:val="79587FA4"/>
    <w:rsid w:val="7A973284"/>
    <w:rsid w:val="7AF90F00"/>
    <w:rsid w:val="7B372C93"/>
    <w:rsid w:val="7B9E933F"/>
    <w:rsid w:val="7BF54FE9"/>
    <w:rsid w:val="7BFF6E80"/>
    <w:rsid w:val="7C090236"/>
    <w:rsid w:val="7CEFF8BE"/>
    <w:rsid w:val="7D7F51E6"/>
    <w:rsid w:val="7DF7068B"/>
    <w:rsid w:val="7E086FD3"/>
    <w:rsid w:val="7E6F957F"/>
    <w:rsid w:val="7EB5D60B"/>
    <w:rsid w:val="7EFD8E16"/>
    <w:rsid w:val="7F893710"/>
    <w:rsid w:val="7FE70F87"/>
    <w:rsid w:val="7FF9C455"/>
    <w:rsid w:val="A2DF22B2"/>
    <w:rsid w:val="B56F566D"/>
    <w:rsid w:val="BF1A21E1"/>
    <w:rsid w:val="BF5CEECA"/>
    <w:rsid w:val="BFFD1218"/>
    <w:rsid w:val="DEDF605E"/>
    <w:rsid w:val="DFABD065"/>
    <w:rsid w:val="EABF1FF5"/>
    <w:rsid w:val="F5C9E3FA"/>
    <w:rsid w:val="F5FF3D37"/>
    <w:rsid w:val="F9DB222F"/>
    <w:rsid w:val="F9EF7BC4"/>
    <w:rsid w:val="FAFF546A"/>
    <w:rsid w:val="FF7FC932"/>
    <w:rsid w:val="FFF338F9"/>
    <w:rsid w:val="FFFFA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4">
    <w:name w:val="heading 1"/>
    <w:basedOn w:val="1"/>
    <w:next w:val="1"/>
    <w:qFormat/>
    <w:uiPriority w:val="0"/>
    <w:pPr>
      <w:spacing w:before="0" w:beforeAutospacing="0" w:after="0" w:afterAutospacing="0" w:line="360" w:lineRule="auto"/>
      <w:jc w:val="left"/>
      <w:outlineLvl w:val="0"/>
    </w:pPr>
    <w:rPr>
      <w:rFonts w:hint="eastAsia" w:ascii="宋体" w:hAnsi="宋体" w:eastAsia="方正小标宋_GBK" w:cs="宋体"/>
      <w:b/>
      <w:bCs/>
      <w:kern w:val="44"/>
      <w:szCs w:val="48"/>
      <w:lang w:bidi="ar"/>
    </w:rPr>
  </w:style>
  <w:style w:type="paragraph" w:styleId="5">
    <w:name w:val="heading 2"/>
    <w:basedOn w:val="1"/>
    <w:next w:val="1"/>
    <w:unhideWhenUsed/>
    <w:qFormat/>
    <w:uiPriority w:val="0"/>
    <w:pPr>
      <w:keepNext/>
      <w:keepLines/>
      <w:spacing w:beforeLines="0" w:beforeAutospacing="0" w:afterLines="0" w:afterAutospacing="0" w:line="360" w:lineRule="auto"/>
      <w:ind w:leftChars="300"/>
      <w:outlineLvl w:val="1"/>
    </w:pPr>
    <w:rPr>
      <w:rFonts w:ascii="Arial" w:hAnsi="Arial" w:eastAsia="黑体"/>
    </w:rPr>
  </w:style>
  <w:style w:type="paragraph" w:styleId="6">
    <w:name w:val="heading 3"/>
    <w:basedOn w:val="1"/>
    <w:next w:val="1"/>
    <w:unhideWhenUsed/>
    <w:qFormat/>
    <w:uiPriority w:val="0"/>
    <w:pPr>
      <w:keepNext/>
      <w:keepLines/>
      <w:spacing w:beforeLines="0" w:beforeAutospacing="0" w:afterLines="0" w:afterAutospacing="0" w:line="360" w:lineRule="auto"/>
      <w:ind w:leftChars="200"/>
      <w:outlineLvl w:val="2"/>
    </w:pPr>
    <w:rPr>
      <w:rFonts w:eastAsia="方正楷体_GBK"/>
      <w:b/>
    </w:rPr>
  </w:style>
  <w:style w:type="paragraph" w:styleId="7">
    <w:name w:val="heading 4"/>
    <w:basedOn w:val="1"/>
    <w:next w:val="1"/>
    <w:link w:val="15"/>
    <w:semiHidden/>
    <w:unhideWhenUsed/>
    <w:qFormat/>
    <w:uiPriority w:val="0"/>
    <w:pPr>
      <w:keepNext/>
      <w:keepLines/>
      <w:spacing w:before="280" w:beforeLines="0" w:beforeAutospacing="0" w:after="290" w:afterLines="0" w:afterAutospacing="0" w:line="372" w:lineRule="auto"/>
      <w:outlineLvl w:val="3"/>
    </w:pPr>
    <w:rPr>
      <w:rFonts w:ascii="Arial" w:hAnsi="Arial" w:eastAsia="仿宋_GB2312"/>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10"/>
    <w:pPr>
      <w:spacing w:before="240" w:after="60" w:line="560" w:lineRule="exact"/>
      <w:ind w:firstLine="640" w:firstLineChars="200"/>
      <w:jc w:val="left"/>
      <w:outlineLvl w:val="0"/>
    </w:pPr>
    <w:rPr>
      <w:rFonts w:ascii="Calibri Light" w:hAnsi="Calibri Light" w:eastAsia="黑体"/>
      <w:bCs/>
      <w:sz w:val="32"/>
      <w:szCs w:val="32"/>
    </w:rPr>
  </w:style>
  <w:style w:type="paragraph" w:styleId="8">
    <w:name w:val="Normal Indent"/>
    <w:basedOn w:val="1"/>
    <w:qFormat/>
    <w:uiPriority w:val="0"/>
    <w:pPr>
      <w:ind w:firstLine="420" w:firstLineChars="200"/>
    </w:pPr>
    <w:rPr>
      <w:rFonts w:ascii="Times New Roman" w:hAnsi="Times New Roman" w:cs="Times New Roma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character" w:customStyle="1" w:styleId="15">
    <w:name w:val="标题 4 Char"/>
    <w:link w:val="7"/>
    <w:qFormat/>
    <w:uiPriority w:val="0"/>
    <w:rPr>
      <w:rFonts w:ascii="Arial" w:hAnsi="Arial"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3851</Words>
  <Characters>3956</Characters>
  <Lines>0</Lines>
  <Paragraphs>0</Paragraphs>
  <TotalTime>6</TotalTime>
  <ScaleCrop>false</ScaleCrop>
  <LinksUpToDate>false</LinksUpToDate>
  <CharactersWithSpaces>3956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2026-01-14T16:34:00Z</dcterms:created>
  <dc:creator>は げんそう か</dc:creator>
  <cp:lastModifiedBy>Kylin</cp:lastModifiedBy>
  <dcterms:modified xsi:type="dcterms:W3CDTF">2026-01-14T17:33:44Z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F9909A47FA442C4DF8626769772EBAE6</vt:lpwstr>
  </property>
  <property fmtid="{D5CDD505-2E9C-101B-9397-08002B2CF9AE}" pid="4" name="KSOTemplateDocerSaveRecord">
    <vt:lpwstr>eyJoZGlkIjoiMzEwNTM5NzYwMDRjMzkwZTVkZjY2ODkwMGIxNGU0OTUiLCJ1c2VySWQiOiI0MzUzNDAyODQifQ==</vt:lpwstr>
  </property>
</Properties>
</file>