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600" w:lineRule="exact"/>
        <w:rPr>
          <w:rFonts w:ascii="Times New Roman" w:hAnsi="Times New Roman" w:cs="Times New Roman"/>
        </w:rPr>
      </w:pPr>
      <w:bookmarkStart w:id="0" w:name="_Toc1876357286"/>
      <w:r>
        <w:rPr>
          <w:rFonts w:ascii="Times New Roman" w:hAnsi="Times New Roman" w:cs="Times New Roman"/>
        </w:rPr>
        <w:t>东莞市消费新业态新模式新场景试点</w:t>
      </w:r>
      <w:bookmarkEnd w:id="0"/>
    </w:p>
    <w:p>
      <w:pPr>
        <w:pStyle w:val="3"/>
        <w:adjustRightInd w:val="0"/>
        <w:snapToGrid w:val="0"/>
        <w:spacing w:line="600" w:lineRule="exact"/>
        <w:rPr>
          <w:rFonts w:ascii="Times New Roman" w:hAnsi="Times New Roman" w:cs="Times New Roman"/>
        </w:rPr>
      </w:pPr>
      <w:bookmarkStart w:id="1" w:name="_Toc1302266316"/>
      <w:r>
        <w:rPr>
          <w:rFonts w:ascii="Times New Roman" w:hAnsi="Times New Roman" w:cs="Times New Roman"/>
        </w:rPr>
        <w:t>专项资金管理办法实施细则</w:t>
      </w:r>
      <w:bookmarkEnd w:id="1"/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eastAsia="楷体_GB2312" w:cs="Times New Roman"/>
          <w:sz w:val="32"/>
          <w:szCs w:val="48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8"/>
          <w:lang w:eastAsia="zh-CN"/>
        </w:rPr>
        <w:t>征求意见稿</w:t>
      </w:r>
      <w:bookmarkStart w:id="8" w:name="_GoBack"/>
      <w:bookmarkEnd w:id="8"/>
      <w:r>
        <w:rPr>
          <w:rFonts w:ascii="Times New Roman" w:hAnsi="Times New Roman" w:eastAsia="楷体_GB2312" w:cs="Times New Roman"/>
          <w:sz w:val="32"/>
          <w:szCs w:val="48"/>
        </w:rPr>
        <w:t>）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贯彻落实党中央、国务院决策部署，大力提振消费、扩大国内需求提供支撑，根据《财政部商务部关于开展消费新业态新模式新场景试点工作的通知》（财建〔2025〕341号）文件精神，以及《东莞市消费新业态新模式新场景试点项目管理办法》《东莞市消费新业态新模式新场景试点专项资金管理办法》，制定本实施细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一、资金支持对象及项目要求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（一）项目申报主体要求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1.依法注册登记，具有独立法人资格，主营业务与试点支持方向密切相关。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2.项目申报主体应为项目的实际投资建设及经营管理主体，具备承担项目申报能力，包括编写项目可行性报告或项目实施方案等。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3.项目申报主体愿意配合试点工作，建立工作台账并报送进展及数据。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（二）申报项目要求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1.项目需符合支持方向且建设地在东莞市行政区域内。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2.项目应于2025年10月1日至2027年6月30日期间建成并运营（包含试运营），在建项目仅支持政策发布后</w:t>
      </w:r>
      <w:r>
        <w:rPr>
          <w:rFonts w:hint="eastAsia"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2025年9月30日之后</w:t>
      </w:r>
      <w:r>
        <w:rPr>
          <w:rFonts w:hint="eastAsia" w:ascii="Times New Roman" w:hAnsi="Times New Roman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发生的实际投资额。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3.项目建设内容符合试点支持方向，有项目可行性报告或项目实施方案，明确项目建设内容、实施进度、工作目标、保障措施等具体事项。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4.项目建设资金来源合法并已落实，有合理的支出计划安排。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5.项目未享受超长期国债、地方政府专项债、中央基建投资及其他中央财政资金支持。包括但不限于国家发展改革委安排的中央基建投资、商务部安排的商贸流通提升试点建设等中央财政资金。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项目建设主体只能在资金支持的三大方向（健全首发经济服务体系、支持创新多元化服务消费场景、支持优质消费资源与知名IP跨界联名）中选择一个方向进行申报。项目建设主体应既是建设资金的使用单位，也是项目申报的运营单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7.项目建设主体承诺在项目建设过程中接受商务、财政、纪检、审计等相关部门的监督管理，及时上报项目进展情况，接受审计监督和绩效考核。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二、资金支持标准</w:t>
      </w:r>
    </w:p>
    <w:p>
      <w:pPr>
        <w:pStyle w:val="13"/>
        <w:adjustRightInd w:val="0"/>
        <w:snapToGrid w:val="0"/>
        <w:spacing w:after="0" w:line="580" w:lineRule="exact"/>
        <w:ind w:firstLine="640" w:firstLineChars="200"/>
        <w:jc w:val="both"/>
        <w:textAlignment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（一）支持健全首发经济服务体系</w:t>
      </w:r>
    </w:p>
    <w:p>
      <w:pPr>
        <w:pStyle w:val="2"/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1.支持打造一批首发中心、首发经济集聚区，在重点商圈商街、创意园区、文化场所等打造多层次的新品发布平台载体，集聚一批传播、传媒、广告、策划等专业服务机构。</w:t>
      </w:r>
    </w:p>
    <w:p>
      <w:pPr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按终验确定的符合专项资金使用方向的核定投资额（不含可抵扣增值税）给予最高不超过30%的补助。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2.支持具有引领性的国内外品牌在东莞开设高能级首店、旗舰店、概念店，并推动首店向总店、总部提升发展。</w:t>
      </w:r>
    </w:p>
    <w:p>
      <w:pPr>
        <w:adjustRightInd w:val="0"/>
        <w:snapToGrid w:val="0"/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根据开设店铺等级（亚洲首店、中国首店、广东首店、东莞首店）、经营面积、有效投入费用（店铺场地首年租赁费、场景搭建、展陈设备、软装布置等直接费用，不包含人员薪酬、货款、税费等间接费用）、销售数据等指标，给予每店一次性奖励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亚洲首店：奖励200万元；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2" w:name="OLE_LINK12"/>
      <w:r>
        <w:rPr>
          <w:rFonts w:ascii="Times New Roman" w:hAnsi="Times New Roman" w:eastAsia="仿宋_GB2312" w:cs="Times New Roman"/>
          <w:sz w:val="32"/>
          <w:szCs w:val="32"/>
        </w:rPr>
        <w:t>全国首店</w:t>
      </w:r>
      <w:bookmarkEnd w:id="2"/>
      <w:r>
        <w:rPr>
          <w:rFonts w:ascii="Times New Roman" w:hAnsi="Times New Roman" w:eastAsia="仿宋_GB2312" w:cs="Times New Roman"/>
          <w:sz w:val="32"/>
          <w:szCs w:val="32"/>
        </w:rPr>
        <w:t>：奖励150万元；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广东首店：奖励100万元；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东莞首店：奖励50万元；</w:t>
      </w: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旗舰店、概念店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：奖励5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支持条件：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A.</w:t>
      </w:r>
      <w:r>
        <w:rPr>
          <w:rFonts w:ascii="Times New Roman" w:hAnsi="Times New Roman" w:eastAsia="仿宋_GB2312" w:cs="Times New Roman"/>
          <w:sz w:val="32"/>
          <w:szCs w:val="32"/>
        </w:rPr>
        <w:t>上述所列首店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、旗舰店、概念店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需提供</w:t>
      </w:r>
      <w:r>
        <w:rPr>
          <w:rFonts w:ascii="Times New Roman" w:hAnsi="Times New Roman" w:eastAsia="仿宋_GB2312" w:cs="Times New Roman"/>
          <w:sz w:val="32"/>
          <w:szCs w:val="32"/>
        </w:rPr>
        <w:t>2年及以上入驻协议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B.有品牌自有或授权证明文件。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C.同时需满足以下绩效指标：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71"/>
        <w:gridCol w:w="1506"/>
        <w:gridCol w:w="1418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亚洲首店</w:t>
            </w:r>
          </w:p>
        </w:tc>
        <w:tc>
          <w:tcPr>
            <w:tcW w:w="1506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全国首店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广东首店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东莞首店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旗舰店、概念店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店铺经营面积</w:t>
            </w:r>
          </w:p>
        </w:tc>
        <w:tc>
          <w:tcPr>
            <w:tcW w:w="1471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≥400m²</w:t>
            </w:r>
          </w:p>
        </w:tc>
        <w:tc>
          <w:tcPr>
            <w:tcW w:w="1506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≥300m²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≥200m²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≥100m²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≥100m²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有效投入</w:t>
            </w:r>
          </w:p>
        </w:tc>
        <w:tc>
          <w:tcPr>
            <w:tcW w:w="1471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≥200万元</w:t>
            </w:r>
          </w:p>
        </w:tc>
        <w:tc>
          <w:tcPr>
            <w:tcW w:w="150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≥150万元</w:t>
            </w: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≥100万元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≥50万元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运营后6个月销售收入</w:t>
            </w:r>
          </w:p>
        </w:tc>
        <w:tc>
          <w:tcPr>
            <w:tcW w:w="1471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≥500万元</w:t>
            </w:r>
          </w:p>
        </w:tc>
        <w:tc>
          <w:tcPr>
            <w:tcW w:w="150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≥400万元</w:t>
            </w: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≥300万元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≥200万元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≥200万元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D</w:t>
      </w:r>
      <w:r>
        <w:rPr>
          <w:rFonts w:ascii="Times New Roman" w:hAnsi="Times New Roman" w:eastAsia="仿宋_GB2312" w:cs="Times New Roman"/>
          <w:sz w:val="32"/>
          <w:szCs w:val="32"/>
        </w:rPr>
        <w:t>.首店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如达不到本档绩效指标要求但符合降档后绩效指标，按该档标准奖励；</w:t>
      </w:r>
    </w:p>
    <w:p>
      <w:pPr>
        <w:adjustRightInd w:val="0"/>
        <w:snapToGrid w:val="0"/>
        <w:spacing w:line="580" w:lineRule="exact"/>
        <w:ind w:firstLine="642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具有引领性的国内外品牌条件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1.国外品牌</w:t>
      </w:r>
      <w:r>
        <w:rPr>
          <w:rFonts w:hint="eastAsia" w:ascii="Times New Roman" w:hAnsi="Times New Roman" w:cs="Times New Roman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指近5年内入选《世界品牌500强榜单》、《世界500强》等权威榜单之一（见附件具有引领性的国外品牌榜单参考清单），或近5年内入选全球化与世界级城市研究小组与网络（GaWC)发布的</w:t>
      </w:r>
      <w:r>
        <w:rPr>
          <w:rFonts w:hint="eastAsia" w:ascii="Times New Roman" w:hAnsi="Times New Roman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世界城市名册</w:t>
      </w:r>
      <w:r>
        <w:rPr>
          <w:rFonts w:hint="eastAsia" w:ascii="Times New Roman" w:hAnsi="Times New Roman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一线城市开设3家（含）以上门店的品牌。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2.国内知名品牌：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国内知名品牌指近5年入选《中国服务业企业500强榜单》、《中国品牌500强》等榜单之一（见附件具有引领性的国内品牌榜单参考清单），或为商务部认定的中华老字号、各省发布的省级老字号、细分领域（如零售、餐饮、文创）龙头的本土品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3.支持时尚服饰、消费电子、美妆、潮玩、家居、汽车、智能终端、运动潮品以及服务消费等领域具有创新性、引领性的产品和服务在东莞举办首发首秀首展活动。</w:t>
      </w:r>
    </w:p>
    <w:p>
      <w:pPr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根据单场活动</w:t>
      </w:r>
      <w:bookmarkStart w:id="3" w:name="OLE_LINK15"/>
      <w:r>
        <w:rPr>
          <w:rFonts w:ascii="Times New Roman" w:hAnsi="Times New Roman" w:eastAsia="仿宋_GB2312" w:cs="Times New Roman"/>
          <w:sz w:val="32"/>
          <w:szCs w:val="32"/>
        </w:rPr>
        <w:t>成本指标（活动涉及的场地租赁、场景搭建、展陈设备、软装布置等直接费用，不包含人员薪酬、货款、税费等间接费用）</w:t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、产出指标分档奖励，对符合要求的首发、首秀、首展活动，分三档给予一次性奖励，一档</w:t>
      </w:r>
      <w:r>
        <w:rPr>
          <w:rFonts w:hint="eastAsia"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万元、二档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0万元、三档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hint="eastAsia"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、四档5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73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pacing w:val="23"/>
          <w:sz w:val="32"/>
          <w:szCs w:val="32"/>
        </w:rPr>
        <w:t>支持条件：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各档绩效指标要求如下</w:t>
      </w:r>
    </w:p>
    <w:tbl>
      <w:tblPr>
        <w:tblStyle w:val="7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95"/>
        <w:gridCol w:w="1625"/>
        <w:gridCol w:w="851"/>
        <w:gridCol w:w="992"/>
        <w:gridCol w:w="992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四档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二档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费用投入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活动场地面积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活动后3个月内销售数据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≥150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4.支持有关展会开设首发专区、专场，集中展示新产品新服务新技术。</w:t>
      </w:r>
    </w:p>
    <w:p>
      <w:pPr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展会面积不得低于1万平方米，首发专区面积、专场面积不低于200平方米，根据单场活动成本指标（活动涉及的场地租赁、场景搭建、展陈设备、软装布置等直接费用，不包含人员薪酬、货款、税费等间接费用）、产出指标分档奖励，对符合要求的首发、首秀、首展活动，分三档给予一次性奖励，一档</w:t>
      </w:r>
      <w:r>
        <w:rPr>
          <w:rFonts w:hint="eastAsia"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0万元、二档50万元、三档</w:t>
      </w:r>
      <w:r>
        <w:rPr>
          <w:rFonts w:hint="eastAsia"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0万元。</w:t>
      </w:r>
    </w:p>
    <w:p>
      <w:pPr>
        <w:ind w:firstLine="73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pacing w:val="23"/>
          <w:sz w:val="32"/>
          <w:szCs w:val="32"/>
        </w:rPr>
        <w:t>支持条件：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各档绩效指标要求如下</w:t>
      </w:r>
    </w:p>
    <w:tbl>
      <w:tblPr>
        <w:tblStyle w:val="7"/>
        <w:tblW w:w="91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2016"/>
        <w:gridCol w:w="1074"/>
        <w:gridCol w:w="1036"/>
        <w:gridCol w:w="1036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三档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二档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费用投入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产出指标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活动场地面积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首发新品数量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首发商家数量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≥15</w:t>
            </w:r>
          </w:p>
        </w:tc>
      </w:tr>
    </w:tbl>
    <w:p>
      <w:pPr>
        <w:pStyle w:val="13"/>
        <w:adjustRightInd w:val="0"/>
        <w:snapToGrid w:val="0"/>
        <w:spacing w:after="0" w:line="580" w:lineRule="exact"/>
        <w:ind w:firstLine="640" w:firstLineChars="200"/>
        <w:jc w:val="both"/>
        <w:textAlignment w:val="center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（二）支持创新多元化服务消费场景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1.支持业态创新、模式创新，推动人工智能、元宇宙等数字技术在文娱、旅游、健康、体育等领域的深化应用，打造一批商旅文体健融合的消费新场景。</w:t>
      </w:r>
    </w:p>
    <w:p>
      <w:pPr>
        <w:pStyle w:val="2"/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  <w:lang w:eastAsia="zh-CN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按终验确定的符合专项资金使用方向的核定投资额（不含可抵扣增值税）给予最高不超过30%的补助。</w:t>
      </w:r>
    </w:p>
    <w:p>
      <w:pPr>
        <w:pStyle w:val="2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推动形成服务消费集聚区，支持重点商圈商街、文旅集聚区、传统购物型商超、废旧工业厂区向多元消费场景升级，拓展增加文化时尚、健康体育、艺术展览、主题社交、休闲娱乐等服务消费功能，推动重点赛事活动及演出“进商圈、进街区、进景区”。</w:t>
      </w:r>
    </w:p>
    <w:p>
      <w:pPr>
        <w:pStyle w:val="2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按终验确定的符合专项资金使用方向的核定投资额（不含可抵扣增值税）给予最高不超过30%的补助。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3.发展文化旅游经济，打造文化和旅游消费集聚区。支持外贸优品展销中心、特色购物中心或购物区、外贸优品品牌集聚的特色商业街优化升级，推广自主品牌+直供直销，打造具有特色和吸引力的消费场景。</w:t>
      </w:r>
    </w:p>
    <w:p>
      <w:pPr>
        <w:pStyle w:val="2"/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  <w:lang w:eastAsia="zh-CN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按终验确定的符合专项资金使用方向的核定投资额（不含可抵扣增值税）给予最高不超过30%的补助。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（三）支持优质消费资源与知名IP跨界联名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1.依托互联网数字娱乐平台和知识产权（IP）孵化平台，打通设计、开发、生产、营销、推广全产业链，开发系列周边产品，开设主题店、概念店等沉浸式消费空间，激发优质资源消费潜力。</w:t>
      </w:r>
    </w:p>
    <w:p>
      <w:pPr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按终验确定的符合专项资金使用方向的核定投资额（不含可抵扣增值税）给予最高不超过30%的补助。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2.支持围绕本地特色文化，联动国潮动漫影视知识产权（IP）及文博场馆、非遗机构、历史文化名城等传统资源，推出一批影响范围广、社交属性强、创意新颖的综合性消费场景。</w:t>
      </w:r>
    </w:p>
    <w:p>
      <w:pPr>
        <w:adjustRightInd w:val="0"/>
        <w:snapToGrid w:val="0"/>
        <w:spacing w:line="580" w:lineRule="exact"/>
        <w:ind w:firstLine="73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pacing w:val="23"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按终验确定的符合专项资金使用方向的核定投资额（不含可抵扣增值税）给予最高不超过30%的补助。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3.支持老字号企业、新消费品牌企业依托本地优质消费资源，开设新店、旗舰店，开发推出“老牌新品”“国货潮品”。引导相关企业加快转型升级，培育一批新型消费龙头企业。</w:t>
      </w:r>
    </w:p>
    <w:p>
      <w:pPr>
        <w:adjustRightInd w:val="0"/>
        <w:snapToGrid w:val="0"/>
        <w:spacing w:line="58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支持标准：</w:t>
      </w:r>
      <w:r>
        <w:rPr>
          <w:rFonts w:ascii="Times New Roman" w:hAnsi="Times New Roman" w:eastAsia="仿宋_GB2312" w:cs="Times New Roman"/>
          <w:sz w:val="32"/>
          <w:szCs w:val="32"/>
        </w:rPr>
        <w:t>老字号企业须获得市级以上商务部门认定；“老牌新品”需保留核心工艺（如非遗技艺），“国货潮品”需融入现代设计。根据开设店铺经营面积、有效投入费用（店铺场地首年租赁费、场景搭建、展陈设备、软装布置等直接费用，不包含人员薪酬、货款、税费等间接费用）、销售数据等指标，给予每店30万元一次性奖励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三、项目资金方式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项资金实行预算总额控制管理，申报资金超出预算总金额时，按比例进行支持。根据每年预算规模和试点项目数量，在规定的补助限额内，以如下方式确定受奖励项目、单位的数量以及最终奖励的金额，以保证专项资金使用绩效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1.按资金下达情况组织项目申报，在资金预算内对符合条件的项目予以支持。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2.根据预算规模和项目申报数量情况，在不超过补助对象可享受的最高补助标准内，适当下调补助比例和金额。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四、项目资金不支持的范围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1.不得用于新建、改建扩建商业综合体、各类古镇、纪念馆、博物馆等设施；不得用于商业地产开发性质项目。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2.不得用于土地开发、征地拆迁；建设政府性楼堂馆所等明令禁止的项目。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3.不得用于一般性装修。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4.不得用于非直接面向消费者且无法带来可持续、可视的消费增量或无消费内容的项目，免费开放的纯公益性项目，以及党政机关主办、承办或承担部分活动费用的展会、节庆、论坛活动。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5.不得用于侵犯知识产权或造成其他不良社会影响的首发项目，与社会主义核心价值观不符、渲染负面或不良情绪的IP消费场景。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6.不得用于政府举办的促消费活动、企业举办的促销推广活动(消费券、优惠补贴、宣传推广等)。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7.不得用于仅短期开展的活动或临时性搭建的消费场景(存续时间少于1个月的消费场景，符合支持健全首发经济服务体系、支持优质消费资源与知名IP跨界联名两个支持方向的项目除外)。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8.不得用于单纯商品消费的项目或单一传统业态的项目，如传统购物型超市、汽车加油或充电站、汽车4S店、传统模式汽车销售和维修场所、单一餐饮业态的餐馆等。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9.不得用于简单模仿、缺乏核心内涵、同质化缺乏实质创新的项目。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10.不得用于支付罚款、捐款、绩效评价、赞助、投资、偿还债务以及财政补助单位人员经费和工作经费。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11.不得用于企业内部设备管理维护、信息平台日常运营维护、购买低值易耗品、人员经费、购买流量、宣传推广、招商活动等日常经营管理支出以及国家规定禁止列支的其他支出。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12.《财政部 商务部关于开展消费新业态新模式新场景试点工作的通知》（财建〔2025〕341号）等上级文件明确的其他负面清单事项。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五、附则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本细则自发布之日起施行，有效期至2027年12月31日。如本细则有效期届满，但相关奖励资金拨付尚未结束的，应继续完成资金拨付。</w:t>
      </w:r>
    </w:p>
    <w:p>
      <w:pPr>
        <w:pStyle w:val="3"/>
        <w:rPr>
          <w:rFonts w:ascii="Times New Roman" w:hAnsi="Times New Roman" w:cs="Times New Roman"/>
        </w:rPr>
      </w:pPr>
      <w:bookmarkStart w:id="4" w:name="_Toc1492632998"/>
      <w:r>
        <w:rPr>
          <w:rFonts w:ascii="Times New Roman" w:hAnsi="Times New Roman" w:cs="Times New Roman"/>
        </w:rPr>
        <w:t>具有引领性的国外品牌榜单参考清单</w:t>
      </w:r>
      <w:bookmarkEnd w:id="4"/>
    </w:p>
    <w:tbl>
      <w:tblPr>
        <w:tblStyle w:val="7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950"/>
        <w:gridCol w:w="4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发布方</w:t>
            </w:r>
          </w:p>
        </w:tc>
        <w:tc>
          <w:tcPr>
            <w:tcW w:w="4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发布内容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世界品牌实验室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《世界品牌500强榜单》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美国《财富》杂志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《世界500强》</w:t>
            </w:r>
          </w:p>
        </w:tc>
      </w:tr>
      <w:tr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胡润研究院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《胡润品牌榜》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德勤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《全球奢侈品力量排行榜》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品牌金融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《全球最有价值零售品牌榜》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LA LISTE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《全球最佳餐厅》 </w:t>
            </w:r>
          </w:p>
        </w:tc>
      </w:tr>
      <w:tr>
        <w:trPr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《全球最佳酒店》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米其林</w:t>
            </w:r>
          </w:p>
        </w:tc>
        <w:tc>
          <w:tcPr>
            <w:tcW w:w="4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《米其林餐厅》星级餐厅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rPr>
          <w:rFonts w:ascii="Times New Roman" w:hAnsi="Times New Roman" w:cs="Times New Roman"/>
        </w:rPr>
      </w:pPr>
    </w:p>
    <w:p>
      <w:pPr>
        <w:pStyle w:val="3"/>
        <w:rPr>
          <w:rFonts w:ascii="Times New Roman" w:hAnsi="Times New Roman" w:cs="Times New Roman"/>
        </w:rPr>
      </w:pPr>
      <w:bookmarkStart w:id="5" w:name="_Toc999962709"/>
      <w:r>
        <w:rPr>
          <w:rFonts w:ascii="Times New Roman" w:hAnsi="Times New Roman" w:cs="Times New Roman"/>
        </w:rPr>
        <w:t>具有引领性的国内品牌参考清单</w:t>
      </w:r>
      <w:bookmarkEnd w:id="5"/>
    </w:p>
    <w:tbl>
      <w:tblPr>
        <w:tblStyle w:val="7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553"/>
        <w:gridCol w:w="5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发布方</w:t>
            </w:r>
          </w:p>
        </w:tc>
        <w:tc>
          <w:tcPr>
            <w:tcW w:w="5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发布内容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中国企业联合会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中国企业家协会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《中国服务业企业500强榜单》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中国连锁经营协会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《中国时尚零售百强榜单》 </w:t>
            </w:r>
          </w:p>
        </w:tc>
      </w:tr>
      <w:tr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《中国特许连锁百强榜单》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《中国连锁百强榜单》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《中国超市百强榜单》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胡润研究院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《中国跨境企业榜》 </w:t>
            </w:r>
          </w:p>
        </w:tc>
      </w:tr>
      <w:tr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《中国最具历史文化底蕴品牌榜》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6" w:name="OLE_LINK5"/>
            <w:bookmarkStart w:id="7" w:name="OLE_LINK4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《胡润中国餐饮连锁企业投资价值榜》</w:t>
            </w:r>
            <w:bookmarkEnd w:id="6"/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品牌联盟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《中国品牌500强》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赢商网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《季度热搜品牌榜》 </w:t>
            </w:r>
          </w:p>
        </w:tc>
      </w:tr>
      <w:tr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《年度中国领军品牌百强榜》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《年度新兴品牌百强榜》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米其林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《米其林餐厅》星级餐厅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美团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《黑珍珠餐厅指南》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278720"/>
    </w:sdtPr>
    <w:sdtContent>
      <w:p>
        <w:pPr>
          <w:pStyle w:val="5"/>
          <w:jc w:val="center"/>
        </w:pP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-</w:t>
        </w:r>
        <w:r>
          <w:rPr>
            <w:sz w:val="22"/>
            <w:szCs w:val="22"/>
          </w:rPr>
          <w:fldChar w:fldCharType="begin"/>
        </w:r>
        <w:r>
          <w:instrText xml:space="preserve">PAGE 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11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60"/>
    <w:rsid w:val="00086BF5"/>
    <w:rsid w:val="000933A4"/>
    <w:rsid w:val="000D67DA"/>
    <w:rsid w:val="001163AB"/>
    <w:rsid w:val="00116CBB"/>
    <w:rsid w:val="0015085F"/>
    <w:rsid w:val="00220CF1"/>
    <w:rsid w:val="00271723"/>
    <w:rsid w:val="002D766A"/>
    <w:rsid w:val="002E15A4"/>
    <w:rsid w:val="00314E15"/>
    <w:rsid w:val="0034615C"/>
    <w:rsid w:val="003C7C2D"/>
    <w:rsid w:val="00405CDB"/>
    <w:rsid w:val="00426385"/>
    <w:rsid w:val="004A49DC"/>
    <w:rsid w:val="004F64EF"/>
    <w:rsid w:val="00534F2D"/>
    <w:rsid w:val="00574020"/>
    <w:rsid w:val="005D17D4"/>
    <w:rsid w:val="006A0AD0"/>
    <w:rsid w:val="006A43C8"/>
    <w:rsid w:val="007522F4"/>
    <w:rsid w:val="007D3E6A"/>
    <w:rsid w:val="007E724F"/>
    <w:rsid w:val="00911B43"/>
    <w:rsid w:val="009B18E7"/>
    <w:rsid w:val="00B150D9"/>
    <w:rsid w:val="00B5062F"/>
    <w:rsid w:val="00B77F60"/>
    <w:rsid w:val="00BB4C62"/>
    <w:rsid w:val="00C1155B"/>
    <w:rsid w:val="00C90105"/>
    <w:rsid w:val="00C94B27"/>
    <w:rsid w:val="00D9737A"/>
    <w:rsid w:val="00DA4EC9"/>
    <w:rsid w:val="00E02D7B"/>
    <w:rsid w:val="00E16FEA"/>
    <w:rsid w:val="00E321F8"/>
    <w:rsid w:val="00E35DEB"/>
    <w:rsid w:val="00E4509E"/>
    <w:rsid w:val="00E546B7"/>
    <w:rsid w:val="00E73276"/>
    <w:rsid w:val="00E9126F"/>
    <w:rsid w:val="00F00212"/>
    <w:rsid w:val="00F20BA6"/>
    <w:rsid w:val="00F66168"/>
    <w:rsid w:val="00F742B3"/>
    <w:rsid w:val="00FC6A20"/>
    <w:rsid w:val="00FD3D41"/>
    <w:rsid w:val="026D3223"/>
    <w:rsid w:val="0358481E"/>
    <w:rsid w:val="09E46276"/>
    <w:rsid w:val="0B8336E6"/>
    <w:rsid w:val="0C965D40"/>
    <w:rsid w:val="0DEC4F06"/>
    <w:rsid w:val="0DF93B15"/>
    <w:rsid w:val="0F884B37"/>
    <w:rsid w:val="119968E7"/>
    <w:rsid w:val="11F07EB9"/>
    <w:rsid w:val="1CCB0E84"/>
    <w:rsid w:val="1D1262CB"/>
    <w:rsid w:val="1D2B166B"/>
    <w:rsid w:val="225F1830"/>
    <w:rsid w:val="24DD104B"/>
    <w:rsid w:val="264E7489"/>
    <w:rsid w:val="26823DA9"/>
    <w:rsid w:val="26922F27"/>
    <w:rsid w:val="2B794650"/>
    <w:rsid w:val="2EF423CC"/>
    <w:rsid w:val="33456C09"/>
    <w:rsid w:val="34403A44"/>
    <w:rsid w:val="35E77CC1"/>
    <w:rsid w:val="377B30C8"/>
    <w:rsid w:val="38856B83"/>
    <w:rsid w:val="39FF74DC"/>
    <w:rsid w:val="3F400D9C"/>
    <w:rsid w:val="43F4544F"/>
    <w:rsid w:val="457D7A2A"/>
    <w:rsid w:val="4C9359B0"/>
    <w:rsid w:val="521B7018"/>
    <w:rsid w:val="52BD5D4B"/>
    <w:rsid w:val="59561490"/>
    <w:rsid w:val="5A0C5CF3"/>
    <w:rsid w:val="5B9B29BB"/>
    <w:rsid w:val="5D090AA3"/>
    <w:rsid w:val="5D3F5ED8"/>
    <w:rsid w:val="6AD130E8"/>
    <w:rsid w:val="6D2D4A85"/>
    <w:rsid w:val="6FE80510"/>
    <w:rsid w:val="701E1E2E"/>
    <w:rsid w:val="711A294B"/>
    <w:rsid w:val="711C75C1"/>
    <w:rsid w:val="72FE4D08"/>
    <w:rsid w:val="75C37FD7"/>
    <w:rsid w:val="75ED76D0"/>
    <w:rsid w:val="781F3B6D"/>
    <w:rsid w:val="7D1E7D9B"/>
    <w:rsid w:val="7EC21C85"/>
    <w:rsid w:val="7ED942EA"/>
    <w:rsid w:val="7EEF78A4"/>
    <w:rsid w:val="7FBCCECC"/>
    <w:rsid w:val="AFFF5607"/>
    <w:rsid w:val="BAF9F7A5"/>
    <w:rsid w:val="D31DA56C"/>
    <w:rsid w:val="E7CFE2FC"/>
    <w:rsid w:val="EEF3D98E"/>
    <w:rsid w:val="EF6F4647"/>
    <w:rsid w:val="EFAD1B6C"/>
    <w:rsid w:val="F6DF72A3"/>
    <w:rsid w:val="F9BF915F"/>
    <w:rsid w:val="FBBF3059"/>
    <w:rsid w:val="FFFDB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UserStyle_0"/>
    <w:basedOn w:val="1"/>
    <w:qFormat/>
    <w:uiPriority w:val="0"/>
    <w:pPr>
      <w:widowControl/>
      <w:spacing w:after="200" w:line="240" w:lineRule="atLeast"/>
      <w:jc w:val="left"/>
      <w:textAlignment w:val="baseline"/>
    </w:pPr>
    <w:rPr>
      <w:rFonts w:ascii="Tahoma" w:hAnsi="Tahoma" w:eastAsia="小标宋"/>
      <w:kern w:val="0"/>
      <w:sz w:val="44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741</Words>
  <Characters>4225</Characters>
  <Lines>35</Lines>
  <Paragraphs>9</Paragraphs>
  <TotalTime>15</TotalTime>
  <ScaleCrop>false</ScaleCrop>
  <LinksUpToDate>false</LinksUpToDate>
  <CharactersWithSpaces>4957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2026-01-19T20:55:00Z</dcterms:created>
  <dc:creator>guolei</dc:creator>
  <cp:lastModifiedBy>爱菌的军儿</cp:lastModifiedBy>
  <cp:lastPrinted>2026-01-16T16:58:00Z</cp:lastPrinted>
  <dcterms:modified xsi:type="dcterms:W3CDTF">2026-01-20T09:08:25Z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074BB9A15D6F4DFFBB406D78D9473ABD_13</vt:lpwstr>
  </property>
  <property fmtid="{D5CDD505-2E9C-101B-9397-08002B2CF9AE}" pid="4" name="KSOTemplateDocerSaveRecord">
    <vt:lpwstr>eyJoZGlkIjoiNDE5NGQ0NWEyMjcwNDQ3ZTI3MTk2YWNjMzYwOGFmNWYiLCJ1c2VySWQiOiI1MDAyODczMDkifQ==</vt:lpwstr>
  </property>
</Properties>
</file>