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25A6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outlineLvl w:val="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附件1</w:t>
      </w:r>
    </w:p>
    <w:p w14:paraId="0542CC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800" w:firstLineChars="200"/>
        <w:jc w:val="center"/>
        <w:textAlignment w:val="auto"/>
        <w:outlineLvl w:val="0"/>
        <w:rPr>
          <w:rFonts w:hint="eastAsia" w:ascii="Times New Roman" w:hAnsi="Times New Roman" w:eastAsia="仿宋_GB2312" w:cs="仿宋_GB2312"/>
          <w:bCs/>
          <w:sz w:val="40"/>
          <w:szCs w:val="40"/>
          <w:lang w:val="en-US" w:eastAsia="zh-CN"/>
        </w:rPr>
      </w:pPr>
      <w:r>
        <w:rPr>
          <w:rFonts w:hint="eastAsia" w:ascii="Times New Roman" w:hAnsi="Times New Roman" w:eastAsia="方正小标宋简体" w:cs="方正小标宋简体"/>
          <w:bCs/>
          <w:sz w:val="40"/>
          <w:szCs w:val="40"/>
          <w:lang w:val="en-US" w:eastAsia="zh-CN"/>
        </w:rPr>
        <w:t>2026年贵阳市特色产品征集要求</w:t>
      </w:r>
    </w:p>
    <w:p w14:paraId="78907B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黑体" w:cs="黑体"/>
          <w:bCs/>
          <w:sz w:val="32"/>
          <w:szCs w:val="32"/>
          <w:lang w:val="en-US" w:eastAsia="zh-CN"/>
        </w:rPr>
      </w:pPr>
    </w:p>
    <w:p w14:paraId="4A0858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黑体" w:cs="黑体"/>
          <w:bCs/>
          <w:sz w:val="32"/>
          <w:szCs w:val="32"/>
          <w:lang w:val="en-US" w:eastAsia="zh-CN"/>
        </w:rPr>
      </w:pPr>
      <w:r>
        <w:rPr>
          <w:rFonts w:hint="eastAsia" w:ascii="Times New Roman" w:hAnsi="Times New Roman" w:eastAsia="黑体" w:cs="黑体"/>
          <w:bCs/>
          <w:sz w:val="32"/>
          <w:szCs w:val="32"/>
          <w:lang w:val="en-US" w:eastAsia="zh-CN"/>
        </w:rPr>
        <w:t>一、征集范围</w:t>
      </w:r>
    </w:p>
    <w:p w14:paraId="7B7E1A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仿宋_GB2312" w:cs="仿宋_GB2312"/>
          <w:bCs/>
          <w:sz w:val="32"/>
          <w:szCs w:val="32"/>
          <w:lang w:val="en-US" w:eastAsia="zh-CN"/>
        </w:rPr>
      </w:pPr>
      <w:r>
        <w:rPr>
          <w:rFonts w:hint="eastAsia" w:ascii="Times New Roman" w:hAnsi="Times New Roman" w:eastAsia="仿宋_GB2312" w:cs="仿宋_GB2312"/>
          <w:bCs/>
          <w:sz w:val="32"/>
          <w:szCs w:val="32"/>
          <w:lang w:val="en-US" w:eastAsia="zh-CN"/>
        </w:rPr>
        <w:t>围绕“贵品出山·贵阳好物”的征选定位，聚焦民族民间工艺品、民族医药及健康护理、特色食品等领域，征集一批兼具创新性与市场竞争力的中小企业产品，突出“生态特色、民族风情、数字赋能、品牌价值”四大核心要素。</w:t>
      </w:r>
    </w:p>
    <w:p w14:paraId="0D8E01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黑体" w:cs="黑体"/>
          <w:bCs/>
          <w:sz w:val="32"/>
          <w:szCs w:val="32"/>
          <w:lang w:val="en-US" w:eastAsia="zh-CN"/>
        </w:rPr>
      </w:pPr>
      <w:r>
        <w:rPr>
          <w:rFonts w:hint="eastAsia" w:ascii="Times New Roman" w:hAnsi="Times New Roman" w:eastAsia="黑体" w:cs="黑体"/>
          <w:bCs/>
          <w:sz w:val="32"/>
          <w:szCs w:val="32"/>
          <w:lang w:val="en-US" w:eastAsia="zh-CN"/>
        </w:rPr>
        <w:t>二、征集类别</w:t>
      </w:r>
    </w:p>
    <w:p w14:paraId="0250E0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仿宋_GB2312" w:cs="仿宋_GB2312"/>
          <w:bCs/>
          <w:sz w:val="32"/>
          <w:szCs w:val="32"/>
          <w:lang w:val="en-US" w:eastAsia="zh-CN"/>
        </w:rPr>
      </w:pPr>
      <w:r>
        <w:rPr>
          <w:rFonts w:hint="eastAsia" w:ascii="Times New Roman" w:hAnsi="Times New Roman" w:eastAsia="仿宋_GB2312" w:cs="仿宋_GB2312"/>
          <w:bCs/>
          <w:sz w:val="32"/>
          <w:szCs w:val="32"/>
          <w:lang w:val="en-US" w:eastAsia="zh-CN"/>
        </w:rPr>
        <w:t>（一）民族民间工艺品（含非遗、文创、苗绣、织锦、银饰、蜡染、芦笙等）。</w:t>
      </w:r>
    </w:p>
    <w:p w14:paraId="38903A7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仿宋_GB2312" w:cs="仿宋_GB2312"/>
          <w:bCs/>
          <w:sz w:val="32"/>
          <w:szCs w:val="32"/>
          <w:lang w:val="en-US" w:eastAsia="zh-CN"/>
        </w:rPr>
      </w:pPr>
      <w:r>
        <w:rPr>
          <w:rFonts w:hint="eastAsia" w:ascii="Times New Roman" w:hAnsi="Times New Roman" w:eastAsia="仿宋_GB2312" w:cs="仿宋_GB2312"/>
          <w:bCs/>
          <w:sz w:val="32"/>
          <w:szCs w:val="32"/>
          <w:lang w:val="en-US" w:eastAsia="zh-CN"/>
        </w:rPr>
        <w:t>（二）民族医药及健康护理（含保健产品、营养滋补、特医特膳、健康养生、个人护理、精油提取物等）。</w:t>
      </w:r>
    </w:p>
    <w:p w14:paraId="40844B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仿宋_GB2312" w:cs="仿宋_GB2312"/>
          <w:bCs/>
          <w:sz w:val="32"/>
          <w:szCs w:val="32"/>
          <w:lang w:val="en-US" w:eastAsia="zh-CN"/>
        </w:rPr>
      </w:pPr>
      <w:r>
        <w:rPr>
          <w:rFonts w:hint="eastAsia" w:ascii="Times New Roman" w:hAnsi="Times New Roman" w:eastAsia="仿宋_GB2312" w:cs="仿宋_GB2312"/>
          <w:bCs/>
          <w:sz w:val="32"/>
          <w:szCs w:val="32"/>
          <w:lang w:val="en-US" w:eastAsia="zh-CN"/>
        </w:rPr>
        <w:t>（三）特色食品（含刺梨系列、酸汤系列、盐酸菜系列、折耳根系列、糯食系列、调味与腌制品系列等符合“四精”发展要求的产品）。</w:t>
      </w:r>
    </w:p>
    <w:p w14:paraId="7EF0C1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default" w:ascii="Times New Roman" w:hAnsi="Times New Roman" w:eastAsia="仿宋_GB2312" w:cs="仿宋_GB2312"/>
          <w:bCs/>
          <w:sz w:val="32"/>
          <w:szCs w:val="32"/>
          <w:lang w:val="en-US" w:eastAsia="zh-CN"/>
        </w:rPr>
      </w:pPr>
      <w:r>
        <w:rPr>
          <w:rFonts w:hint="eastAsia" w:ascii="Times New Roman" w:hAnsi="Times New Roman" w:eastAsia="仿宋_GB2312" w:cs="仿宋_GB2312"/>
          <w:bCs/>
          <w:sz w:val="32"/>
          <w:szCs w:val="32"/>
          <w:lang w:val="en-US" w:eastAsia="zh-CN"/>
        </w:rPr>
        <w:t>（四）其他特色产品。</w:t>
      </w:r>
    </w:p>
    <w:p w14:paraId="144445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黑体" w:cs="黑体"/>
          <w:bCs/>
          <w:sz w:val="32"/>
          <w:szCs w:val="32"/>
          <w:lang w:val="en-US" w:eastAsia="zh-CN"/>
        </w:rPr>
      </w:pPr>
      <w:r>
        <w:rPr>
          <w:rFonts w:hint="eastAsia" w:ascii="Times New Roman" w:hAnsi="Times New Roman" w:eastAsia="黑体" w:cs="黑体"/>
          <w:bCs/>
          <w:sz w:val="32"/>
          <w:szCs w:val="32"/>
          <w:lang w:val="en-US" w:eastAsia="zh-CN"/>
        </w:rPr>
        <w:t>三、征集条件</w:t>
      </w:r>
    </w:p>
    <w:p w14:paraId="4DB460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仿宋_GB2312" w:cs="仿宋_GB2312"/>
          <w:bCs/>
          <w:sz w:val="32"/>
          <w:szCs w:val="32"/>
          <w:lang w:val="en-US" w:eastAsia="zh-CN"/>
        </w:rPr>
      </w:pPr>
      <w:r>
        <w:rPr>
          <w:rFonts w:hint="eastAsia" w:ascii="Times New Roman" w:hAnsi="Times New Roman" w:eastAsia="仿宋_GB2312" w:cs="仿宋_GB2312"/>
          <w:bCs/>
          <w:sz w:val="32"/>
          <w:szCs w:val="32"/>
          <w:lang w:val="en-US" w:eastAsia="zh-CN"/>
        </w:rPr>
        <w:t>（一）基本条件</w:t>
      </w:r>
    </w:p>
    <w:p w14:paraId="05FB10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仿宋_GB2312" w:cs="仿宋_GB2312"/>
          <w:bCs/>
          <w:sz w:val="32"/>
          <w:szCs w:val="32"/>
          <w:lang w:val="en-US" w:eastAsia="zh-CN"/>
        </w:rPr>
      </w:pPr>
      <w:r>
        <w:rPr>
          <w:rFonts w:hint="eastAsia" w:ascii="Times New Roman" w:hAnsi="Times New Roman" w:eastAsia="仿宋_GB2312" w:cs="仿宋_GB2312"/>
          <w:bCs/>
          <w:sz w:val="32"/>
          <w:szCs w:val="32"/>
          <w:lang w:val="en-US" w:eastAsia="zh-CN"/>
        </w:rPr>
        <w:t>1.企业资质：申报单位（企业、工作室或个体工商户皆可）在贵阳市注册并正常运营</w:t>
      </w:r>
      <w:r>
        <w:rPr>
          <w:rFonts w:hint="eastAsia" w:ascii="Times New Roman" w:hAnsi="Times New Roman" w:eastAsia="仿宋_GB2312" w:cs="仿宋_GB2312"/>
          <w:bCs/>
          <w:sz w:val="32"/>
          <w:szCs w:val="32"/>
          <w:highlight w:val="none"/>
          <w:lang w:val="en-US" w:eastAsia="zh-CN"/>
        </w:rPr>
        <w:t>；上年度无重</w:t>
      </w:r>
      <w:r>
        <w:rPr>
          <w:rFonts w:hint="eastAsia" w:ascii="Times New Roman" w:hAnsi="Times New Roman" w:eastAsia="仿宋_GB2312" w:cs="仿宋_GB2312"/>
          <w:bCs/>
          <w:sz w:val="32"/>
          <w:szCs w:val="32"/>
          <w:lang w:val="en-US" w:eastAsia="zh-CN"/>
        </w:rPr>
        <w:t>大不良信用记录。</w:t>
      </w:r>
    </w:p>
    <w:p w14:paraId="4BD876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仿宋_GB2312" w:cs="仿宋_GB2312"/>
          <w:bCs/>
          <w:sz w:val="32"/>
          <w:szCs w:val="32"/>
          <w:lang w:val="en-US" w:eastAsia="zh-CN"/>
        </w:rPr>
      </w:pPr>
      <w:r>
        <w:rPr>
          <w:rFonts w:hint="eastAsia" w:ascii="Times New Roman" w:hAnsi="Times New Roman" w:eastAsia="仿宋_GB2312" w:cs="仿宋_GB2312"/>
          <w:bCs/>
          <w:sz w:val="32"/>
          <w:szCs w:val="32"/>
          <w:lang w:val="en-US" w:eastAsia="zh-CN"/>
        </w:rPr>
        <w:t>2.产品要求：符合国家法律法规标准或行业标准，可合法上市流通交易。</w:t>
      </w:r>
    </w:p>
    <w:p w14:paraId="519E89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仿宋_GB2312" w:cs="仿宋_GB2312"/>
          <w:bCs/>
          <w:sz w:val="32"/>
          <w:szCs w:val="32"/>
          <w:lang w:val="en-US" w:eastAsia="zh-CN"/>
        </w:rPr>
      </w:pPr>
      <w:r>
        <w:rPr>
          <w:rFonts w:hint="eastAsia" w:ascii="Times New Roman" w:hAnsi="Times New Roman" w:eastAsia="仿宋_GB2312" w:cs="仿宋_GB2312"/>
          <w:bCs/>
          <w:sz w:val="32"/>
          <w:szCs w:val="32"/>
          <w:lang w:val="en-US" w:eastAsia="zh-CN"/>
        </w:rPr>
        <w:t>3.服务保障：具备完善的产品售后服务保障机制。</w:t>
      </w:r>
    </w:p>
    <w:p w14:paraId="476487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仿宋_GB2312" w:cs="仿宋_GB2312"/>
          <w:bCs/>
          <w:sz w:val="32"/>
          <w:szCs w:val="32"/>
          <w:highlight w:val="none"/>
          <w:lang w:val="en-US" w:eastAsia="zh-CN"/>
        </w:rPr>
      </w:pPr>
      <w:r>
        <w:rPr>
          <w:rFonts w:hint="eastAsia" w:ascii="Times New Roman" w:hAnsi="Times New Roman" w:eastAsia="仿宋_GB2312" w:cs="仿宋_GB2312"/>
          <w:bCs/>
          <w:sz w:val="32"/>
          <w:szCs w:val="32"/>
          <w:lang w:val="en-US" w:eastAsia="zh-CN"/>
        </w:rPr>
        <w:t>4.管理要求：申报单位自愿入驻选品中心，遵守选品中心各项管理制度规定</w:t>
      </w:r>
      <w:r>
        <w:rPr>
          <w:rFonts w:hint="eastAsia" w:ascii="Times New Roman" w:hAnsi="Times New Roman" w:eastAsia="仿宋_GB2312" w:cs="仿宋_GB2312"/>
          <w:bCs/>
          <w:sz w:val="32"/>
          <w:szCs w:val="32"/>
          <w:highlight w:val="none"/>
          <w:lang w:val="en-US" w:eastAsia="zh-CN"/>
        </w:rPr>
        <w:t>，积极参加各类选品、展销及相关宣传推荐活动。</w:t>
      </w:r>
    </w:p>
    <w:p w14:paraId="620874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仿宋_GB2312" w:cs="仿宋_GB2312"/>
          <w:bCs/>
          <w:sz w:val="32"/>
          <w:szCs w:val="32"/>
          <w:lang w:val="en-US" w:eastAsia="zh-CN"/>
        </w:rPr>
      </w:pPr>
      <w:r>
        <w:rPr>
          <w:rFonts w:hint="eastAsia" w:ascii="Times New Roman" w:hAnsi="Times New Roman" w:eastAsia="仿宋_GB2312" w:cs="仿宋_GB2312"/>
          <w:bCs/>
          <w:sz w:val="32"/>
          <w:szCs w:val="32"/>
          <w:lang w:val="en-US" w:eastAsia="zh-CN"/>
        </w:rPr>
        <w:t>（二）优先入选条件</w:t>
      </w:r>
    </w:p>
    <w:p w14:paraId="549A73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319" w:leftChars="152" w:firstLine="320" w:firstLineChars="100"/>
        <w:jc w:val="left"/>
        <w:textAlignment w:val="auto"/>
        <w:outlineLvl w:val="0"/>
        <w:rPr>
          <w:rFonts w:hint="eastAsia" w:ascii="Times New Roman" w:hAnsi="Times New Roman" w:eastAsia="仿宋_GB2312" w:cs="仿宋_GB2312"/>
          <w:bCs/>
          <w:sz w:val="32"/>
          <w:szCs w:val="32"/>
          <w:lang w:val="en-US" w:eastAsia="zh-CN"/>
        </w:rPr>
      </w:pPr>
      <w:r>
        <w:rPr>
          <w:rFonts w:hint="eastAsia" w:ascii="Times New Roman" w:hAnsi="Times New Roman" w:eastAsia="仿宋_GB2312" w:cs="仿宋_GB2312"/>
          <w:bCs/>
          <w:sz w:val="32"/>
          <w:szCs w:val="32"/>
          <w:lang w:val="en-US" w:eastAsia="zh-CN"/>
        </w:rPr>
        <w:t>1.产品获得“中华老字号”、“全国名特优新农产品认定”、“地理标志保护产品”、“非物质文化遗产”、“贵州老字号”、“有机产品”等认证。</w:t>
      </w:r>
    </w:p>
    <w:p w14:paraId="79E70B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仿宋_GB2312" w:cs="仿宋_GB2312"/>
          <w:bCs/>
          <w:sz w:val="32"/>
          <w:szCs w:val="32"/>
          <w:lang w:val="en-US" w:eastAsia="zh-CN"/>
        </w:rPr>
      </w:pPr>
      <w:r>
        <w:rPr>
          <w:rFonts w:hint="eastAsia" w:ascii="Times New Roman" w:hAnsi="Times New Roman" w:eastAsia="仿宋_GB2312" w:cs="仿宋_GB2312"/>
          <w:bCs/>
          <w:sz w:val="32"/>
          <w:szCs w:val="32"/>
          <w:lang w:val="en-US" w:eastAsia="zh-CN"/>
        </w:rPr>
        <w:t>2.企业属于省、市特色产</w:t>
      </w:r>
      <w:r>
        <w:rPr>
          <w:rFonts w:hint="eastAsia" w:ascii="Times New Roman" w:hAnsi="Times New Roman" w:eastAsia="仿宋_GB2312" w:cs="仿宋_GB2312"/>
          <w:bCs/>
          <w:sz w:val="32"/>
          <w:szCs w:val="32"/>
          <w:highlight w:val="none"/>
          <w:lang w:val="en-US" w:eastAsia="zh-CN"/>
        </w:rPr>
        <w:t>业或重点产业扶持范围</w:t>
      </w:r>
      <w:r>
        <w:rPr>
          <w:rFonts w:hint="eastAsia" w:ascii="Times New Roman" w:hAnsi="Times New Roman" w:eastAsia="仿宋_GB2312" w:cs="仿宋_GB2312"/>
          <w:bCs/>
          <w:sz w:val="32"/>
          <w:szCs w:val="32"/>
          <w:lang w:val="en-US" w:eastAsia="zh-CN"/>
        </w:rPr>
        <w:t>。</w:t>
      </w:r>
    </w:p>
    <w:p w14:paraId="4471F6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黑体" w:cs="黑体"/>
          <w:bCs/>
          <w:sz w:val="32"/>
          <w:szCs w:val="32"/>
          <w:lang w:val="en-US" w:eastAsia="zh-CN"/>
        </w:rPr>
      </w:pPr>
      <w:r>
        <w:rPr>
          <w:rFonts w:hint="eastAsia" w:ascii="Times New Roman" w:hAnsi="Times New Roman" w:eastAsia="黑体" w:cs="黑体"/>
          <w:bCs/>
          <w:sz w:val="32"/>
          <w:szCs w:val="32"/>
          <w:lang w:val="en-US" w:eastAsia="zh-CN"/>
        </w:rPr>
        <w:t>四、征集程序</w:t>
      </w:r>
    </w:p>
    <w:p w14:paraId="18907D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仿宋_GB2312" w:cs="仿宋_GB2312"/>
          <w:bCs/>
          <w:sz w:val="32"/>
          <w:szCs w:val="32"/>
          <w:lang w:val="en-US" w:eastAsia="zh-CN"/>
        </w:rPr>
      </w:pPr>
      <w:r>
        <w:rPr>
          <w:rFonts w:hint="eastAsia" w:ascii="Times New Roman" w:hAnsi="Times New Roman" w:eastAsia="仿宋_GB2312" w:cs="仿宋_GB2312"/>
          <w:bCs/>
          <w:sz w:val="32"/>
          <w:szCs w:val="32"/>
          <w:lang w:val="en-US" w:eastAsia="zh-CN"/>
        </w:rPr>
        <w:t>1.线上申报：各区（市、县、开发区）工信主管部门、各相关行业协会组织发动，企业按要求于2026年3月31日前将相关申报资料电子档发送至指定邮箱。</w:t>
      </w:r>
    </w:p>
    <w:p w14:paraId="65177E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仿宋_GB2312" w:cs="仿宋_GB2312"/>
          <w:bCs/>
          <w:sz w:val="32"/>
          <w:szCs w:val="32"/>
          <w:lang w:val="en-US" w:eastAsia="zh-CN"/>
        </w:rPr>
      </w:pPr>
      <w:r>
        <w:rPr>
          <w:rFonts w:hint="eastAsia" w:ascii="Times New Roman" w:hAnsi="Times New Roman" w:eastAsia="仿宋_GB2312" w:cs="仿宋_GB2312"/>
          <w:bCs/>
          <w:sz w:val="32"/>
          <w:szCs w:val="32"/>
          <w:lang w:val="en-US" w:eastAsia="zh-CN"/>
        </w:rPr>
        <w:t>2.产品筛选：贵阳市中小企业服务中心联合协会组织或行业专家对企业申报的产品进行筛选，确定入选产品名录。</w:t>
      </w:r>
    </w:p>
    <w:p w14:paraId="6BCAAF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仿宋_GB2312" w:cs="仿宋_GB2312"/>
          <w:bCs/>
          <w:sz w:val="32"/>
          <w:szCs w:val="32"/>
          <w:lang w:val="en-US" w:eastAsia="zh-CN"/>
        </w:rPr>
      </w:pPr>
      <w:r>
        <w:rPr>
          <w:rFonts w:hint="eastAsia" w:ascii="Times New Roman" w:hAnsi="Times New Roman" w:eastAsia="仿宋_GB2312" w:cs="仿宋_GB2312"/>
          <w:bCs/>
          <w:sz w:val="32"/>
          <w:szCs w:val="32"/>
          <w:lang w:val="en-US" w:eastAsia="zh-CN"/>
        </w:rPr>
        <w:t>3.入驻与退出机制</w:t>
      </w:r>
    </w:p>
    <w:p w14:paraId="2D9F2B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仿宋_GB2312" w:cs="仿宋_GB2312"/>
          <w:bCs/>
          <w:sz w:val="32"/>
          <w:szCs w:val="32"/>
          <w:lang w:val="en-US" w:eastAsia="zh-CN"/>
        </w:rPr>
      </w:pPr>
      <w:r>
        <w:rPr>
          <w:rFonts w:hint="eastAsia" w:ascii="Times New Roman" w:hAnsi="Times New Roman" w:eastAsia="仿宋_GB2312" w:cs="仿宋_GB2312"/>
          <w:bCs/>
          <w:sz w:val="32"/>
          <w:szCs w:val="32"/>
          <w:lang w:val="en-US" w:eastAsia="zh-CN"/>
        </w:rPr>
        <w:t>（1）入驻：通知入选产品企业，企业需按相关流程与贵阳市中小企业服务中心签订入驻协议，入驻选品中心。</w:t>
      </w:r>
    </w:p>
    <w:p w14:paraId="04BEF8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default" w:ascii="Times New Roman" w:hAnsi="Times New Roman" w:eastAsia="仿宋_GB2312" w:cs="仿宋_GB2312"/>
          <w:bCs/>
          <w:sz w:val="32"/>
          <w:szCs w:val="32"/>
          <w:lang w:val="en-US" w:eastAsia="zh-CN"/>
        </w:rPr>
      </w:pPr>
      <w:r>
        <w:rPr>
          <w:rFonts w:hint="eastAsia" w:ascii="Times New Roman" w:hAnsi="Times New Roman" w:eastAsia="仿宋_GB2312" w:cs="仿宋_GB2312"/>
          <w:bCs/>
          <w:sz w:val="32"/>
          <w:szCs w:val="32"/>
          <w:lang w:val="en-US" w:eastAsia="zh-CN"/>
        </w:rPr>
        <w:t>（2）退出：企业主动退出的，须提前30日提出书面申请，且须配合办理相关退出手续。出现以下情形的，将予以强制清退：产品抽检不合格，发生重大消费投诉 ，违反选品中心管理规定，</w:t>
      </w:r>
      <w:r>
        <w:rPr>
          <w:rFonts w:hint="default" w:ascii="Times New Roman" w:hAnsi="Times New Roman" w:eastAsia="仿宋_GB2312" w:cs="仿宋_GB2312"/>
          <w:bCs/>
          <w:sz w:val="32"/>
          <w:szCs w:val="32"/>
          <w:lang w:val="en-US" w:eastAsia="zh-CN"/>
        </w:rPr>
        <w:t>企业失联、破产或丧失经营资质</w:t>
      </w:r>
      <w:r>
        <w:rPr>
          <w:rFonts w:hint="eastAsia" w:ascii="Times New Roman" w:hAnsi="Times New Roman" w:eastAsia="仿宋_GB2312" w:cs="仿宋_GB2312"/>
          <w:bCs/>
          <w:sz w:val="32"/>
          <w:szCs w:val="32"/>
          <w:lang w:val="en-US" w:eastAsia="zh-CN"/>
        </w:rPr>
        <w:t>等</w:t>
      </w:r>
      <w:r>
        <w:rPr>
          <w:rFonts w:hint="default" w:ascii="Times New Roman" w:hAnsi="Times New Roman" w:eastAsia="仿宋_GB2312" w:cs="仿宋_GB2312"/>
          <w:bCs/>
          <w:sz w:val="32"/>
          <w:szCs w:val="32"/>
          <w:lang w:val="en-US" w:eastAsia="zh-CN"/>
        </w:rPr>
        <w:t>。</w:t>
      </w:r>
    </w:p>
    <w:p w14:paraId="6A03CD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仿宋_GB2312" w:cs="仿宋_GB2312"/>
          <w:bCs/>
          <w:sz w:val="32"/>
          <w:szCs w:val="32"/>
          <w:lang w:val="en-US" w:eastAsia="zh-CN"/>
        </w:rPr>
      </w:pPr>
      <w:r>
        <w:rPr>
          <w:rFonts w:hint="eastAsia" w:ascii="Times New Roman" w:hAnsi="Times New Roman" w:eastAsia="黑体" w:cs="黑体"/>
          <w:bCs/>
          <w:sz w:val="32"/>
          <w:szCs w:val="32"/>
          <w:lang w:val="en-US" w:eastAsia="zh-CN"/>
        </w:rPr>
        <w:t>五、申报资料及要求</w:t>
      </w:r>
    </w:p>
    <w:p w14:paraId="27A8B0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仿宋_GB2312" w:cs="仿宋_GB2312"/>
          <w:bCs/>
          <w:color w:val="auto"/>
          <w:sz w:val="32"/>
          <w:szCs w:val="32"/>
          <w:lang w:val="en-US" w:eastAsia="zh-CN"/>
        </w:rPr>
      </w:pPr>
      <w:r>
        <w:rPr>
          <w:rFonts w:hint="eastAsia" w:ascii="Times New Roman" w:hAnsi="Times New Roman" w:eastAsia="仿宋_GB2312" w:cs="仿宋_GB2312"/>
          <w:bCs/>
          <w:color w:val="auto"/>
          <w:sz w:val="32"/>
          <w:szCs w:val="32"/>
          <w:lang w:val="en-US" w:eastAsia="zh-CN"/>
        </w:rPr>
        <w:t>（一）《2026年贵阳市特色产品征集表》（见附件2）。</w:t>
      </w:r>
    </w:p>
    <w:p w14:paraId="6BA1CF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仿宋_GB2312" w:cs="仿宋_GB2312"/>
          <w:bCs/>
          <w:color w:val="auto"/>
          <w:sz w:val="32"/>
          <w:szCs w:val="32"/>
          <w:highlight w:val="none"/>
          <w:lang w:val="en-US" w:eastAsia="zh-CN"/>
        </w:rPr>
      </w:pPr>
      <w:r>
        <w:rPr>
          <w:rFonts w:hint="eastAsia" w:ascii="Times New Roman" w:hAnsi="Times New Roman" w:eastAsia="仿宋_GB2312" w:cs="仿宋_GB2312"/>
          <w:bCs/>
          <w:color w:val="auto"/>
          <w:sz w:val="32"/>
          <w:szCs w:val="32"/>
          <w:highlight w:val="none"/>
          <w:lang w:val="en-US" w:eastAsia="zh-CN"/>
        </w:rPr>
        <w:t>（二）申报单位营业执照原件（或加盖鲜章的复印件）彩色扫描件。</w:t>
      </w:r>
    </w:p>
    <w:p w14:paraId="3DDDBB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仿宋_GB2312" w:cs="仿宋_GB2312"/>
          <w:bCs/>
          <w:sz w:val="32"/>
          <w:szCs w:val="32"/>
          <w:lang w:val="en-US" w:eastAsia="zh-CN"/>
        </w:rPr>
      </w:pPr>
      <w:r>
        <w:rPr>
          <w:rFonts w:hint="eastAsia" w:ascii="Times New Roman" w:hAnsi="Times New Roman" w:eastAsia="仿宋_GB2312" w:cs="仿宋_GB2312"/>
          <w:bCs/>
          <w:color w:val="auto"/>
          <w:sz w:val="32"/>
          <w:szCs w:val="32"/>
          <w:highlight w:val="none"/>
          <w:lang w:val="en-US" w:eastAsia="zh-CN"/>
        </w:rPr>
        <w:t>（三）申报产品图片及相</w:t>
      </w:r>
      <w:r>
        <w:rPr>
          <w:rFonts w:hint="eastAsia" w:ascii="Times New Roman" w:hAnsi="Times New Roman" w:eastAsia="仿宋_GB2312" w:cs="仿宋_GB2312"/>
          <w:bCs/>
          <w:sz w:val="32"/>
          <w:szCs w:val="32"/>
          <w:lang w:val="en-US" w:eastAsia="zh-CN"/>
        </w:rPr>
        <w:t>关资质证照扫描件。</w:t>
      </w:r>
    </w:p>
    <w:p w14:paraId="7BBFBE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黑体" w:cs="黑体"/>
          <w:bCs/>
          <w:sz w:val="32"/>
          <w:szCs w:val="32"/>
          <w:lang w:val="en-US" w:eastAsia="zh-CN"/>
        </w:rPr>
      </w:pPr>
      <w:r>
        <w:rPr>
          <w:rFonts w:hint="eastAsia" w:ascii="Times New Roman" w:hAnsi="Times New Roman" w:eastAsia="仿宋_GB2312" w:cs="仿宋_GB2312"/>
          <w:bCs/>
          <w:sz w:val="32"/>
          <w:szCs w:val="32"/>
          <w:lang w:val="en-US" w:eastAsia="zh-CN"/>
        </w:rPr>
        <w:t>上述资料需存放在同一个文件夹内，文件夹以“征集类别+企业名称”命名，并压缩为zip或rar 格式。</w:t>
      </w:r>
    </w:p>
    <w:p w14:paraId="790875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黑体" w:cs="黑体"/>
          <w:bCs/>
          <w:sz w:val="32"/>
          <w:szCs w:val="32"/>
          <w:highlight w:val="none"/>
          <w:lang w:val="en-US" w:eastAsia="zh-CN"/>
        </w:rPr>
      </w:pPr>
      <w:r>
        <w:rPr>
          <w:rFonts w:hint="eastAsia" w:ascii="Times New Roman" w:hAnsi="Times New Roman" w:eastAsia="黑体" w:cs="黑体"/>
          <w:bCs/>
          <w:sz w:val="32"/>
          <w:szCs w:val="32"/>
          <w:highlight w:val="none"/>
          <w:lang w:val="en-US" w:eastAsia="zh-CN"/>
        </w:rPr>
        <w:t>六、支持与合作</w:t>
      </w:r>
    </w:p>
    <w:p w14:paraId="189329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仿宋_GB2312" w:cs="仿宋_GB2312"/>
          <w:bCs/>
          <w:sz w:val="32"/>
          <w:szCs w:val="32"/>
          <w:lang w:val="en-US" w:eastAsia="zh-CN"/>
        </w:rPr>
      </w:pPr>
      <w:r>
        <w:rPr>
          <w:rFonts w:hint="eastAsia" w:ascii="Times New Roman" w:hAnsi="Times New Roman" w:eastAsia="仿宋_GB2312" w:cs="仿宋_GB2312"/>
          <w:bCs/>
          <w:sz w:val="32"/>
          <w:szCs w:val="32"/>
          <w:lang w:val="en-US" w:eastAsia="zh-CN"/>
        </w:rPr>
        <w:t>（一）场地支持：选品中心为入选产品企业免费提供位于钰达大厦的展示场地及商务洽谈区域，不收取场地费用。</w:t>
      </w:r>
    </w:p>
    <w:p w14:paraId="0D5D35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Times New Roman" w:hAnsi="Times New Roman" w:eastAsia="仿宋_GB2312" w:cs="仿宋_GB2312"/>
          <w:bCs/>
          <w:sz w:val="32"/>
          <w:szCs w:val="32"/>
          <w:lang w:val="en-US" w:eastAsia="zh-CN"/>
        </w:rPr>
      </w:pPr>
      <w:r>
        <w:rPr>
          <w:rFonts w:hint="eastAsia" w:ascii="Times New Roman" w:hAnsi="Times New Roman" w:eastAsia="仿宋_GB2312" w:cs="仿宋_GB2312"/>
          <w:bCs/>
          <w:sz w:val="32"/>
          <w:szCs w:val="32"/>
          <w:lang w:val="en-US" w:eastAsia="zh-CN"/>
        </w:rPr>
        <w:t>（二）宣传推广：入选产品将优先获得展示与推荐机会，同步联动民生路好吃街打卡地宣传资源，参与省、市及国内外相关展会推广活动。</w:t>
      </w:r>
    </w:p>
    <w:p w14:paraId="15FDE51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843071"/>
    <w:rsid w:val="4B8430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2026-01-30T08:00:00Z</dcterms:created>
  <dc:creator>來年</dc:creator>
  <cp:lastModifiedBy>來年</cp:lastModifiedBy>
  <dcterms:modified xsi:type="dcterms:W3CDTF">2026-01-30T08:00:40Z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9EBCD10123964A648687F90CCB2B63EE_11</vt:lpwstr>
  </property>
  <property fmtid="{D5CDD505-2E9C-101B-9397-08002B2CF9AE}" pid="4" name="KSOTemplateDocerSaveRecord">
    <vt:lpwstr>eyJoZGlkIjoiYzlhNTJhNmQ3N2E4ZWRmODZhYjQ0OTRhNDYxMmRlMGQiLCJ1c2VySWQiOiIzNTIxMjA1MzcifQ==</vt:lpwstr>
  </property>
</Properties>
</file>