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kinsoku/>
        <w:wordWrap/>
        <w:overflowPunct/>
        <w:topLinePunct w:val="0"/>
        <w:autoSpaceDE/>
        <w:autoSpaceDN/>
        <w:bidi w:val="0"/>
        <w:spacing w:line="560" w:lineRule="exact"/>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2</w:t>
      </w:r>
    </w:p>
    <w:p>
      <w:pPr>
        <w:pageBreakBefore w:val="0"/>
        <w:kinsoku/>
        <w:wordWrap/>
        <w:overflowPunct/>
        <w:topLinePunct w:val="0"/>
        <w:autoSpaceDE/>
        <w:autoSpaceDN/>
        <w:bidi w:val="0"/>
        <w:spacing w:line="560" w:lineRule="exact"/>
        <w:jc w:val="both"/>
        <w:textAlignment w:val="auto"/>
        <w:rPr>
          <w:rFonts w:ascii="Calibri" w:hAnsi="Calibri"/>
        </w:rPr>
      </w:pPr>
    </w:p>
    <w:p>
      <w:pPr>
        <w:pageBreakBefore w:val="0"/>
        <w:widowControl/>
        <w:kinsoku/>
        <w:wordWrap/>
        <w:overflowPunct/>
        <w:topLinePunct w:val="0"/>
        <w:autoSpaceDE/>
        <w:autoSpaceDN/>
        <w:bidi w:val="0"/>
        <w:adjustRightInd w:val="0"/>
        <w:snapToGrid w:val="0"/>
        <w:spacing w:line="560" w:lineRule="exact"/>
        <w:jc w:val="center"/>
        <w:textAlignment w:val="auto"/>
        <w:rPr>
          <w:rFonts w:hint="eastAsia" w:ascii="方正小标宋简体" w:hAnsi="等线" w:eastAsia="方正小标宋简体"/>
          <w:sz w:val="44"/>
          <w:szCs w:val="44"/>
          <w:lang w:eastAsia="zh-CN"/>
        </w:rPr>
      </w:pPr>
      <w:r>
        <w:rPr>
          <w:rFonts w:hint="eastAsia" w:ascii="方正小标宋简体" w:hAnsi="等线" w:eastAsia="方正小标宋简体"/>
          <w:sz w:val="44"/>
          <w:szCs w:val="44"/>
        </w:rPr>
        <w:t>《</w:t>
      </w:r>
      <w:r>
        <w:rPr>
          <w:rFonts w:hint="eastAsia" w:ascii="方正小标宋简体" w:hAnsi="等线" w:eastAsia="方正小标宋简体"/>
          <w:sz w:val="44"/>
          <w:szCs w:val="44"/>
          <w:lang w:eastAsia="zh-CN"/>
        </w:rPr>
        <w:t>深圳市光明区支持低空经济高质量发展</w:t>
      </w:r>
    </w:p>
    <w:p>
      <w:pPr>
        <w:pageBreakBefore w:val="0"/>
        <w:widowControl/>
        <w:kinsoku/>
        <w:wordWrap/>
        <w:overflowPunct/>
        <w:topLinePunct w:val="0"/>
        <w:autoSpaceDE/>
        <w:autoSpaceDN/>
        <w:bidi w:val="0"/>
        <w:adjustRightInd w:val="0"/>
        <w:snapToGrid w:val="0"/>
        <w:spacing w:line="560" w:lineRule="exact"/>
        <w:jc w:val="center"/>
        <w:textAlignment w:val="auto"/>
        <w:rPr>
          <w:rFonts w:hint="eastAsia" w:ascii="方正小标宋简体" w:hAnsi="等线" w:eastAsia="方正小标宋简体"/>
          <w:sz w:val="44"/>
          <w:szCs w:val="44"/>
          <w:lang w:eastAsia="zh-CN"/>
        </w:rPr>
      </w:pPr>
      <w:r>
        <w:rPr>
          <w:rFonts w:hint="eastAsia" w:ascii="方正小标宋简体" w:hAnsi="等线" w:eastAsia="方正小标宋简体"/>
          <w:sz w:val="44"/>
          <w:szCs w:val="44"/>
          <w:lang w:eastAsia="zh-CN"/>
        </w:rPr>
        <w:t>扶持计划操作规程（征求意见</w:t>
      </w:r>
    </w:p>
    <w:p>
      <w:pPr>
        <w:pageBreakBefore w:val="0"/>
        <w:widowControl/>
        <w:kinsoku/>
        <w:wordWrap/>
        <w:overflowPunct/>
        <w:topLinePunct w:val="0"/>
        <w:autoSpaceDE/>
        <w:autoSpaceDN/>
        <w:bidi w:val="0"/>
        <w:adjustRightInd w:val="0"/>
        <w:snapToGrid w:val="0"/>
        <w:spacing w:line="560" w:lineRule="exact"/>
        <w:jc w:val="center"/>
        <w:textAlignment w:val="auto"/>
        <w:rPr>
          <w:rFonts w:ascii="方正小标宋简体" w:hAnsi="等线" w:eastAsia="方正小标宋简体"/>
          <w:sz w:val="44"/>
          <w:szCs w:val="44"/>
        </w:rPr>
      </w:pPr>
      <w:r>
        <w:rPr>
          <w:rFonts w:hint="eastAsia" w:ascii="方正小标宋简体" w:hAnsi="等线" w:eastAsia="方正小标宋简体"/>
          <w:sz w:val="44"/>
          <w:szCs w:val="44"/>
          <w:lang w:eastAsia="zh-CN"/>
        </w:rPr>
        <w:t>稿）</w:t>
      </w:r>
      <w:r>
        <w:rPr>
          <w:rFonts w:hint="eastAsia" w:ascii="方正小标宋简体" w:hAnsi="等线" w:eastAsia="方正小标宋简体"/>
          <w:sz w:val="44"/>
          <w:szCs w:val="44"/>
        </w:rPr>
        <w:t>》起草说明</w:t>
      </w:r>
    </w:p>
    <w:p>
      <w:pPr>
        <w:pageBreakBefore w:val="0"/>
        <w:widowControl/>
        <w:kinsoku/>
        <w:wordWrap/>
        <w:overflowPunct/>
        <w:topLinePunct w:val="0"/>
        <w:autoSpaceDE/>
        <w:autoSpaceDN/>
        <w:bidi w:val="0"/>
        <w:adjustRightInd w:val="0"/>
        <w:snapToGrid w:val="0"/>
        <w:spacing w:line="560" w:lineRule="exact"/>
        <w:jc w:val="both"/>
        <w:textAlignment w:val="auto"/>
        <w:rPr>
          <w:rFonts w:ascii="仿宋_GB2312" w:hAnsi="等线" w:eastAsia="仿宋_GB2312"/>
          <w:sz w:val="32"/>
          <w:szCs w:val="44"/>
        </w:rPr>
      </w:pPr>
    </w:p>
    <w:p>
      <w:pPr>
        <w:keepNext/>
        <w:keepLines/>
        <w:pageBreakBefore w:val="0"/>
        <w:kinsoku/>
        <w:wordWrap/>
        <w:overflowPunct/>
        <w:topLinePunct w:val="0"/>
        <w:autoSpaceDE/>
        <w:autoSpaceDN/>
        <w:bidi w:val="0"/>
        <w:adjustRightInd w:val="0"/>
        <w:snapToGrid w:val="0"/>
        <w:spacing w:line="560" w:lineRule="exact"/>
        <w:ind w:firstLine="640" w:firstLineChars="200"/>
        <w:jc w:val="both"/>
        <w:textAlignment w:val="auto"/>
        <w:outlineLvl w:val="1"/>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rPr>
        <w:t>为</w:t>
      </w:r>
      <w:r>
        <w:rPr>
          <w:rFonts w:hint="eastAsia" w:ascii="仿宋_GB2312" w:hAnsi="仿宋_GB2312" w:eastAsia="仿宋_GB2312" w:cs="仿宋_GB2312"/>
          <w:bCs/>
          <w:sz w:val="32"/>
          <w:szCs w:val="32"/>
          <w:lang w:val="en-US" w:eastAsia="zh-CN"/>
        </w:rPr>
        <w:t>贯彻落实</w:t>
      </w:r>
      <w:r>
        <w:rPr>
          <w:rFonts w:hint="eastAsia" w:ascii="仿宋_GB2312" w:hAnsi="等线" w:eastAsia="仿宋_GB2312"/>
          <w:sz w:val="32"/>
          <w:szCs w:val="44"/>
          <w:lang w:val="en-US" w:eastAsia="zh-CN"/>
        </w:rPr>
        <w:t>光明区低空经济产业相关扶持政策，</w:t>
      </w:r>
      <w:r>
        <w:rPr>
          <w:rFonts w:hint="eastAsia" w:ascii="仿宋_GB2312" w:hAnsi="仿宋_GB2312" w:eastAsia="仿宋_GB2312" w:cs="仿宋_GB2312"/>
          <w:bCs/>
          <w:sz w:val="32"/>
          <w:szCs w:val="32"/>
          <w:lang w:val="en-US"/>
        </w:rPr>
        <w:t>规范</w:t>
      </w:r>
      <w:r>
        <w:rPr>
          <w:rFonts w:hint="eastAsia" w:ascii="仿宋_GB2312" w:hAnsi="仿宋_GB2312" w:eastAsia="仿宋_GB2312" w:cs="仿宋_GB2312"/>
          <w:bCs/>
          <w:sz w:val="32"/>
          <w:szCs w:val="32"/>
          <w:lang w:val="en-US" w:eastAsia="zh-CN"/>
        </w:rPr>
        <w:t>低空经济高质量发展扶持计划</w:t>
      </w:r>
      <w:r>
        <w:rPr>
          <w:rFonts w:hint="eastAsia" w:ascii="仿宋_GB2312" w:hAnsi="仿宋_GB2312" w:eastAsia="仿宋_GB2312" w:cs="仿宋_GB2312"/>
          <w:bCs/>
          <w:sz w:val="32"/>
          <w:szCs w:val="32"/>
          <w:lang w:val="en-US"/>
        </w:rPr>
        <w:t>的组织</w:t>
      </w:r>
      <w:r>
        <w:rPr>
          <w:rFonts w:hint="eastAsia" w:ascii="仿宋_GB2312" w:hAnsi="仿宋_GB2312" w:eastAsia="仿宋_GB2312" w:cs="仿宋_GB2312"/>
          <w:bCs/>
          <w:sz w:val="32"/>
          <w:szCs w:val="32"/>
          <w:lang w:val="en-US" w:eastAsia="zh-CN"/>
        </w:rPr>
        <w:t>实施</w:t>
      </w:r>
      <w:r>
        <w:rPr>
          <w:rFonts w:hint="eastAsia" w:ascii="仿宋_GB2312" w:hAnsi="仿宋_GB2312" w:eastAsia="仿宋_GB2312" w:cs="仿宋_GB2312"/>
          <w:bCs/>
          <w:sz w:val="32"/>
          <w:szCs w:val="32"/>
          <w:lang w:val="en-US"/>
        </w:rPr>
        <w:t>，提高资金使用效益和管理水平，</w:t>
      </w:r>
      <w:r>
        <w:rPr>
          <w:rFonts w:hint="eastAsia" w:ascii="仿宋_GB2312" w:hAnsi="仿宋_GB2312" w:eastAsia="仿宋_GB2312" w:cs="仿宋_GB2312"/>
          <w:bCs/>
          <w:sz w:val="32"/>
          <w:szCs w:val="32"/>
          <w:lang w:val="en-US" w:eastAsia="zh-CN"/>
        </w:rPr>
        <w:t>根据光明区经济发展专项资金管理办法等相关规定，结合光明区实际，光明区发展和改革局牵头起草了《深圳市光明区支持低空经济高质量发展扶持计划操作规程（征求意见稿）》（以下简称《操作规程》），现将有关情况说明如下：</w:t>
      </w:r>
    </w:p>
    <w:p>
      <w:pPr>
        <w:keepNext/>
        <w:keepLines/>
        <w:pageBreakBefore w:val="0"/>
        <w:kinsoku/>
        <w:wordWrap/>
        <w:overflowPunct/>
        <w:topLinePunct w:val="0"/>
        <w:autoSpaceDE/>
        <w:autoSpaceDN/>
        <w:bidi w:val="0"/>
        <w:adjustRightInd w:val="0"/>
        <w:snapToGrid w:val="0"/>
        <w:spacing w:line="560" w:lineRule="exact"/>
        <w:ind w:firstLine="640" w:firstLineChars="200"/>
        <w:jc w:val="both"/>
        <w:textAlignment w:val="auto"/>
        <w:outlineLvl w:val="1"/>
        <w:rPr>
          <w:rFonts w:ascii="仿宋_GB2312" w:hAnsi="黑体" w:eastAsia="黑体"/>
          <w:bCs/>
          <w:sz w:val="32"/>
          <w:szCs w:val="32"/>
        </w:rPr>
      </w:pPr>
      <w:r>
        <w:rPr>
          <w:rFonts w:hint="eastAsia" w:ascii="仿宋_GB2312" w:hAnsi="黑体" w:eastAsia="黑体"/>
          <w:bCs/>
          <w:sz w:val="32"/>
          <w:szCs w:val="32"/>
        </w:rPr>
        <w:t>一、起草背景</w:t>
      </w:r>
    </w:p>
    <w:p>
      <w:pPr>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等线" w:eastAsia="仿宋_GB2312"/>
          <w:sz w:val="32"/>
          <w:szCs w:val="44"/>
          <w:u w:val="none"/>
        </w:rPr>
      </w:pPr>
      <w:r>
        <w:rPr>
          <w:rFonts w:hint="eastAsia" w:ascii="仿宋_GB2312" w:hAnsi="等线" w:eastAsia="仿宋_GB2312"/>
          <w:sz w:val="32"/>
          <w:szCs w:val="44"/>
          <w:u w:val="none"/>
          <w:lang w:val="en-US" w:eastAsia="zh-CN"/>
        </w:rPr>
        <w:t>2025年12月，光明区出台了</w:t>
      </w:r>
      <w:r>
        <w:rPr>
          <w:rFonts w:hint="eastAsia" w:ascii="仿宋_GB2312" w:hAnsi="等线" w:eastAsia="仿宋_GB2312"/>
          <w:sz w:val="32"/>
          <w:szCs w:val="44"/>
          <w:u w:val="none"/>
          <w:lang w:eastAsia="zh-CN"/>
        </w:rPr>
        <w:t>《深圳市光明区关于促进低空经济高质量发展的若干措施》，</w:t>
      </w:r>
      <w:r>
        <w:rPr>
          <w:rFonts w:hint="eastAsia" w:ascii="仿宋_GB2312" w:hAnsi="等线" w:eastAsia="仿宋_GB2312"/>
          <w:sz w:val="32"/>
          <w:szCs w:val="44"/>
          <w:u w:val="none"/>
          <w:lang w:val="en-US" w:eastAsia="zh-CN"/>
        </w:rPr>
        <w:t>围绕围绕支持低空经济企业科技创新、支持低空经济产业生态培育、支持深化低空应用场景驱动等三大板块，共提出十条支持措施，聚焦低空经济重点方向精准发力。</w:t>
      </w:r>
      <w:r>
        <w:rPr>
          <w:rFonts w:hint="eastAsia" w:ascii="仿宋_GB2312" w:hAnsi="等线" w:eastAsia="仿宋_GB2312"/>
          <w:sz w:val="32"/>
          <w:szCs w:val="44"/>
          <w:u w:val="none"/>
        </w:rPr>
        <w:t>为</w:t>
      </w:r>
      <w:r>
        <w:rPr>
          <w:rFonts w:hint="eastAsia" w:ascii="仿宋_GB2312" w:hAnsi="等线" w:eastAsia="仿宋_GB2312"/>
          <w:sz w:val="32"/>
          <w:szCs w:val="44"/>
          <w:u w:val="none"/>
          <w:lang w:val="en-US" w:eastAsia="zh-CN"/>
        </w:rPr>
        <w:t>保障政策落实，</w:t>
      </w:r>
      <w:r>
        <w:rPr>
          <w:rFonts w:hint="eastAsia" w:ascii="仿宋_GB2312" w:hAnsi="仿宋_GB2312" w:eastAsia="仿宋_GB2312" w:cs="仿宋_GB2312"/>
          <w:bCs/>
          <w:sz w:val="32"/>
          <w:szCs w:val="32"/>
          <w:lang w:val="en-US" w:eastAsia="zh-CN"/>
        </w:rPr>
        <w:t>光明区发展和改革局牵头</w:t>
      </w:r>
      <w:r>
        <w:rPr>
          <w:rFonts w:hint="eastAsia" w:ascii="仿宋_GB2312" w:hAnsi="等线" w:eastAsia="仿宋_GB2312"/>
          <w:sz w:val="32"/>
          <w:szCs w:val="44"/>
          <w:u w:val="none"/>
        </w:rPr>
        <w:t>研究</w:t>
      </w:r>
      <w:r>
        <w:rPr>
          <w:rFonts w:hint="eastAsia" w:ascii="仿宋_GB2312" w:hAnsi="等线" w:eastAsia="仿宋_GB2312"/>
          <w:sz w:val="32"/>
          <w:szCs w:val="44"/>
          <w:u w:val="none"/>
          <w:lang w:val="en-US" w:eastAsia="zh-CN"/>
        </w:rPr>
        <w:t>制定</w:t>
      </w:r>
      <w:r>
        <w:rPr>
          <w:rFonts w:hint="eastAsia" w:ascii="仿宋_GB2312" w:hAnsi="等线" w:eastAsia="仿宋_GB2312"/>
          <w:sz w:val="32"/>
          <w:szCs w:val="44"/>
          <w:u w:val="none"/>
        </w:rPr>
        <w:t>了《操作规程》。</w:t>
      </w:r>
    </w:p>
    <w:p>
      <w:pPr>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黑体" w:eastAsia="黑体"/>
          <w:bCs/>
          <w:sz w:val="32"/>
          <w:szCs w:val="32"/>
        </w:rPr>
      </w:pPr>
      <w:r>
        <w:rPr>
          <w:rFonts w:hint="eastAsia" w:ascii="仿宋_GB2312" w:hAnsi="黑体" w:eastAsia="黑体"/>
          <w:bCs/>
          <w:sz w:val="32"/>
          <w:szCs w:val="32"/>
        </w:rPr>
        <w:t>二、政策依据</w:t>
      </w:r>
    </w:p>
    <w:p>
      <w:pPr>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黑体" w:eastAsia="黑体"/>
          <w:bCs/>
          <w:sz w:val="32"/>
          <w:szCs w:val="32"/>
          <w:lang w:eastAsia="zh-CN"/>
        </w:rPr>
      </w:pPr>
      <w:bookmarkStart w:id="0" w:name="_GoBack"/>
      <w:bookmarkEnd w:id="0"/>
      <w:r>
        <w:rPr>
          <w:rFonts w:hint="eastAsia" w:ascii="仿宋_GB2312" w:hAnsi="仿宋_GB2312" w:eastAsia="仿宋_GB2312" w:cs="仿宋_GB2312"/>
          <w:i w:val="0"/>
          <w:caps w:val="0"/>
          <w:color w:val="auto"/>
          <w:spacing w:val="0"/>
          <w:sz w:val="32"/>
          <w:szCs w:val="32"/>
          <w:shd w:val="clear" w:fill="FFFFFF"/>
        </w:rPr>
        <w:t>《深圳市光明区促进低空经济高质量发展若干措施》(深光</w:t>
      </w:r>
      <w:r>
        <w:rPr>
          <w:rFonts w:hint="eastAsia" w:ascii="仿宋_GB2312" w:hAnsi="仿宋_GB2312" w:eastAsia="仿宋_GB2312" w:cs="仿宋_GB2312"/>
          <w:i w:val="0"/>
          <w:caps w:val="0"/>
          <w:color w:val="auto"/>
          <w:spacing w:val="0"/>
          <w:sz w:val="32"/>
          <w:szCs w:val="32"/>
          <w:shd w:val="clear" w:fill="FFFFFF"/>
          <w:lang w:eastAsia="zh-CN"/>
        </w:rPr>
        <w:t>发改</w:t>
      </w:r>
      <w:r>
        <w:rPr>
          <w:rFonts w:hint="eastAsia" w:ascii="仿宋_GB2312" w:hAnsi="仿宋_GB2312" w:eastAsia="仿宋_GB2312" w:cs="仿宋_GB2312"/>
          <w:i w:val="0"/>
          <w:caps w:val="0"/>
          <w:color w:val="auto"/>
          <w:spacing w:val="0"/>
          <w:sz w:val="32"/>
          <w:szCs w:val="32"/>
          <w:shd w:val="clear" w:fill="FFFFFF"/>
        </w:rPr>
        <w:t>规〔202</w:t>
      </w:r>
      <w:r>
        <w:rPr>
          <w:rFonts w:hint="eastAsia" w:ascii="仿宋_GB2312" w:hAnsi="仿宋_GB2312" w:eastAsia="仿宋_GB2312" w:cs="仿宋_GB2312"/>
          <w:i w:val="0"/>
          <w:caps w:val="0"/>
          <w:color w:val="auto"/>
          <w:spacing w:val="0"/>
          <w:sz w:val="32"/>
          <w:szCs w:val="32"/>
          <w:shd w:val="clear" w:fill="FFFFFF"/>
          <w:lang w:val="en-US" w:eastAsia="zh-CN"/>
        </w:rPr>
        <w:t>5</w:t>
      </w:r>
      <w:r>
        <w:rPr>
          <w:rFonts w:hint="eastAsia" w:ascii="仿宋_GB2312" w:hAnsi="仿宋_GB2312" w:eastAsia="仿宋_GB2312" w:cs="仿宋_GB2312"/>
          <w:i w:val="0"/>
          <w:caps w:val="0"/>
          <w:color w:val="auto"/>
          <w:spacing w:val="0"/>
          <w:sz w:val="32"/>
          <w:szCs w:val="32"/>
          <w:shd w:val="clear" w:fill="FFFFFF"/>
        </w:rPr>
        <w:t>〕</w:t>
      </w:r>
      <w:r>
        <w:rPr>
          <w:rFonts w:hint="eastAsia" w:ascii="仿宋_GB2312" w:hAnsi="仿宋_GB2312" w:eastAsia="仿宋_GB2312" w:cs="仿宋_GB2312"/>
          <w:i w:val="0"/>
          <w:caps w:val="0"/>
          <w:color w:val="auto"/>
          <w:spacing w:val="0"/>
          <w:sz w:val="32"/>
          <w:szCs w:val="32"/>
          <w:shd w:val="clear" w:fill="FFFFFF"/>
          <w:lang w:val="en-US" w:eastAsia="zh-CN"/>
        </w:rPr>
        <w:t>2</w:t>
      </w:r>
      <w:r>
        <w:rPr>
          <w:rFonts w:hint="eastAsia" w:ascii="仿宋_GB2312" w:hAnsi="仿宋_GB2312" w:eastAsia="仿宋_GB2312" w:cs="仿宋_GB2312"/>
          <w:i w:val="0"/>
          <w:caps w:val="0"/>
          <w:color w:val="auto"/>
          <w:spacing w:val="0"/>
          <w:sz w:val="32"/>
          <w:szCs w:val="32"/>
          <w:shd w:val="clear" w:fill="FFFFFF"/>
        </w:rPr>
        <w:t>号)</w:t>
      </w:r>
      <w:r>
        <w:rPr>
          <w:rFonts w:hint="eastAsia" w:ascii="仿宋_GB2312" w:hAnsi="仿宋_GB2312" w:eastAsia="仿宋_GB2312" w:cs="仿宋_GB2312"/>
          <w:bCs/>
          <w:sz w:val="32"/>
          <w:szCs w:val="32"/>
          <w:lang w:val="en-US" w:eastAsia="zh-CN"/>
        </w:rPr>
        <w:t>、</w:t>
      </w:r>
      <w:r>
        <w:rPr>
          <w:rFonts w:hint="eastAsia" w:ascii="仿宋_GB2312" w:hAnsi="仿宋_GB2312" w:eastAsia="仿宋_GB2312" w:cs="仿宋_GB2312"/>
          <w:i w:val="0"/>
          <w:caps w:val="0"/>
          <w:color w:val="auto"/>
          <w:spacing w:val="0"/>
          <w:sz w:val="32"/>
          <w:szCs w:val="32"/>
          <w:shd w:val="clear" w:fill="FFFFFF"/>
        </w:rPr>
        <w:t>《光明区经济发展专项资金管理办法》（深光工信规〔2026〕1号）</w:t>
      </w:r>
      <w:r>
        <w:rPr>
          <w:rFonts w:hint="eastAsia" w:ascii="仿宋_GB2312" w:hAnsi="仿宋_GB2312" w:eastAsia="仿宋_GB2312" w:cs="仿宋_GB2312"/>
          <w:bCs/>
          <w:sz w:val="32"/>
          <w:szCs w:val="32"/>
          <w:lang w:val="en-US" w:eastAsia="zh-CN"/>
        </w:rPr>
        <w:t>。</w:t>
      </w:r>
    </w:p>
    <w:p>
      <w:pPr>
        <w:keepNext/>
        <w:keepLines/>
        <w:pageBreakBefore w:val="0"/>
        <w:kinsoku/>
        <w:wordWrap/>
        <w:overflowPunct/>
        <w:topLinePunct w:val="0"/>
        <w:autoSpaceDE/>
        <w:autoSpaceDN/>
        <w:bidi w:val="0"/>
        <w:adjustRightInd w:val="0"/>
        <w:snapToGrid w:val="0"/>
        <w:spacing w:line="560" w:lineRule="exact"/>
        <w:ind w:firstLine="640" w:firstLineChars="200"/>
        <w:jc w:val="both"/>
        <w:textAlignment w:val="auto"/>
        <w:outlineLvl w:val="1"/>
        <w:rPr>
          <w:rFonts w:ascii="仿宋_GB2312" w:hAnsi="黑体" w:eastAsia="黑体"/>
          <w:bCs/>
          <w:sz w:val="32"/>
          <w:szCs w:val="32"/>
        </w:rPr>
      </w:pPr>
      <w:r>
        <w:rPr>
          <w:rFonts w:hint="eastAsia" w:ascii="仿宋_GB2312" w:hAnsi="黑体" w:eastAsia="黑体"/>
          <w:bCs/>
          <w:sz w:val="32"/>
          <w:szCs w:val="32"/>
          <w:lang w:eastAsia="zh-CN"/>
        </w:rPr>
        <w:t>三、</w:t>
      </w:r>
      <w:r>
        <w:rPr>
          <w:rFonts w:hint="eastAsia" w:ascii="仿宋_GB2312" w:hAnsi="黑体" w:eastAsia="黑体"/>
          <w:bCs/>
          <w:sz w:val="32"/>
          <w:szCs w:val="32"/>
        </w:rPr>
        <w:t>主要内容</w:t>
      </w:r>
    </w:p>
    <w:p>
      <w:pPr>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等线" w:eastAsia="仿宋_GB2312"/>
          <w:sz w:val="32"/>
          <w:szCs w:val="44"/>
        </w:rPr>
      </w:pPr>
      <w:r>
        <w:rPr>
          <w:rFonts w:hint="eastAsia" w:ascii="仿宋_GB2312" w:hAnsi="等线" w:eastAsia="仿宋_GB2312"/>
          <w:sz w:val="32"/>
          <w:szCs w:val="44"/>
          <w:u w:val="none"/>
        </w:rPr>
        <w:t>《操作规程》</w:t>
      </w:r>
      <w:r>
        <w:rPr>
          <w:rFonts w:hint="eastAsia" w:ascii="仿宋_GB2312" w:hAnsi="仿宋_GB2312" w:eastAsia="仿宋_GB2312" w:cs="仿宋_GB2312"/>
          <w:bCs/>
          <w:sz w:val="32"/>
          <w:szCs w:val="32"/>
          <w:lang w:val="en-US" w:eastAsia="zh-CN"/>
        </w:rPr>
        <w:t>共七章二十条。</w:t>
      </w:r>
      <w:r>
        <w:rPr>
          <w:rFonts w:hint="eastAsia" w:ascii="仿宋_GB2312" w:hAnsi="等线" w:eastAsia="仿宋_GB2312"/>
          <w:sz w:val="32"/>
          <w:szCs w:val="44"/>
        </w:rPr>
        <w:t>主要内容如下：</w:t>
      </w:r>
    </w:p>
    <w:p>
      <w:pPr>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第一章总则，共四条。主要内容包括</w:t>
      </w:r>
      <w:r>
        <w:rPr>
          <w:rFonts w:hint="eastAsia" w:ascii="仿宋_GB2312" w:hAnsi="等线" w:eastAsia="仿宋_GB2312"/>
          <w:sz w:val="32"/>
          <w:szCs w:val="44"/>
          <w:u w:val="none"/>
        </w:rPr>
        <w:t>《操作规程》</w:t>
      </w:r>
      <w:r>
        <w:rPr>
          <w:rFonts w:hint="eastAsia" w:ascii="仿宋_GB2312" w:hAnsi="仿宋_GB2312" w:eastAsia="仿宋_GB2312" w:cs="仿宋_GB2312"/>
          <w:bCs/>
          <w:sz w:val="32"/>
          <w:szCs w:val="32"/>
          <w:lang w:val="en-US" w:eastAsia="zh-CN"/>
        </w:rPr>
        <w:t>的依据、资金来源、管理原则和资助方式等。</w:t>
      </w:r>
    </w:p>
    <w:p>
      <w:pPr>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第二章支持对象、方式、标准和项目申报条件，共三条。主要内容包括各扶持方向的支持对象、资助方式、对应资助标准及项目申报条件等。</w:t>
      </w:r>
    </w:p>
    <w:p>
      <w:pPr>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第三章项目申报，共两条。主要内容包括项目申报的流程和申报原则等。</w:t>
      </w:r>
    </w:p>
    <w:p>
      <w:pPr>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第四章项目审核，共两条。主要内容包括项目的受理和核准类、评审类项目对应审核流程等。</w:t>
      </w:r>
    </w:p>
    <w:p>
      <w:pPr>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第五章项目绩效评价，共三条。主要内容包括不予资助情形、区相关主管部门和申报单位在开展监督管理与绩效评价中的责任和义务等。</w:t>
      </w:r>
    </w:p>
    <w:p>
      <w:pPr>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第六章监督检查，共三条。主要内容包括第三方机构、申请单位和区相关主管部门的行为规范以及违法违规处理方式等。</w:t>
      </w:r>
    </w:p>
    <w:p>
      <w:pPr>
        <w:pageBreakBefore w:val="0"/>
        <w:widowControl/>
        <w:kinsoku/>
        <w:wordWrap/>
        <w:overflowPunct/>
        <w:topLinePunct w:val="0"/>
        <w:autoSpaceDE/>
        <w:autoSpaceDN/>
        <w:bidi w:val="0"/>
        <w:adjustRightInd w:val="0"/>
        <w:snapToGrid w:val="0"/>
        <w:spacing w:line="560" w:lineRule="exact"/>
        <w:ind w:firstLine="640" w:firstLineChars="200"/>
        <w:jc w:val="both"/>
        <w:textAlignment w:val="auto"/>
      </w:pPr>
      <w:r>
        <w:rPr>
          <w:rFonts w:hint="eastAsia" w:ascii="仿宋_GB2312" w:hAnsi="仿宋_GB2312" w:eastAsia="仿宋_GB2312" w:cs="仿宋_GB2312"/>
          <w:bCs/>
          <w:sz w:val="32"/>
          <w:szCs w:val="32"/>
          <w:lang w:val="en-US" w:eastAsia="zh-CN"/>
        </w:rPr>
        <w:t>第七章附则，共三条。主要说明</w:t>
      </w:r>
      <w:r>
        <w:rPr>
          <w:rFonts w:hint="eastAsia" w:ascii="仿宋_GB2312" w:hAnsi="等线" w:eastAsia="仿宋_GB2312"/>
          <w:sz w:val="32"/>
          <w:szCs w:val="44"/>
          <w:u w:val="none"/>
        </w:rPr>
        <w:t>《操作规程》</w:t>
      </w:r>
      <w:r>
        <w:rPr>
          <w:rFonts w:hint="eastAsia" w:ascii="仿宋_GB2312" w:hAnsi="仿宋_GB2312" w:eastAsia="仿宋_GB2312" w:cs="仿宋_GB2312"/>
          <w:bCs/>
          <w:sz w:val="32"/>
          <w:szCs w:val="32"/>
          <w:lang w:val="en-US" w:eastAsia="zh-CN"/>
        </w:rPr>
        <w:t>所称相关名词界定范围、操作规程解释权及执行时间等。</w:t>
      </w:r>
    </w:p>
    <w:sectPr>
      <w:footerReference r:id="rId3" w:type="default"/>
      <w:pgSz w:w="11906" w:h="16838"/>
      <w:pgMar w:top="2041"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script"/>
    <w:pitch w:val="default"/>
    <w:sig w:usb0="A00002BF" w:usb1="184F6CFA" w:usb2="00000012" w:usb3="00000000" w:csb0="00040001" w:csb1="00000000"/>
  </w:font>
  <w:font w:name="等线">
    <w:altName w:val="华文仿宋"/>
    <w:panose1 w:val="02010600030101010101"/>
    <w:charset w:val="86"/>
    <w:family w:val="auto"/>
    <w:pitch w:val="default"/>
    <w:sig w:usb0="00000000" w:usb1="00000000"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A00002BF" w:usb1="38CF7CFA" w:usb2="00082016" w:usb3="00000000" w:csb0="00040001" w:csb1="00000000"/>
  </w:font>
  <w:font w:name="DejaVu Sans">
    <w:panose1 w:val="020B0603030804020204"/>
    <w:charset w:val="00"/>
    <w:family w:val="auto"/>
    <w:pitch w:val="default"/>
    <w:sig w:usb0="E7006EFF" w:usb1="D200FDFF" w:usb2="0A246029" w:usb3="0400200C" w:csb0="600001FF" w:csb1="DFFF0000"/>
  </w:font>
  <w:font w:name="Standard Symbols PS">
    <w:panose1 w:val="05050102010706020507"/>
    <w:charset w:val="00"/>
    <w:family w:val="auto"/>
    <w:pitch w:val="default"/>
    <w:sig w:usb0="00000003" w:usb1="00000000" w:usb2="00000000" w:usb3="00000000" w:csb0="00000001"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BYAAABkcnMvUEsBAhQAFAAAAAgAh07iQLNJWO7Q&#10;AAAABQEAAA8AAAAAAAAAAQAgAAAAOAAAAGRycy9kb3ducmV2LnhtbFBLAQIUABQAAAAIAIdO4kBK&#10;283/EgIAABMEAAAOAAAAAAAAAAEAIAAAADUBAABkcnMvZTJvRG9jLnhtbFBLBQYAAAAABgAGAFkB&#10;AAC5BQAAAAA=&#10;">
              <v:fill on="f" focussize="0,0"/>
              <v:stroke on="f" weight="0.5pt"/>
              <v:imagedata o:title=""/>
              <o:lock v:ext="edit" aspectratio="f"/>
              <v:textbox inset="0mm,0mm,0mm,0mm" style="mso-fit-shape-to-text:t;">
                <w:txbxContent>
                  <w:p>
                    <w:pPr>
                      <w:pStyle w:val="3"/>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c2ZGZiNzZiNDVlOGViOWVmM2JhOTY0NGJkNjUyYzgifQ=="/>
    <w:docVar w:name="KSO_WPS_MARK_KEY" w:val="89586a1d-1371-4181-89b7-50f1a9429663"/>
  </w:docVars>
  <w:rsids>
    <w:rsidRoot w:val="26372351"/>
    <w:rsid w:val="02A029F5"/>
    <w:rsid w:val="15FFC8FD"/>
    <w:rsid w:val="1AFFCB21"/>
    <w:rsid w:val="1FEE0D58"/>
    <w:rsid w:val="1FF78D77"/>
    <w:rsid w:val="217FBD0D"/>
    <w:rsid w:val="26372351"/>
    <w:rsid w:val="26F7ABD7"/>
    <w:rsid w:val="2971132A"/>
    <w:rsid w:val="2E9B4F92"/>
    <w:rsid w:val="2FFF6BA2"/>
    <w:rsid w:val="33AF0E04"/>
    <w:rsid w:val="34EF0FC6"/>
    <w:rsid w:val="3BDFCBDC"/>
    <w:rsid w:val="3ED754A5"/>
    <w:rsid w:val="4F0F72F6"/>
    <w:rsid w:val="4FBE2806"/>
    <w:rsid w:val="559F7CF6"/>
    <w:rsid w:val="5E3BA749"/>
    <w:rsid w:val="5E863000"/>
    <w:rsid w:val="5E9B8238"/>
    <w:rsid w:val="5EEF8F96"/>
    <w:rsid w:val="5EFE98F8"/>
    <w:rsid w:val="5FABA515"/>
    <w:rsid w:val="5FC716C0"/>
    <w:rsid w:val="5FFC6492"/>
    <w:rsid w:val="5FFF61B9"/>
    <w:rsid w:val="66A27815"/>
    <w:rsid w:val="6BAFB0E7"/>
    <w:rsid w:val="6BDF568D"/>
    <w:rsid w:val="6F4F31BD"/>
    <w:rsid w:val="6F793CBB"/>
    <w:rsid w:val="6F7F9912"/>
    <w:rsid w:val="6FBBDE53"/>
    <w:rsid w:val="6FFEF612"/>
    <w:rsid w:val="7273E603"/>
    <w:rsid w:val="735ED010"/>
    <w:rsid w:val="73F653BB"/>
    <w:rsid w:val="74FDB459"/>
    <w:rsid w:val="77B6087D"/>
    <w:rsid w:val="77BC4777"/>
    <w:rsid w:val="77CF47FA"/>
    <w:rsid w:val="79D349C7"/>
    <w:rsid w:val="7B1D13F8"/>
    <w:rsid w:val="7CEDACCC"/>
    <w:rsid w:val="7DE5A373"/>
    <w:rsid w:val="7DFBCEEB"/>
    <w:rsid w:val="7E7F28E8"/>
    <w:rsid w:val="7EDD8572"/>
    <w:rsid w:val="7F7ED0ED"/>
    <w:rsid w:val="7F7F8DEA"/>
    <w:rsid w:val="7FA123EA"/>
    <w:rsid w:val="7FDF182B"/>
    <w:rsid w:val="8AED4C18"/>
    <w:rsid w:val="8F7B2B03"/>
    <w:rsid w:val="9FCED229"/>
    <w:rsid w:val="9FDC52C8"/>
    <w:rsid w:val="A6F788D2"/>
    <w:rsid w:val="AEEF4D18"/>
    <w:rsid w:val="AEEF4D90"/>
    <w:rsid w:val="AFAB68EF"/>
    <w:rsid w:val="AFFD7127"/>
    <w:rsid w:val="B1F7E6FF"/>
    <w:rsid w:val="B7FC72C1"/>
    <w:rsid w:val="B7FD2ECB"/>
    <w:rsid w:val="B9762110"/>
    <w:rsid w:val="BFA37D5F"/>
    <w:rsid w:val="C6FC12DB"/>
    <w:rsid w:val="C9BF4D1D"/>
    <w:rsid w:val="D5DB6302"/>
    <w:rsid w:val="D5DF9525"/>
    <w:rsid w:val="D7BD8A7A"/>
    <w:rsid w:val="DAFF7364"/>
    <w:rsid w:val="DBEFBBE1"/>
    <w:rsid w:val="DBFFB6C3"/>
    <w:rsid w:val="DF8A84CE"/>
    <w:rsid w:val="DFBF5C32"/>
    <w:rsid w:val="DFF412B3"/>
    <w:rsid w:val="E1AF0018"/>
    <w:rsid w:val="E5F6EDDA"/>
    <w:rsid w:val="EB7FD02F"/>
    <w:rsid w:val="ED9F515C"/>
    <w:rsid w:val="EFBE28F7"/>
    <w:rsid w:val="EFFD18C5"/>
    <w:rsid w:val="EFFF7BC5"/>
    <w:rsid w:val="EFFFD5AD"/>
    <w:rsid w:val="F278FC92"/>
    <w:rsid w:val="F39C0297"/>
    <w:rsid w:val="F51D2565"/>
    <w:rsid w:val="F63F4F3D"/>
    <w:rsid w:val="F777E2F2"/>
    <w:rsid w:val="F77A52E9"/>
    <w:rsid w:val="F7FB8E47"/>
    <w:rsid w:val="FB9B0A77"/>
    <w:rsid w:val="FD5C4C66"/>
    <w:rsid w:val="FDAD2078"/>
    <w:rsid w:val="FF2A972A"/>
    <w:rsid w:val="FF2FC70F"/>
    <w:rsid w:val="FF474C2C"/>
    <w:rsid w:val="FF7F67C5"/>
    <w:rsid w:val="FF9FD7A8"/>
    <w:rsid w:val="FFEEDBC6"/>
    <w:rsid w:val="FFFF35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line="560" w:lineRule="exact"/>
      <w:ind w:left="0" w:firstLine="880" w:firstLineChars="200"/>
    </w:pPr>
    <w:rPr>
      <w:rFonts w:hint="eastAsia" w:ascii="Times New Roman" w:hAnsi="Times New Roman" w:cs="Times New Roman"/>
    </w:rPr>
  </w:style>
  <w:style w:type="paragraph" w:styleId="3">
    <w:name w:val="footer"/>
    <w:basedOn w:val="1"/>
    <w:qFormat/>
    <w:uiPriority w:val="99"/>
    <w:pPr>
      <w:tabs>
        <w:tab w:val="center" w:pos="4153"/>
        <w:tab w:val="right" w:pos="8306"/>
      </w:tabs>
      <w:snapToGrid w:val="0"/>
      <w:jc w:val="left"/>
    </w:pPr>
    <w:rPr>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Title"/>
    <w:basedOn w:val="1"/>
    <w:next w:val="1"/>
    <w:qFormat/>
    <w:uiPriority w:val="0"/>
    <w:pPr>
      <w:spacing w:line="0" w:lineRule="atLeast"/>
      <w:jc w:val="center"/>
    </w:pPr>
    <w:rPr>
      <w:rFonts w:ascii="Arial" w:hAnsi="Arial" w:eastAsia="黑体" w:cs="Times New Roman"/>
      <w:sz w:val="5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1231</Words>
  <Characters>1248</Characters>
  <Lines>0</Lines>
  <Paragraphs>0</Paragraphs>
  <TotalTime>1</TotalTime>
  <ScaleCrop>false</ScaleCrop>
  <LinksUpToDate>false</LinksUpToDate>
  <CharactersWithSpaces>1248</CharactersWithSpaces>
  <Application>WPS Office_11.8.2.10605_F1E327BC-269C-435d-A152-05C5408002CA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2024-06-09T00:32:00Z</dcterms:created>
  <dc:creator>i天。</dc:creator>
  <cp:lastModifiedBy>xiaojian</cp:lastModifiedBy>
  <cp:lastPrinted>2024-06-09T08:20:00Z</cp:lastPrinted>
  <dcterms:modified xsi:type="dcterms:W3CDTF">2026-01-30T09:29:56Z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2052-11.8.2.10605</vt:lpwstr>
  </property>
  <property fmtid="{D5CDD505-2E9C-101B-9397-08002B2CF9AE}" pid="3" name="ICV">
    <vt:lpwstr>A93A155747ECDF8B5F56616679F4CC42</vt:lpwstr>
  </property>
</Properties>
</file>