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val="0"/>
        <w:snapToGrid w:val="0"/>
        <w:spacing w:beforeLines="0" w:afterLines="0" w:line="560" w:lineRule="exact"/>
        <w:ind w:left="0" w:firstLine="0" w:firstLineChars="0"/>
        <w:jc w:val="left"/>
        <w:textAlignment w:val="auto"/>
        <w:rPr>
          <w:rFonts w:hint="default" w:ascii="黑体" w:hAnsi="黑体" w:eastAsia="黑体" w:cs="黑体"/>
          <w:color w:val="auto"/>
          <w:kern w:val="0"/>
          <w:sz w:val="32"/>
          <w:szCs w:val="32"/>
          <w:highlight w:val="none"/>
          <w:lang w:eastAsia="zh-CN" w:bidi="ar"/>
        </w:rPr>
      </w:pPr>
      <w:bookmarkStart w:id="0" w:name="_GoBack"/>
      <w:bookmarkEnd w:id="0"/>
      <w:r>
        <w:rPr>
          <w:rFonts w:hint="eastAsia" w:ascii="黑体" w:hAnsi="黑体" w:eastAsia="黑体" w:cs="黑体"/>
          <w:color w:val="auto"/>
          <w:kern w:val="0"/>
          <w:sz w:val="32"/>
          <w:szCs w:val="32"/>
          <w:highlight w:val="none"/>
          <w:lang w:eastAsia="zh-CN" w:bidi="ar"/>
        </w:rPr>
        <w:t>附件</w:t>
      </w:r>
      <w:r>
        <w:rPr>
          <w:rFonts w:hint="default" w:ascii="Times New Roman" w:hAnsi="Times New Roman" w:eastAsia="黑体" w:cs="Times New Roman"/>
          <w:color w:val="auto"/>
          <w:kern w:val="0"/>
          <w:sz w:val="32"/>
          <w:szCs w:val="32"/>
          <w:highlight w:val="none"/>
          <w:lang w:val="en-US" w:eastAsia="zh-CN" w:bidi="ar"/>
        </w:rPr>
        <w:t>6</w:t>
      </w:r>
    </w:p>
    <w:p>
      <w:pPr>
        <w:keepNext w:val="0"/>
        <w:keepLines w:val="0"/>
        <w:pageBreakBefore w:val="0"/>
        <w:widowControl w:val="0"/>
        <w:kinsoku/>
        <w:wordWrap/>
        <w:overflowPunct w:val="0"/>
        <w:topLinePunct w:val="0"/>
        <w:autoSpaceDE/>
        <w:autoSpaceDN/>
        <w:bidi w:val="0"/>
        <w:adjustRightInd w:val="0"/>
        <w:snapToGrid w:val="0"/>
        <w:spacing w:beforeLines="0" w:afterLines="0" w:line="560" w:lineRule="exact"/>
        <w:ind w:left="0" w:firstLine="0" w:firstLineChars="0"/>
        <w:jc w:val="center"/>
        <w:textAlignment w:val="auto"/>
        <w:rPr>
          <w:rFonts w:hint="eastAsia" w:ascii="Times New Roman" w:hAnsi="Times New Roman" w:eastAsia="方正小标宋简体" w:cs="Times New Roman"/>
          <w:color w:val="auto"/>
          <w:sz w:val="44"/>
          <w:szCs w:val="44"/>
          <w:highlight w:val="none"/>
          <w:lang w:eastAsia="zh-CN"/>
        </w:rPr>
      </w:pPr>
      <w:r>
        <w:rPr>
          <w:rFonts w:hint="eastAsia" w:ascii="Times New Roman" w:hAnsi="Times New Roman" w:eastAsia="方正小标宋简体" w:cs="Times New Roman"/>
          <w:color w:val="auto"/>
          <w:sz w:val="44"/>
          <w:szCs w:val="44"/>
          <w:highlight w:val="none"/>
          <w:lang w:eastAsia="zh-CN"/>
        </w:rPr>
        <w:t>项目制培训工作要求</w:t>
      </w:r>
    </w:p>
    <w:p>
      <w:pPr>
        <w:keepNext w:val="0"/>
        <w:keepLines w:val="0"/>
        <w:pageBreakBefore w:val="0"/>
        <w:widowControl w:val="0"/>
        <w:kinsoku/>
        <w:wordWrap/>
        <w:overflowPunct w:val="0"/>
        <w:topLinePunct w:val="0"/>
        <w:autoSpaceDE/>
        <w:autoSpaceDN/>
        <w:bidi w:val="0"/>
        <w:adjustRightInd w:val="0"/>
        <w:snapToGrid w:val="0"/>
        <w:spacing w:beforeLines="0" w:afterLines="0" w:line="560" w:lineRule="exact"/>
        <w:ind w:left="0" w:firstLine="0" w:firstLineChars="0"/>
        <w:jc w:val="center"/>
        <w:textAlignment w:val="auto"/>
        <w:rPr>
          <w:rFonts w:hint="eastAsia" w:ascii="Times New Roman" w:hAnsi="Times New Roman" w:eastAsia="方正小标宋简体" w:cs="Times New Roman"/>
          <w:color w:val="auto"/>
          <w:sz w:val="44"/>
          <w:szCs w:val="44"/>
          <w:highlight w:val="none"/>
          <w:lang w:eastAsia="zh-CN"/>
        </w:rPr>
      </w:pPr>
    </w:p>
    <w:p>
      <w:pPr>
        <w:numPr>
          <w:ilvl w:val="0"/>
          <w:numId w:val="0"/>
        </w:numPr>
        <w:overflowPunct w:val="0"/>
        <w:adjustRightInd w:val="0"/>
        <w:snapToGrid w:val="0"/>
        <w:spacing w:beforeLines="0" w:afterLines="0" w:line="560" w:lineRule="exact"/>
        <w:ind w:firstLine="640" w:firstLineChars="200"/>
        <w:rPr>
          <w:rFonts w:hint="eastAsia" w:ascii="Times New Roman" w:hAnsi="Times New Roman" w:eastAsia="黑体" w:cs="Times New Roman"/>
          <w:color w:val="auto"/>
          <w:kern w:val="2"/>
          <w:sz w:val="32"/>
          <w:szCs w:val="32"/>
          <w:highlight w:val="none"/>
          <w:lang w:bidi="ar"/>
        </w:rPr>
      </w:pPr>
      <w:r>
        <w:rPr>
          <w:rFonts w:hint="eastAsia" w:ascii="Times New Roman" w:hAnsi="Times New Roman" w:eastAsia="黑体" w:cs="Times New Roman"/>
          <w:color w:val="auto"/>
          <w:sz w:val="32"/>
          <w:szCs w:val="32"/>
          <w:highlight w:val="none"/>
          <w:lang w:eastAsia="zh-CN"/>
        </w:rPr>
        <w:t>一、</w:t>
      </w:r>
      <w:r>
        <w:rPr>
          <w:rFonts w:hint="eastAsia" w:ascii="Times New Roman" w:hAnsi="Times New Roman" w:eastAsia="黑体" w:cs="Times New Roman"/>
          <w:color w:val="auto"/>
          <w:kern w:val="2"/>
          <w:sz w:val="32"/>
          <w:szCs w:val="32"/>
          <w:highlight w:val="none"/>
          <w:lang w:bidi="ar"/>
        </w:rPr>
        <w:t>培训学时</w:t>
      </w:r>
    </w:p>
    <w:p>
      <w:pPr>
        <w:overflowPunct w:val="0"/>
        <w:adjustRightInd w:val="0"/>
        <w:snapToGrid w:val="0"/>
        <w:spacing w:beforeLines="0" w:afterLines="0" w:line="560" w:lineRule="exact"/>
        <w:ind w:firstLine="640" w:firstLineChars="200"/>
        <w:rPr>
          <w:rFonts w:hint="eastAsia" w:ascii="Times New Roman" w:hAnsi="Times New Roman" w:eastAsia="仿宋_GB2312" w:cs="仿宋_GB2312"/>
          <w:color w:val="auto"/>
          <w:kern w:val="0"/>
          <w:sz w:val="32"/>
          <w:szCs w:val="32"/>
          <w:lang w:bidi="ar"/>
        </w:rPr>
      </w:pPr>
      <w:r>
        <w:rPr>
          <w:rFonts w:hint="eastAsia" w:ascii="仿宋_GB2312" w:hAnsi="Times New Roman" w:eastAsia="仿宋_GB2312" w:cs="仿宋_GB2312"/>
          <w:color w:val="auto"/>
          <w:kern w:val="0"/>
          <w:sz w:val="32"/>
          <w:szCs w:val="32"/>
          <w:lang w:bidi="ar"/>
        </w:rPr>
        <w:t>根据《人力资源社会保障部关于进一步规范职业技能培训管</w:t>
      </w:r>
      <w:r>
        <w:rPr>
          <w:rFonts w:hint="eastAsia" w:ascii="Times New Roman" w:hAnsi="Times New Roman" w:eastAsia="仿宋_GB2312" w:cs="仿宋_GB2312"/>
          <w:color w:val="auto"/>
          <w:kern w:val="0"/>
          <w:sz w:val="32"/>
          <w:szCs w:val="32"/>
          <w:lang w:bidi="ar"/>
        </w:rPr>
        <w:t>理工作的通知》（人社部发〔</w:t>
      </w:r>
      <w:r>
        <w:rPr>
          <w:rFonts w:hint="default" w:ascii="Times New Roman" w:hAnsi="Times New Roman" w:eastAsia="仿宋_GB2312" w:cs="Times New Roman"/>
          <w:color w:val="auto"/>
          <w:kern w:val="0"/>
          <w:sz w:val="32"/>
          <w:szCs w:val="32"/>
          <w:lang w:bidi="ar"/>
        </w:rPr>
        <w:t>2024</w:t>
      </w:r>
      <w:r>
        <w:rPr>
          <w:rFonts w:hint="eastAsia" w:ascii="Times New Roman" w:hAnsi="Times New Roman" w:eastAsia="仿宋_GB2312" w:cs="仿宋_GB2312"/>
          <w:color w:val="auto"/>
          <w:kern w:val="0"/>
          <w:sz w:val="32"/>
          <w:szCs w:val="32"/>
          <w:lang w:bidi="ar"/>
        </w:rPr>
        <w:t>〕</w:t>
      </w:r>
      <w:r>
        <w:rPr>
          <w:rFonts w:hint="default" w:ascii="Times New Roman" w:hAnsi="Times New Roman" w:eastAsia="仿宋_GB2312" w:cs="Times New Roman"/>
          <w:color w:val="auto"/>
          <w:kern w:val="0"/>
          <w:sz w:val="32"/>
          <w:szCs w:val="32"/>
          <w:lang w:bidi="ar"/>
        </w:rPr>
        <w:t>5</w:t>
      </w:r>
      <w:r>
        <w:rPr>
          <w:rFonts w:hint="eastAsia" w:ascii="Times New Roman" w:hAnsi="Times New Roman" w:eastAsia="仿宋_GB2312" w:cs="仿宋_GB2312"/>
          <w:color w:val="auto"/>
          <w:kern w:val="0"/>
          <w:sz w:val="32"/>
          <w:szCs w:val="32"/>
          <w:lang w:bidi="ar"/>
        </w:rPr>
        <w:t>号）对培训课时的参考要求，结合实际情况，对</w:t>
      </w:r>
      <w:r>
        <w:rPr>
          <w:rFonts w:hint="eastAsia" w:ascii="Times New Roman" w:hAnsi="Times New Roman" w:eastAsia="仿宋_GB2312" w:cs="仿宋_GB2312"/>
          <w:strike w:val="0"/>
          <w:color w:val="auto"/>
          <w:kern w:val="0"/>
          <w:sz w:val="32"/>
          <w:szCs w:val="32"/>
          <w:lang w:bidi="ar"/>
        </w:rPr>
        <w:t>我市</w:t>
      </w:r>
      <w:r>
        <w:rPr>
          <w:rFonts w:hint="eastAsia" w:ascii="Times New Roman" w:hAnsi="Times New Roman" w:eastAsia="仿宋_GB2312" w:cs="仿宋_GB2312"/>
          <w:color w:val="auto"/>
          <w:kern w:val="0"/>
          <w:sz w:val="32"/>
          <w:szCs w:val="32"/>
          <w:lang w:bidi="ar"/>
        </w:rPr>
        <w:t>申报开展的</w:t>
      </w:r>
      <w:r>
        <w:rPr>
          <w:rFonts w:hint="eastAsia" w:ascii="Times New Roman" w:hAnsi="Times New Roman" w:eastAsia="仿宋_GB2312" w:cs="仿宋_GB2312"/>
          <w:color w:val="auto"/>
          <w:kern w:val="0"/>
          <w:sz w:val="32"/>
          <w:szCs w:val="32"/>
          <w:lang w:eastAsia="zh-CN" w:bidi="ar"/>
        </w:rPr>
        <w:t>各类</w:t>
      </w:r>
      <w:r>
        <w:rPr>
          <w:rFonts w:hint="eastAsia" w:ascii="Times New Roman" w:hAnsi="Times New Roman" w:eastAsia="仿宋_GB2312" w:cs="仿宋_GB2312"/>
          <w:color w:val="auto"/>
          <w:kern w:val="0"/>
          <w:sz w:val="32"/>
          <w:szCs w:val="32"/>
          <w:lang w:bidi="ar"/>
        </w:rPr>
        <w:t>项目学时要求如下：</w:t>
      </w:r>
    </w:p>
    <w:p>
      <w:pPr>
        <w:numPr>
          <w:ilvl w:val="-1"/>
          <w:numId w:val="0"/>
        </w:numPr>
        <w:overflowPunct w:val="0"/>
        <w:adjustRightInd w:val="0"/>
        <w:snapToGrid w:val="0"/>
        <w:spacing w:beforeLines="0" w:afterLines="0" w:line="560" w:lineRule="exact"/>
        <w:ind w:firstLine="640" w:firstLineChars="200"/>
        <w:rPr>
          <w:rFonts w:hint="eastAsia" w:ascii="Times New Roman" w:hAnsi="Times New Roman" w:eastAsia="仿宋_GB2312"/>
          <w:color w:val="auto"/>
          <w:sz w:val="32"/>
          <w:szCs w:val="32"/>
          <w:lang w:eastAsia="zh-CN"/>
        </w:rPr>
      </w:pPr>
      <w:r>
        <w:rPr>
          <w:rFonts w:hint="eastAsia" w:ascii="Times New Roman" w:hAnsi="Times New Roman" w:eastAsia="仿宋_GB2312" w:cs="仿宋_GB2312"/>
          <w:color w:val="auto"/>
          <w:kern w:val="0"/>
          <w:sz w:val="32"/>
          <w:szCs w:val="32"/>
          <w:lang w:eastAsia="zh-CN" w:bidi="ar"/>
        </w:rPr>
        <w:t>（一）</w:t>
      </w:r>
      <w:r>
        <w:rPr>
          <w:rFonts w:hint="eastAsia" w:ascii="Times New Roman" w:hAnsi="Times New Roman" w:eastAsia="仿宋_GB2312"/>
          <w:color w:val="auto"/>
          <w:sz w:val="32"/>
          <w:szCs w:val="32"/>
        </w:rPr>
        <w:t>凡国家职业标准中有规定培训学时的，按照国家职业标准确定学时。</w:t>
      </w:r>
      <w:r>
        <w:rPr>
          <w:rFonts w:hint="eastAsia" w:ascii="Times New Roman" w:hAnsi="Times New Roman" w:eastAsia="仿宋_GB2312"/>
          <w:color w:val="auto"/>
          <w:sz w:val="32"/>
          <w:szCs w:val="32"/>
          <w:lang w:eastAsia="zh-CN"/>
        </w:rPr>
        <w:t>也可按照已在人社部门备案的企业评价规范学时。</w:t>
      </w:r>
    </w:p>
    <w:p>
      <w:pPr>
        <w:numPr>
          <w:ilvl w:val="0"/>
          <w:numId w:val="0"/>
        </w:numPr>
        <w:overflowPunct w:val="0"/>
        <w:adjustRightInd w:val="0"/>
        <w:snapToGrid w:val="0"/>
        <w:spacing w:beforeLines="0" w:afterLines="0" w:line="560" w:lineRule="exact"/>
        <w:ind w:firstLine="640" w:firstLineChars="200"/>
        <w:rPr>
          <w:rFonts w:hint="eastAsia" w:ascii="Times New Roman" w:hAnsi="Times New Roman" w:eastAsia="仿宋_GB2312"/>
          <w:color w:val="auto"/>
          <w:sz w:val="32"/>
          <w:szCs w:val="32"/>
        </w:rPr>
      </w:pPr>
      <w:r>
        <w:rPr>
          <w:rFonts w:hint="eastAsia" w:ascii="Times New Roman" w:hAnsi="Times New Roman" w:eastAsia="仿宋_GB2312" w:cs="仿宋_GB2312"/>
          <w:color w:val="auto"/>
          <w:kern w:val="0"/>
          <w:sz w:val="32"/>
          <w:szCs w:val="32"/>
          <w:lang w:eastAsia="zh-CN" w:bidi="ar"/>
        </w:rPr>
        <w:t>（二）</w:t>
      </w:r>
      <w:r>
        <w:rPr>
          <w:rFonts w:hint="eastAsia" w:ascii="Times New Roman" w:hAnsi="Times New Roman" w:eastAsia="仿宋_GB2312" w:cs="仿宋_GB2312"/>
          <w:color w:val="auto"/>
          <w:kern w:val="0"/>
          <w:sz w:val="32"/>
          <w:szCs w:val="32"/>
          <w:lang w:bidi="ar"/>
        </w:rPr>
        <w:t>如国家职业标准中未规定培训学时的，按照人社部职业能力建设司编制的国家基本职业培训包中各培训职业（工种）或项目的课堂学时，即职业基本素质培训课程+职业技能培训课程确定学时。</w:t>
      </w:r>
    </w:p>
    <w:p>
      <w:pPr>
        <w:numPr>
          <w:ilvl w:val="0"/>
          <w:numId w:val="0"/>
        </w:numPr>
        <w:overflowPunct w:val="0"/>
        <w:adjustRightInd w:val="0"/>
        <w:snapToGrid w:val="0"/>
        <w:spacing w:beforeLines="0" w:afterLines="0" w:line="560" w:lineRule="exact"/>
        <w:ind w:firstLine="640" w:firstLineChars="200"/>
        <w:rPr>
          <w:rFonts w:hint="eastAsia" w:ascii="Times New Roman" w:hAnsi="Times New Roman" w:eastAsia="仿宋_GB2312" w:cs="仿宋_GB2312"/>
          <w:color w:val="auto"/>
          <w:kern w:val="0"/>
          <w:sz w:val="32"/>
          <w:szCs w:val="32"/>
          <w:lang w:bidi="ar"/>
        </w:rPr>
      </w:pPr>
      <w:r>
        <w:rPr>
          <w:rFonts w:hint="eastAsia" w:ascii="Times New Roman" w:hAnsi="Times New Roman" w:eastAsia="仿宋_GB2312" w:cs="仿宋_GB2312"/>
          <w:color w:val="auto"/>
          <w:kern w:val="0"/>
          <w:sz w:val="32"/>
          <w:szCs w:val="32"/>
          <w:lang w:eastAsia="zh-CN" w:bidi="ar"/>
        </w:rPr>
        <w:t>（三）</w:t>
      </w:r>
      <w:r>
        <w:rPr>
          <w:rFonts w:hint="eastAsia" w:ascii="Times New Roman" w:hAnsi="Times New Roman" w:eastAsia="仿宋_GB2312" w:cs="仿宋_GB2312"/>
          <w:color w:val="auto"/>
          <w:kern w:val="0"/>
          <w:sz w:val="32"/>
          <w:szCs w:val="32"/>
          <w:lang w:bidi="ar"/>
        </w:rPr>
        <w:t>对于上述两项均不属于的</w:t>
      </w:r>
      <w:r>
        <w:rPr>
          <w:rFonts w:hint="eastAsia" w:ascii="Times New Roman" w:hAnsi="Times New Roman" w:eastAsia="仿宋_GB2312" w:cs="仿宋_GB2312"/>
          <w:color w:val="auto"/>
          <w:kern w:val="0"/>
          <w:sz w:val="32"/>
          <w:szCs w:val="32"/>
          <w:lang w:bidi="ar"/>
        </w:rPr>
        <w:t>职业技能等级</w:t>
      </w:r>
      <w:r>
        <w:rPr>
          <w:rFonts w:hint="eastAsia" w:ascii="Times New Roman" w:hAnsi="Times New Roman" w:eastAsia="仿宋_GB2312" w:cs="仿宋_GB2312"/>
          <w:color w:val="auto"/>
          <w:kern w:val="0"/>
          <w:sz w:val="32"/>
          <w:szCs w:val="32"/>
          <w:lang w:eastAsia="zh-CN" w:bidi="ar"/>
        </w:rPr>
        <w:t>证书</w:t>
      </w:r>
      <w:r>
        <w:rPr>
          <w:rFonts w:hint="eastAsia" w:ascii="Times New Roman" w:hAnsi="Times New Roman" w:eastAsia="仿宋_GB2312" w:cs="仿宋_GB2312"/>
          <w:color w:val="auto"/>
          <w:kern w:val="0"/>
          <w:sz w:val="32"/>
          <w:szCs w:val="32"/>
          <w:lang w:bidi="ar"/>
        </w:rPr>
        <w:t>项目</w:t>
      </w:r>
      <w:r>
        <w:rPr>
          <w:rFonts w:hint="eastAsia" w:ascii="Times New Roman" w:hAnsi="Times New Roman" w:eastAsia="仿宋_GB2312" w:cs="仿宋_GB2312"/>
          <w:strike w:val="0"/>
          <w:color w:val="auto"/>
          <w:kern w:val="0"/>
          <w:sz w:val="32"/>
          <w:szCs w:val="32"/>
          <w:lang w:eastAsia="zh-CN" w:bidi="ar"/>
        </w:rPr>
        <w:t>，根据《中华人民共和国职业分类大典（</w:t>
      </w:r>
      <w:r>
        <w:rPr>
          <w:rFonts w:hint="default" w:ascii="Times New Roman" w:hAnsi="Times New Roman" w:eastAsia="仿宋_GB2312" w:cs="Times New Roman"/>
          <w:strike w:val="0"/>
          <w:color w:val="auto"/>
          <w:kern w:val="0"/>
          <w:sz w:val="32"/>
          <w:szCs w:val="32"/>
          <w:lang w:val="en-US" w:eastAsia="zh-CN" w:bidi="ar"/>
        </w:rPr>
        <w:t>2022</w:t>
      </w:r>
      <w:r>
        <w:rPr>
          <w:rFonts w:hint="eastAsia" w:ascii="Times New Roman" w:hAnsi="Times New Roman" w:eastAsia="仿宋_GB2312" w:cs="仿宋_GB2312"/>
          <w:strike w:val="0"/>
          <w:color w:val="auto"/>
          <w:kern w:val="0"/>
          <w:sz w:val="32"/>
          <w:szCs w:val="32"/>
          <w:lang w:val="en-US" w:eastAsia="zh-CN" w:bidi="ar"/>
        </w:rPr>
        <w:t>年版</w:t>
      </w:r>
      <w:r>
        <w:rPr>
          <w:rFonts w:hint="eastAsia" w:ascii="Times New Roman" w:hAnsi="Times New Roman" w:eastAsia="仿宋_GB2312" w:cs="仿宋_GB2312"/>
          <w:strike w:val="0"/>
          <w:color w:val="auto"/>
          <w:kern w:val="0"/>
          <w:sz w:val="32"/>
          <w:szCs w:val="32"/>
          <w:lang w:eastAsia="zh-CN" w:bidi="ar"/>
        </w:rPr>
        <w:t>）》，</w:t>
      </w:r>
      <w:r>
        <w:rPr>
          <w:rFonts w:hint="eastAsia" w:ascii="Times New Roman" w:hAnsi="Times New Roman" w:eastAsia="仿宋_GB2312" w:cs="仿宋_GB2312"/>
          <w:color w:val="auto"/>
          <w:kern w:val="0"/>
          <w:sz w:val="32"/>
          <w:szCs w:val="32"/>
          <w:lang w:bidi="ar"/>
        </w:rPr>
        <w:t>参照同类</w:t>
      </w:r>
      <w:r>
        <w:rPr>
          <w:rFonts w:hint="eastAsia" w:ascii="Times New Roman" w:hAnsi="Times New Roman" w:eastAsia="仿宋_GB2312" w:cs="仿宋_GB2312"/>
          <w:color w:val="auto"/>
          <w:kern w:val="0"/>
          <w:sz w:val="32"/>
          <w:szCs w:val="32"/>
          <w:lang w:eastAsia="zh-CN" w:bidi="ar"/>
        </w:rPr>
        <w:t>别</w:t>
      </w:r>
      <w:r>
        <w:rPr>
          <w:rFonts w:hint="eastAsia" w:ascii="Times New Roman" w:hAnsi="Times New Roman" w:eastAsia="仿宋_GB2312" w:cs="仿宋_GB2312"/>
          <w:color w:val="auto"/>
          <w:kern w:val="0"/>
          <w:sz w:val="32"/>
          <w:szCs w:val="32"/>
          <w:lang w:bidi="ar"/>
        </w:rPr>
        <w:t>职业（工种）的国家职业标准学时平均数确定学时。</w:t>
      </w:r>
    </w:p>
    <w:p>
      <w:pPr>
        <w:numPr>
          <w:ilvl w:val="-1"/>
          <w:numId w:val="0"/>
        </w:numPr>
        <w:overflowPunct w:val="0"/>
        <w:adjustRightInd w:val="0"/>
        <w:snapToGrid w:val="0"/>
        <w:spacing w:beforeLines="0" w:afterLines="0" w:line="560" w:lineRule="exact"/>
        <w:ind w:firstLine="640" w:firstLineChars="200"/>
        <w:rPr>
          <w:rFonts w:hint="eastAsia" w:ascii="Times New Roman" w:hAnsi="Times New Roman" w:eastAsia="仿宋_GB2312" w:cs="仿宋_GB2312"/>
          <w:color w:val="auto"/>
          <w:kern w:val="0"/>
          <w:sz w:val="32"/>
          <w:szCs w:val="32"/>
          <w:lang w:bidi="ar"/>
        </w:rPr>
      </w:pPr>
      <w:r>
        <w:rPr>
          <w:rFonts w:hint="eastAsia" w:ascii="Times New Roman" w:hAnsi="Times New Roman" w:eastAsia="仿宋_GB2312" w:cs="仿宋_GB2312"/>
          <w:color w:val="auto"/>
          <w:kern w:val="0"/>
          <w:sz w:val="32"/>
          <w:szCs w:val="32"/>
          <w:lang w:eastAsia="zh-CN" w:bidi="ar"/>
        </w:rPr>
        <w:t>（四）</w:t>
      </w:r>
      <w:r>
        <w:rPr>
          <w:rFonts w:hint="eastAsia" w:ascii="Times New Roman" w:hAnsi="Times New Roman" w:eastAsia="仿宋_GB2312" w:cs="仿宋_GB2312"/>
          <w:color w:val="auto"/>
          <w:kern w:val="0"/>
          <w:sz w:val="32"/>
          <w:szCs w:val="32"/>
          <w:lang w:bidi="ar"/>
        </w:rPr>
        <w:t>专项职业能力</w:t>
      </w:r>
      <w:r>
        <w:rPr>
          <w:rFonts w:hint="eastAsia" w:ascii="Times New Roman" w:hAnsi="Times New Roman" w:eastAsia="仿宋_GB2312" w:cs="仿宋_GB2312"/>
          <w:color w:val="auto"/>
          <w:kern w:val="0"/>
          <w:sz w:val="32"/>
          <w:szCs w:val="32"/>
          <w:lang w:bidi="ar"/>
        </w:rPr>
        <w:t>考核项目参照省人力资源社会保障厅公布的“粤菜师傅”、“农村电商”培训大纲相关规定，</w:t>
      </w:r>
      <w:r>
        <w:rPr>
          <w:rFonts w:hint="eastAsia" w:ascii="Times New Roman" w:hAnsi="Times New Roman" w:eastAsia="仿宋_GB2312" w:cs="仿宋_GB2312"/>
          <w:color w:val="auto"/>
          <w:kern w:val="0"/>
          <w:sz w:val="32"/>
          <w:szCs w:val="32"/>
          <w:lang w:bidi="ar"/>
        </w:rPr>
        <w:t>确定为</w:t>
      </w:r>
      <w:r>
        <w:rPr>
          <w:rFonts w:hint="default" w:ascii="Times New Roman" w:hAnsi="Times New Roman" w:eastAsia="仿宋_GB2312" w:cs="Times New Roman"/>
          <w:color w:val="auto"/>
          <w:kern w:val="0"/>
          <w:sz w:val="32"/>
          <w:szCs w:val="32"/>
          <w:lang w:bidi="ar"/>
        </w:rPr>
        <w:t>80</w:t>
      </w:r>
      <w:r>
        <w:rPr>
          <w:rFonts w:hint="eastAsia" w:ascii="Times New Roman" w:hAnsi="Times New Roman" w:eastAsia="仿宋_GB2312" w:cs="仿宋_GB2312"/>
          <w:color w:val="auto"/>
          <w:kern w:val="0"/>
          <w:sz w:val="32"/>
          <w:szCs w:val="32"/>
          <w:lang w:bidi="ar"/>
        </w:rPr>
        <w:t>学时。</w:t>
      </w:r>
    </w:p>
    <w:p>
      <w:pPr>
        <w:numPr>
          <w:ilvl w:val="-1"/>
          <w:numId w:val="0"/>
        </w:numPr>
        <w:overflowPunct w:val="0"/>
        <w:adjustRightInd w:val="0"/>
        <w:snapToGrid w:val="0"/>
        <w:spacing w:beforeLines="0" w:afterLines="0" w:line="560" w:lineRule="exact"/>
        <w:ind w:firstLine="640" w:firstLineChars="200"/>
        <w:rPr>
          <w:rFonts w:hint="eastAsia" w:ascii="Times New Roman" w:hAnsi="Times New Roman" w:eastAsia="仿宋_GB2312" w:cs="仿宋_GB2312"/>
          <w:color w:val="auto"/>
          <w:kern w:val="0"/>
          <w:sz w:val="32"/>
          <w:szCs w:val="32"/>
          <w:lang w:bidi="ar"/>
        </w:rPr>
      </w:pPr>
      <w:r>
        <w:rPr>
          <w:rFonts w:hint="eastAsia" w:ascii="Times New Roman" w:hAnsi="Times New Roman" w:eastAsia="仿宋_GB2312" w:cs="仿宋_GB2312"/>
          <w:color w:val="auto"/>
          <w:kern w:val="0"/>
          <w:sz w:val="32"/>
          <w:szCs w:val="32"/>
          <w:lang w:val="en-US" w:eastAsia="zh-CN" w:bidi="ar"/>
        </w:rPr>
        <w:t>（五）</w:t>
      </w:r>
      <w:r>
        <w:rPr>
          <w:rFonts w:hint="eastAsia" w:ascii="Times New Roman" w:hAnsi="Times New Roman" w:eastAsia="仿宋_GB2312" w:cs="仿宋_GB2312"/>
          <w:color w:val="auto"/>
          <w:kern w:val="0"/>
          <w:sz w:val="32"/>
          <w:szCs w:val="32"/>
          <w:lang w:bidi="ar"/>
        </w:rPr>
        <w:t>培训合格证</w:t>
      </w:r>
      <w:r>
        <w:rPr>
          <w:rFonts w:hint="eastAsia" w:ascii="Times New Roman" w:hAnsi="Times New Roman" w:eastAsia="仿宋_GB2312" w:cs="仿宋_GB2312"/>
          <w:color w:val="auto"/>
          <w:kern w:val="0"/>
          <w:sz w:val="32"/>
          <w:szCs w:val="32"/>
          <w:lang w:eastAsia="zh-CN" w:bidi="ar"/>
        </w:rPr>
        <w:t>书</w:t>
      </w:r>
      <w:r>
        <w:rPr>
          <w:rFonts w:hint="eastAsia" w:ascii="Times New Roman" w:hAnsi="Times New Roman" w:eastAsia="仿宋_GB2312" w:cs="仿宋_GB2312"/>
          <w:color w:val="auto"/>
          <w:kern w:val="0"/>
          <w:sz w:val="32"/>
          <w:szCs w:val="32"/>
          <w:lang w:bidi="ar"/>
        </w:rPr>
        <w:t>项目在保证培训质量和效果的前提下</w:t>
      </w:r>
      <w:r>
        <w:rPr>
          <w:rFonts w:hint="eastAsia" w:ascii="仿宋_GB2312" w:hAnsi="Times New Roman" w:eastAsia="仿宋_GB2312" w:cs="仿宋_GB2312"/>
          <w:color w:val="auto"/>
          <w:kern w:val="0"/>
          <w:sz w:val="32"/>
          <w:szCs w:val="32"/>
          <w:lang w:bidi="ar"/>
        </w:rPr>
        <w:t>，根据</w:t>
      </w:r>
      <w:r>
        <w:rPr>
          <w:rFonts w:hint="eastAsia" w:ascii="Times New Roman" w:hAnsi="Times New Roman" w:eastAsia="仿宋_GB2312" w:cs="仿宋_GB2312"/>
          <w:color w:val="auto"/>
          <w:kern w:val="0"/>
          <w:sz w:val="32"/>
          <w:szCs w:val="32"/>
          <w:lang w:bidi="ar"/>
        </w:rPr>
        <w:t>培训目标、岗位需求、资金预算等</w:t>
      </w:r>
      <w:r>
        <w:rPr>
          <w:rFonts w:hint="eastAsia" w:ascii="仿宋_GB2312" w:hAnsi="Times New Roman" w:eastAsia="仿宋_GB2312" w:cs="仿宋_GB2312"/>
          <w:color w:val="auto"/>
          <w:kern w:val="0"/>
          <w:sz w:val="32"/>
          <w:szCs w:val="32"/>
          <w:lang w:bidi="ar"/>
        </w:rPr>
        <w:t>因素</w:t>
      </w:r>
      <w:r>
        <w:rPr>
          <w:rFonts w:hint="eastAsia" w:ascii="Times New Roman" w:hAnsi="Times New Roman" w:eastAsia="仿宋_GB2312" w:cs="仿宋_GB2312"/>
          <w:color w:val="auto"/>
          <w:kern w:val="0"/>
          <w:sz w:val="32"/>
          <w:szCs w:val="32"/>
          <w:lang w:bidi="ar"/>
        </w:rPr>
        <w:t>综合确定培训学时。</w:t>
      </w:r>
    </w:p>
    <w:p>
      <w:pPr>
        <w:numPr>
          <w:ilvl w:val="-1"/>
          <w:numId w:val="0"/>
        </w:numPr>
        <w:overflowPunct w:val="0"/>
        <w:adjustRightInd w:val="0"/>
        <w:snapToGrid w:val="0"/>
        <w:spacing w:beforeLines="0" w:afterLines="0" w:line="560" w:lineRule="exact"/>
        <w:ind w:firstLine="640" w:firstLineChars="200"/>
        <w:rPr>
          <w:rFonts w:hint="default" w:ascii="Times New Roman" w:hAnsi="Times New Roman" w:eastAsia="仿宋_GB2312" w:cs="仿宋_GB2312"/>
          <w:color w:val="auto"/>
          <w:kern w:val="0"/>
          <w:sz w:val="32"/>
          <w:szCs w:val="32"/>
          <w:lang w:bidi="ar"/>
        </w:rPr>
      </w:pPr>
      <w:r>
        <w:rPr>
          <w:rFonts w:hint="eastAsia" w:ascii="Times New Roman" w:hAnsi="Times New Roman" w:eastAsia="仿宋_GB2312" w:cs="仿宋_GB2312"/>
          <w:color w:val="auto"/>
          <w:kern w:val="0"/>
          <w:sz w:val="32"/>
          <w:szCs w:val="32"/>
          <w:lang w:val="en-US" w:eastAsia="zh-CN" w:bidi="ar"/>
        </w:rPr>
        <w:t>以上标准为承训单位开展项目制培训的最低学时。</w:t>
      </w:r>
    </w:p>
    <w:p>
      <w:pPr>
        <w:overflowPunct w:val="0"/>
        <w:adjustRightInd w:val="0"/>
        <w:snapToGrid w:val="0"/>
        <w:spacing w:beforeLines="0" w:afterLines="0" w:line="560" w:lineRule="exact"/>
        <w:ind w:firstLine="640" w:firstLineChars="200"/>
        <w:rPr>
          <w:rFonts w:hint="default" w:ascii="Times New Roman" w:hAnsi="Times New Roman" w:eastAsia="仿宋_GB2312" w:cs="仿宋_GB2312"/>
          <w:color w:val="auto"/>
          <w:kern w:val="0"/>
          <w:sz w:val="32"/>
          <w:szCs w:val="32"/>
          <w:lang w:bidi="ar"/>
        </w:rPr>
      </w:pPr>
      <w:r>
        <w:rPr>
          <w:rFonts w:hint="eastAsia" w:ascii="Times New Roman" w:hAnsi="Times New Roman" w:eastAsia="黑体" w:cs="Times New Roman"/>
          <w:color w:val="auto"/>
          <w:kern w:val="2"/>
          <w:sz w:val="32"/>
          <w:szCs w:val="32"/>
          <w:highlight w:val="none"/>
          <w:lang w:bidi="ar"/>
        </w:rPr>
        <w:t>二</w:t>
      </w:r>
      <w:r>
        <w:rPr>
          <w:rFonts w:hint="eastAsia" w:ascii="Times New Roman" w:hAnsi="Times New Roman" w:eastAsia="黑体" w:cs="Times New Roman"/>
          <w:color w:val="auto"/>
          <w:kern w:val="2"/>
          <w:sz w:val="32"/>
          <w:szCs w:val="32"/>
          <w:highlight w:val="none"/>
          <w:lang w:eastAsia="zh-CN" w:bidi="ar"/>
        </w:rPr>
        <w:t>、</w:t>
      </w:r>
      <w:r>
        <w:rPr>
          <w:rFonts w:hint="eastAsia" w:ascii="Times New Roman" w:hAnsi="Times New Roman" w:eastAsia="黑体" w:cs="Times New Roman"/>
          <w:color w:val="auto"/>
          <w:kern w:val="2"/>
          <w:sz w:val="32"/>
          <w:szCs w:val="32"/>
          <w:highlight w:val="none"/>
          <w:lang w:bidi="ar"/>
        </w:rPr>
        <w:t>培训内容</w:t>
      </w:r>
    </w:p>
    <w:p>
      <w:pPr>
        <w:spacing w:beforeLines="0" w:afterLines="0" w:line="560" w:lineRule="exact"/>
        <w:ind w:firstLine="640" w:firstLineChars="200"/>
        <w:rPr>
          <w:rFonts w:hint="eastAsia" w:ascii="仿宋_GB2312" w:hAnsi="仿宋_GB2312" w:eastAsia="仿宋_GB2312" w:cs="仿宋_GB2312"/>
          <w:color w:val="auto"/>
          <w:sz w:val="32"/>
          <w:szCs w:val="32"/>
          <w:highlight w:val="yellow"/>
        </w:rPr>
      </w:pPr>
      <w:r>
        <w:rPr>
          <w:rFonts w:hint="eastAsia" w:ascii="仿宋_GB2312" w:hAnsi="仿宋_GB2312" w:eastAsia="仿宋_GB2312" w:cs="仿宋_GB2312"/>
          <w:color w:val="auto"/>
          <w:sz w:val="32"/>
          <w:szCs w:val="32"/>
          <w:lang w:eastAsia="zh-CN"/>
        </w:rPr>
        <w:t>承训单位制定的</w:t>
      </w:r>
      <w:r>
        <w:rPr>
          <w:rFonts w:hint="eastAsia" w:ascii="仿宋_GB2312" w:hAnsi="仿宋_GB2312" w:eastAsia="仿宋_GB2312" w:cs="仿宋_GB2312"/>
          <w:color w:val="auto"/>
          <w:sz w:val="32"/>
          <w:szCs w:val="32"/>
        </w:rPr>
        <w:t>教学计划,平均每课时不得少于</w:t>
      </w:r>
      <w:r>
        <w:rPr>
          <w:rFonts w:hint="default" w:ascii="Times New Roman" w:hAnsi="Times New Roman" w:eastAsia="仿宋_GB2312" w:cs="Times New Roman"/>
          <w:color w:val="auto"/>
          <w:sz w:val="32"/>
          <w:szCs w:val="32"/>
        </w:rPr>
        <w:t>45</w:t>
      </w:r>
      <w:r>
        <w:rPr>
          <w:rFonts w:hint="eastAsia" w:ascii="仿宋_GB2312" w:hAnsi="Times New Roman" w:eastAsia="仿宋_GB2312"/>
          <w:color w:val="auto"/>
          <w:sz w:val="32"/>
          <w:szCs w:val="32"/>
        </w:rPr>
        <w:t>分</w:t>
      </w:r>
      <w:r>
        <w:rPr>
          <w:rFonts w:hint="eastAsia" w:ascii="仿宋_GB2312" w:hAnsi="仿宋_GB2312" w:eastAsia="仿宋_GB2312" w:cs="仿宋_GB2312"/>
          <w:color w:val="auto"/>
          <w:sz w:val="32"/>
          <w:szCs w:val="32"/>
        </w:rPr>
        <w:t>钟,每天不得超</w:t>
      </w:r>
      <w:r>
        <w:rPr>
          <w:rFonts w:hint="eastAsia" w:ascii="仿宋_GB2312" w:hAnsi="Times New Roman" w:eastAsia="仿宋_GB2312"/>
          <w:color w:val="auto"/>
          <w:sz w:val="32"/>
          <w:szCs w:val="32"/>
        </w:rPr>
        <w:t>过</w:t>
      </w:r>
      <w:r>
        <w:rPr>
          <w:rFonts w:hint="default" w:ascii="Times New Roman" w:hAnsi="Times New Roman" w:eastAsia="仿宋_GB2312" w:cs="Times New Roman"/>
          <w:color w:val="auto"/>
          <w:sz w:val="32"/>
          <w:szCs w:val="32"/>
        </w:rPr>
        <w:t>8</w:t>
      </w:r>
      <w:r>
        <w:rPr>
          <w:rFonts w:hint="eastAsia" w:ascii="仿宋_GB2312" w:hAnsi="Times New Roman" w:eastAsia="仿宋_GB2312"/>
          <w:color w:val="auto"/>
          <w:sz w:val="32"/>
          <w:szCs w:val="32"/>
        </w:rPr>
        <w:t>课</w:t>
      </w:r>
      <w:r>
        <w:rPr>
          <w:rFonts w:hint="eastAsia" w:ascii="仿宋_GB2312" w:hAnsi="仿宋_GB2312" w:eastAsia="仿宋_GB2312" w:cs="仿宋_GB2312"/>
          <w:color w:val="auto"/>
          <w:sz w:val="32"/>
          <w:szCs w:val="32"/>
        </w:rPr>
        <w:t>时</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开展线上培训的,原则上线上培训学时数应不超过总学时数的</w:t>
      </w:r>
      <w:r>
        <w:rPr>
          <w:rFonts w:hint="default" w:ascii="Times New Roman" w:hAnsi="Times New Roman" w:eastAsia="仿宋" w:cs="Times New Roman"/>
          <w:color w:val="auto"/>
          <w:sz w:val="32"/>
          <w:szCs w:val="32"/>
        </w:rPr>
        <w:t>50</w:t>
      </w:r>
      <w:r>
        <w:rPr>
          <w:rFonts w:hint="eastAsia" w:ascii="Times New Roman" w:hAnsi="Times New Roman" w:eastAsia="仿宋"/>
          <w:color w:val="auto"/>
          <w:sz w:val="32"/>
          <w:szCs w:val="32"/>
        </w:rPr>
        <w:t>%</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申报单位</w:t>
      </w:r>
      <w:r>
        <w:rPr>
          <w:rFonts w:hint="eastAsia" w:ascii="仿宋_GB2312" w:hAnsi="仿宋_GB2312" w:eastAsia="仿宋_GB2312" w:cs="仿宋_GB2312"/>
          <w:color w:val="auto"/>
          <w:sz w:val="32"/>
          <w:szCs w:val="32"/>
        </w:rPr>
        <w:t>使用的线上培训平台,须经省、市人力资源社会保障部门统一遴选推荐并接受人力资源社会保障部门监督和管理,已遴选公布的线上培训平台名单见</w:t>
      </w:r>
      <w:r>
        <w:rPr>
          <w:rFonts w:hint="eastAsia" w:ascii="仿宋_GB2312" w:hAnsi="仿宋_GB2312" w:eastAsia="仿宋_GB2312" w:cs="仿宋_GB2312"/>
          <w:color w:val="auto"/>
          <w:sz w:val="32"/>
          <w:szCs w:val="32"/>
          <w:highlight w:val="none"/>
        </w:rPr>
        <w:t>附件</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根据《广州市人力资源和社会保障局关于明确产教评技能生态链企业线上培训平台的功能评估工作的通知》，</w:t>
      </w:r>
      <w:r>
        <w:rPr>
          <w:rFonts w:hint="eastAsia" w:ascii="仿宋_GB2312" w:hAnsi="仿宋_GB2312" w:eastAsia="仿宋_GB2312" w:cs="仿宋_GB2312"/>
          <w:color w:val="auto"/>
          <w:sz w:val="32"/>
          <w:szCs w:val="32"/>
        </w:rPr>
        <w:t>承训单位为产教评技能生态链企业的，线上培训平台可使用经省、市人力资源社会保障部门统一遴选推荐的线上培训平台</w:t>
      </w:r>
      <w:r>
        <w:rPr>
          <w:rFonts w:hint="eastAsia" w:ascii="仿宋_GB2312" w:hAnsi="仿宋_GB2312" w:eastAsia="仿宋_GB2312" w:cs="仿宋_GB2312"/>
          <w:color w:val="auto"/>
          <w:sz w:val="32"/>
          <w:szCs w:val="32"/>
          <w:lang w:eastAsia="zh-CN"/>
        </w:rPr>
        <w:t>，或符合功能评估要求的其他平台</w:t>
      </w:r>
      <w:r>
        <w:rPr>
          <w:rFonts w:hint="eastAsia" w:ascii="仿宋_GB2312" w:hAnsi="仿宋_GB2312" w:eastAsia="仿宋_GB2312" w:cs="仿宋_GB2312"/>
          <w:color w:val="auto"/>
          <w:sz w:val="32"/>
          <w:szCs w:val="32"/>
        </w:rPr>
        <w:t>。</w:t>
      </w:r>
    </w:p>
    <w:p>
      <w:pPr>
        <w:spacing w:beforeLines="0" w:afterLines="0" w:line="56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highlight w:val="none"/>
          <w:lang w:eastAsia="zh-CN"/>
        </w:rPr>
        <w:t>三</w:t>
      </w:r>
      <w:r>
        <w:rPr>
          <w:rFonts w:hint="eastAsia" w:ascii="黑体" w:hAnsi="黑体" w:eastAsia="黑体" w:cs="黑体"/>
          <w:color w:val="auto"/>
          <w:sz w:val="32"/>
          <w:szCs w:val="32"/>
        </w:rPr>
        <w:t>、师资要求</w:t>
      </w:r>
    </w:p>
    <w:p>
      <w:pPr>
        <w:numPr>
          <w:ilvl w:val="0"/>
          <w:numId w:val="0"/>
        </w:numPr>
        <w:spacing w:beforeLines="0" w:afterLines="0" w:line="560" w:lineRule="exact"/>
        <w:ind w:firstLine="640" w:firstLine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根据</w:t>
      </w:r>
      <w:r>
        <w:rPr>
          <w:rFonts w:hint="default" w:ascii="Times New Roman" w:hAnsi="Times New Roman" w:eastAsia="仿宋_GB2312"/>
          <w:color w:val="auto"/>
          <w:sz w:val="32"/>
          <w:szCs w:val="32"/>
        </w:rPr>
        <w:t>粤人社规〔</w:t>
      </w:r>
      <w:r>
        <w:rPr>
          <w:rFonts w:hint="default" w:ascii="Times New Roman" w:hAnsi="Times New Roman" w:eastAsia="仿宋_GB2312" w:cs="Times New Roman"/>
          <w:color w:val="auto"/>
          <w:sz w:val="32"/>
          <w:szCs w:val="32"/>
        </w:rPr>
        <w:t>2025</w:t>
      </w:r>
      <w:r>
        <w:rPr>
          <w:rFonts w:hint="default" w:ascii="Times New Roman" w:hAnsi="Times New Roman" w:eastAsia="仿宋_GB2312"/>
          <w:color w:val="auto"/>
          <w:sz w:val="32"/>
          <w:szCs w:val="32"/>
        </w:rPr>
        <w:t>〕</w:t>
      </w:r>
      <w:r>
        <w:rPr>
          <w:rFonts w:hint="default" w:ascii="Times New Roman" w:hAnsi="Times New Roman" w:eastAsia="仿宋_GB2312" w:cs="Times New Roman"/>
          <w:color w:val="auto"/>
          <w:sz w:val="32"/>
          <w:szCs w:val="32"/>
        </w:rPr>
        <w:t>53</w:t>
      </w:r>
      <w:r>
        <w:rPr>
          <w:rFonts w:hint="default" w:ascii="Times New Roman" w:hAnsi="Times New Roman" w:eastAsia="仿宋_GB2312"/>
          <w:color w:val="auto"/>
          <w:sz w:val="32"/>
          <w:szCs w:val="32"/>
        </w:rPr>
        <w:t>号文</w:t>
      </w:r>
      <w:r>
        <w:rPr>
          <w:rFonts w:hint="eastAsia" w:ascii="仿宋_GB2312" w:hAnsi="仿宋_GB2312" w:eastAsia="仿宋_GB2312" w:cs="仿宋_GB2312"/>
          <w:color w:val="auto"/>
          <w:sz w:val="32"/>
          <w:szCs w:val="32"/>
        </w:rPr>
        <w:t>规定,项目制培训的承训单位如为职业院校、技工院校、民办职业培训机构的,其授课教师资格条件按照有关院校、民办职业培训机构师资管理要求执行；承训单位如为企业、行业协会等，应符合《人力资源社会保障部关于进一步规范职业技能培训管理工作的通知》(人社部发〔</w:t>
      </w:r>
      <w:r>
        <w:rPr>
          <w:rFonts w:hint="default" w:ascii="Times New Roman" w:hAnsi="Times New Roman" w:eastAsia="仿宋_GB2312" w:cs="Times New Roman"/>
          <w:color w:val="auto"/>
          <w:sz w:val="32"/>
          <w:szCs w:val="32"/>
        </w:rPr>
        <w:t>2024</w:t>
      </w:r>
      <w:r>
        <w:rPr>
          <w:rFonts w:hint="eastAsia" w:ascii="仿宋_GB2312" w:hAnsi="仿宋_GB2312" w:eastAsia="仿宋_GB2312" w:cs="仿宋_GB2312"/>
          <w:color w:val="auto"/>
          <w:sz w:val="32"/>
          <w:szCs w:val="32"/>
        </w:rPr>
        <w:t>〕</w:t>
      </w:r>
      <w:r>
        <w:rPr>
          <w:rFonts w:hint="default" w:ascii="Times New Roman" w:hAnsi="Times New Roman" w:eastAsia="仿宋_GB2312" w:cs="Times New Roman"/>
          <w:color w:val="auto"/>
          <w:sz w:val="32"/>
          <w:szCs w:val="32"/>
        </w:rPr>
        <w:t>5</w:t>
      </w:r>
      <w:r>
        <w:rPr>
          <w:rFonts w:hint="eastAsia" w:ascii="仿宋_GB2312" w:hAnsi="仿宋_GB2312" w:eastAsia="仿宋_GB2312" w:cs="仿宋_GB2312"/>
          <w:color w:val="auto"/>
          <w:sz w:val="32"/>
          <w:szCs w:val="32"/>
        </w:rPr>
        <w:t>号)规定“授课教师应具备相应的资格（含职业资格、职业技能等级、专业技术职称）或长期从事相关工作、具有丰富的实践经验。”承训单位应配备与培训规模相适应、结构合理的专兼职教师队伍。</w:t>
      </w:r>
    </w:p>
    <w:p>
      <w:pPr>
        <w:spacing w:beforeLines="0" w:afterLines="0" w:line="56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四</w:t>
      </w:r>
      <w:r>
        <w:rPr>
          <w:rFonts w:hint="eastAsia" w:ascii="黑体" w:hAnsi="黑体" w:eastAsia="黑体" w:cs="黑体"/>
          <w:color w:val="auto"/>
          <w:sz w:val="32"/>
          <w:szCs w:val="32"/>
        </w:rPr>
        <w:t>、培训对象</w:t>
      </w:r>
    </w:p>
    <w:p>
      <w:pPr>
        <w:spacing w:beforeLines="0" w:afterLines="0" w:line="560" w:lineRule="exact"/>
        <w:ind w:firstLine="640" w:firstLineChars="200"/>
        <w:rPr>
          <w:rFonts w:hint="default" w:ascii="Times New Roman" w:hAnsi="Times New Roman" w:eastAsia="仿宋_GB2312" w:cs="Times New Roman"/>
          <w:color w:val="auto"/>
          <w:sz w:val="32"/>
          <w:szCs w:val="32"/>
        </w:rPr>
      </w:pPr>
      <w:r>
        <w:rPr>
          <w:rFonts w:hint="eastAsia" w:ascii="仿宋_GB2312" w:hAnsi="仿宋_GB2312" w:eastAsia="仿宋_GB2312" w:cs="仿宋_GB2312"/>
          <w:color w:val="auto"/>
          <w:sz w:val="32"/>
          <w:szCs w:val="32"/>
        </w:rPr>
        <w:t>具有我省户籍或在我省就业的具有培训需求的劳动者（含在粤就业的外省来粤务工人员、港澳台人员）。包括但不限于脱贫人口及子女、毕业年度高校毕业生（含技师学院高级工班、预备技师班、技师班和特殊教育院校职业教育类毕业生，适用时间为毕业当</w:t>
      </w:r>
      <w:r>
        <w:rPr>
          <w:rFonts w:hint="default" w:ascii="Times New Roman" w:hAnsi="Times New Roman" w:eastAsia="仿宋_GB2312" w:cs="Times New Roman"/>
          <w:color w:val="auto"/>
          <w:sz w:val="32"/>
          <w:szCs w:val="32"/>
        </w:rPr>
        <w:t>年1月1日至12月31日）、城镇登记失业人员、残疾人、退役军人、余刑24个月内的在</w:t>
      </w:r>
      <w:r>
        <w:rPr>
          <w:rFonts w:hint="default" w:ascii="Times New Roman" w:hAnsi="Times New Roman" w:eastAsia="仿宋_GB2312" w:cs="Times New Roman"/>
          <w:color w:val="auto"/>
          <w:sz w:val="32"/>
          <w:szCs w:val="32"/>
          <w:lang w:eastAsia="zh-CN"/>
        </w:rPr>
        <w:t>穗</w:t>
      </w:r>
      <w:r>
        <w:rPr>
          <w:rFonts w:hint="default" w:ascii="Times New Roman" w:hAnsi="Times New Roman" w:eastAsia="仿宋_GB2312" w:cs="Times New Roman"/>
          <w:color w:val="auto"/>
          <w:sz w:val="32"/>
          <w:szCs w:val="32"/>
        </w:rPr>
        <w:t>服刑人员和强制戒毒人员，不含机关事业单位在编人员、非毕业年度全日制在校学生、已依法享受养老保险待遇人员。</w:t>
      </w:r>
    </w:p>
    <w:p>
      <w:pPr>
        <w:spacing w:beforeLines="0" w:afterLines="0" w:line="560" w:lineRule="exact"/>
        <w:ind w:firstLine="640" w:firstLineChars="200"/>
        <w:rPr>
          <w:rFonts w:hint="eastAsia" w:ascii="仿宋_GB2312" w:hAnsi="仿宋_GB2312" w:eastAsia="仿宋_GB2312" w:cs="仿宋_GB2312"/>
          <w:color w:val="auto"/>
          <w:sz w:val="32"/>
          <w:szCs w:val="32"/>
        </w:rPr>
      </w:pPr>
      <w:r>
        <w:rPr>
          <w:rFonts w:hint="default" w:ascii="Times New Roman" w:hAnsi="Times New Roman" w:eastAsia="仿宋_GB2312" w:cs="Times New Roman"/>
          <w:color w:val="auto"/>
          <w:sz w:val="32"/>
          <w:szCs w:val="32"/>
        </w:rPr>
        <w:t>劳动者应年满16周岁，其中男性年龄不超过60周岁，女性年龄不超过55周岁。劳动者应具有我省户籍，或者在我省参加社会保险，或者在我省进行失业登记</w:t>
      </w:r>
      <w:r>
        <w:rPr>
          <w:rFonts w:hint="eastAsia" w:ascii="仿宋_GB2312" w:hAnsi="仿宋_GB2312" w:eastAsia="仿宋_GB2312" w:cs="仿宋_GB2312"/>
          <w:color w:val="auto"/>
          <w:sz w:val="32"/>
          <w:szCs w:val="32"/>
        </w:rPr>
        <w:t>。</w:t>
      </w:r>
    </w:p>
    <w:p>
      <w:pPr>
        <w:spacing w:beforeLines="0" w:afterLines="0" w:line="560" w:lineRule="exact"/>
        <w:ind w:firstLine="64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鼓励面向失业人员、高校毕业生、退役军人等重点群体开展公益性职业技能培训。</w:t>
      </w:r>
      <w:r>
        <w:rPr>
          <w:rFonts w:hint="eastAsia" w:ascii="仿宋_GB2312" w:hAnsi="仿宋_GB2312" w:eastAsia="仿宋_GB2312" w:cs="仿宋_GB2312"/>
          <w:color w:val="auto"/>
          <w:sz w:val="32"/>
          <w:szCs w:val="32"/>
          <w:highlight w:val="none"/>
          <w:lang w:val="en-US" w:eastAsia="zh-CN"/>
        </w:rPr>
        <w:t>面向在穗服刑人员、强制戒毒人员等特殊群体培训的，应提交培训对象主管单位的盖章委托或证明。</w:t>
      </w:r>
    </w:p>
    <w:p>
      <w:pPr>
        <w:spacing w:beforeLines="0" w:afterLines="0"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rPr>
        <w:t>未取得办学许可等对外培训资质的单位,原则上仅能针对内部人员开展培训。</w:t>
      </w:r>
      <w:r>
        <w:rPr>
          <w:rFonts w:hint="eastAsia" w:ascii="仿宋_GB2312" w:hAnsi="仿宋_GB2312" w:eastAsia="仿宋_GB2312" w:cs="仿宋_GB2312"/>
          <w:color w:val="auto"/>
          <w:sz w:val="32"/>
          <w:szCs w:val="32"/>
          <w:highlight w:val="none"/>
        </w:rPr>
        <w:t>支持生态链企业建设企业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跨企业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培训中心、公共</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共享</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实训基地等,为技能生态链内中小微企业提供培训评价服务</w:t>
      </w:r>
      <w:r>
        <w:rPr>
          <w:rFonts w:hint="eastAsia" w:ascii="仿宋_GB2312" w:hAnsi="仿宋_GB2312" w:eastAsia="仿宋_GB2312" w:cs="仿宋_GB2312"/>
          <w:color w:val="auto"/>
          <w:sz w:val="32"/>
          <w:szCs w:val="32"/>
          <w:highlight w:val="none"/>
          <w:lang w:eastAsia="zh-CN"/>
        </w:rPr>
        <w:t>。</w:t>
      </w:r>
    </w:p>
    <w:p>
      <w:pPr>
        <w:numPr>
          <w:ilvl w:val="-1"/>
          <w:numId w:val="0"/>
        </w:numPr>
        <w:spacing w:beforeLines="0" w:afterLines="0" w:line="560" w:lineRule="exact"/>
        <w:ind w:firstLine="640" w:firstLineChars="200"/>
        <w:rPr>
          <w:rFonts w:hint="eastAsia" w:ascii="黑体" w:hAnsi="黑体" w:eastAsia="黑体" w:cs="黑体"/>
          <w:color w:val="auto"/>
          <w:sz w:val="32"/>
          <w:szCs w:val="32"/>
        </w:rPr>
      </w:pPr>
      <w:r>
        <w:rPr>
          <w:rFonts w:hint="eastAsia" w:ascii="黑体" w:hAnsi="黑体" w:eastAsia="黑体" w:cs="黑体"/>
          <w:color w:val="auto"/>
          <w:sz w:val="32"/>
          <w:szCs w:val="32"/>
          <w:lang w:eastAsia="zh-CN"/>
        </w:rPr>
        <w:t>五、</w:t>
      </w:r>
      <w:r>
        <w:rPr>
          <w:rFonts w:hint="eastAsia" w:ascii="黑体" w:hAnsi="黑体" w:eastAsia="黑体" w:cs="黑体"/>
          <w:color w:val="auto"/>
          <w:sz w:val="32"/>
          <w:szCs w:val="32"/>
        </w:rPr>
        <w:t>培训实施</w:t>
      </w:r>
    </w:p>
    <w:p>
      <w:pPr>
        <w:overflowPunct w:val="0"/>
        <w:spacing w:beforeLines="0" w:afterLines="0" w:line="560" w:lineRule="exact"/>
        <w:ind w:firstLine="640" w:firstLineChars="200"/>
        <w:rPr>
          <w:rFonts w:hint="eastAsia" w:ascii="仿宋_GB2312" w:hAnsi="仿宋_GB2312" w:eastAsia="仿宋_GB2312" w:cs="仿宋_GB2312"/>
          <w:snapToGrid w:val="0"/>
          <w:color w:val="auto"/>
          <w:kern w:val="0"/>
          <w:sz w:val="32"/>
          <w:szCs w:val="32"/>
        </w:rPr>
      </w:pPr>
      <w:r>
        <w:rPr>
          <w:rFonts w:hint="eastAsia" w:ascii="仿宋_GB2312" w:hAnsi="仿宋_GB2312" w:eastAsia="仿宋_GB2312" w:cs="仿宋_GB2312"/>
          <w:snapToGrid w:val="0"/>
          <w:color w:val="auto"/>
          <w:kern w:val="0"/>
          <w:sz w:val="32"/>
          <w:szCs w:val="32"/>
        </w:rPr>
        <w:t>（一）培训备案。确定项目及承训单位后，承训单位需登录“广东省职业技能培训和评价服务平台”进行相关备案审批。项目制培训原则上由培训场地所在区人社部门负责备案和场地核验以及后续监管。</w:t>
      </w:r>
    </w:p>
    <w:p>
      <w:pPr>
        <w:overflowPunct w:val="0"/>
        <w:spacing w:beforeLines="0" w:afterLines="0" w:line="560" w:lineRule="exact"/>
        <w:ind w:firstLine="640" w:firstLineChars="200"/>
        <w:rPr>
          <w:rFonts w:hint="eastAsia" w:ascii="仿宋_GB2312" w:hAnsi="仿宋_GB2312" w:eastAsia="仿宋_GB2312" w:cs="仿宋_GB2312"/>
          <w:snapToGrid w:val="0"/>
          <w:color w:val="auto"/>
          <w:kern w:val="0"/>
          <w:sz w:val="32"/>
          <w:szCs w:val="32"/>
        </w:rPr>
      </w:pPr>
      <w:r>
        <w:rPr>
          <w:rFonts w:hint="eastAsia" w:ascii="仿宋_GB2312" w:hAnsi="仿宋_GB2312" w:eastAsia="仿宋_GB2312" w:cs="仿宋_GB2312"/>
          <w:snapToGrid w:val="0"/>
          <w:color w:val="auto"/>
          <w:kern w:val="0"/>
          <w:sz w:val="32"/>
          <w:szCs w:val="32"/>
        </w:rPr>
        <w:t>（二）考勤管理。培训期间，学员和讲师按要求使用“粤省事”小程序进行培训签到、签出，除因客观原因导致未能签到、签出的，不予系统补签。承训单位要在培训期间做好考勤管理，对线下培训出勤率达不到</w:t>
      </w:r>
      <w:r>
        <w:rPr>
          <w:rFonts w:hint="default" w:ascii="Times New Roman" w:hAnsi="Times New Roman" w:eastAsia="仿宋_GB2312" w:cs="Times New Roman"/>
          <w:snapToGrid w:val="0"/>
          <w:color w:val="auto"/>
          <w:kern w:val="0"/>
          <w:sz w:val="32"/>
          <w:szCs w:val="32"/>
        </w:rPr>
        <w:t>70</w:t>
      </w:r>
      <w:r>
        <w:rPr>
          <w:rFonts w:hint="default" w:ascii="Times New Roman" w:hAnsi="Times New Roman" w:eastAsia="仿宋_GB2312"/>
          <w:snapToGrid w:val="0"/>
          <w:color w:val="auto"/>
          <w:kern w:val="0"/>
          <w:sz w:val="32"/>
          <w:szCs w:val="32"/>
        </w:rPr>
        <w:t>%</w:t>
      </w:r>
      <w:r>
        <w:rPr>
          <w:rFonts w:hint="eastAsia" w:ascii="仿宋_GB2312" w:hAnsi="Times New Roman" w:eastAsia="仿宋_GB2312"/>
          <w:snapToGrid w:val="0"/>
          <w:color w:val="auto"/>
          <w:kern w:val="0"/>
          <w:sz w:val="32"/>
          <w:szCs w:val="32"/>
        </w:rPr>
        <w:t>的</w:t>
      </w:r>
      <w:r>
        <w:rPr>
          <w:rFonts w:hint="eastAsia" w:ascii="仿宋_GB2312" w:hAnsi="仿宋_GB2312" w:eastAsia="仿宋_GB2312" w:cs="仿宋_GB2312"/>
          <w:snapToGrid w:val="0"/>
          <w:color w:val="auto"/>
          <w:kern w:val="0"/>
          <w:sz w:val="32"/>
          <w:szCs w:val="32"/>
        </w:rPr>
        <w:t>学员不得安排结业考核。对于在穗服刑人员、强制戒毒人员等特殊群体培训无法使用网络签到的,做好纸质签到。</w:t>
      </w:r>
    </w:p>
    <w:p>
      <w:pPr>
        <w:overflowPunct w:val="0"/>
        <w:spacing w:beforeLines="0" w:afterLines="0" w:line="560" w:lineRule="exact"/>
        <w:ind w:firstLine="640" w:firstLineChars="200"/>
        <w:rPr>
          <w:rFonts w:hint="eastAsia" w:ascii="仿宋_GB2312" w:hAnsi="仿宋_GB2312" w:eastAsia="仿宋_GB2312" w:cs="仿宋_GB2312"/>
          <w:snapToGrid w:val="0"/>
          <w:color w:val="auto"/>
          <w:kern w:val="0"/>
          <w:sz w:val="32"/>
          <w:szCs w:val="32"/>
          <w:highlight w:val="none"/>
        </w:rPr>
      </w:pPr>
      <w:r>
        <w:rPr>
          <w:rFonts w:hint="eastAsia" w:ascii="仿宋_GB2312" w:hAnsi="仿宋_GB2312" w:eastAsia="仿宋_GB2312" w:cs="仿宋_GB2312"/>
          <w:snapToGrid w:val="0"/>
          <w:color w:val="auto"/>
          <w:kern w:val="0"/>
          <w:sz w:val="32"/>
          <w:szCs w:val="32"/>
          <w:highlight w:val="none"/>
        </w:rPr>
        <w:t>（三）档案管理。承训单位要做好培训期间的培训照片、视频留档工作,照片和视频拍摄角度应全面反映培训情况,要能显示出讲师、培训对象、拍摄时间</w:t>
      </w:r>
      <w:r>
        <w:rPr>
          <w:rFonts w:hint="eastAsia" w:ascii="仿宋_GB2312" w:hAnsi="仿宋_GB2312" w:eastAsia="仿宋_GB2312" w:cs="仿宋_GB2312"/>
          <w:snapToGrid w:val="0"/>
          <w:color w:val="auto"/>
          <w:kern w:val="0"/>
          <w:sz w:val="32"/>
          <w:szCs w:val="32"/>
          <w:highlight w:val="none"/>
          <w:lang w:eastAsia="zh-CN"/>
        </w:rPr>
        <w:t>等</w:t>
      </w:r>
      <w:r>
        <w:rPr>
          <w:rFonts w:hint="eastAsia" w:ascii="仿宋_GB2312" w:hAnsi="仿宋_GB2312" w:eastAsia="仿宋_GB2312" w:cs="仿宋_GB2312"/>
          <w:snapToGrid w:val="0"/>
          <w:color w:val="auto"/>
          <w:kern w:val="0"/>
          <w:sz w:val="32"/>
          <w:szCs w:val="32"/>
          <w:highlight w:val="none"/>
        </w:rPr>
        <w:t>。对于在穗服刑人员、强制戒毒人员等特殊群体培训无法提供视频等资料的，由主管单位出具相应证明。</w:t>
      </w:r>
    </w:p>
    <w:p>
      <w:pPr>
        <w:overflowPunct w:val="0"/>
        <w:spacing w:beforeLines="0" w:afterLines="0" w:line="560" w:lineRule="exact"/>
        <w:ind w:firstLine="640" w:firstLineChars="200"/>
        <w:rPr>
          <w:rFonts w:hint="eastAsia" w:ascii="仿宋_GB2312" w:hAnsi="仿宋_GB2312" w:eastAsia="仿宋_GB2312" w:cs="仿宋_GB2312"/>
          <w:snapToGrid w:val="0"/>
          <w:color w:val="auto"/>
          <w:kern w:val="0"/>
          <w:sz w:val="32"/>
          <w:szCs w:val="32"/>
        </w:rPr>
      </w:pPr>
      <w:r>
        <w:rPr>
          <w:rFonts w:hint="eastAsia" w:ascii="仿宋_GB2312" w:hAnsi="仿宋_GB2312" w:eastAsia="仿宋_GB2312" w:cs="仿宋_GB2312"/>
          <w:snapToGrid w:val="0"/>
          <w:color w:val="auto"/>
          <w:kern w:val="0"/>
          <w:sz w:val="32"/>
          <w:szCs w:val="32"/>
        </w:rPr>
        <w:t>（四）考核评价。承训单位应于培训结束后尽快组织开展考核评价,职业技能等级认定评价应在已经人社部门备案相关职业（工种）及对应级别的评价机构组织进行;专项职业能力考核应在专项职业能力考场进行；</w:t>
      </w:r>
      <w:r>
        <w:rPr>
          <w:rFonts w:hint="eastAsia" w:ascii="仿宋_GB2312" w:hAnsi="仿宋_GB2312" w:eastAsia="仿宋_GB2312" w:cs="仿宋_GB2312"/>
          <w:snapToGrid w:val="0"/>
          <w:color w:val="auto"/>
          <w:kern w:val="0"/>
          <w:sz w:val="32"/>
          <w:szCs w:val="32"/>
          <w:lang w:eastAsia="zh-CN"/>
        </w:rPr>
        <w:t>培训</w:t>
      </w:r>
      <w:r>
        <w:rPr>
          <w:rFonts w:hint="eastAsia" w:ascii="仿宋_GB2312" w:hAnsi="仿宋_GB2312" w:eastAsia="仿宋_GB2312" w:cs="仿宋_GB2312"/>
          <w:snapToGrid w:val="0"/>
          <w:color w:val="auto"/>
          <w:kern w:val="0"/>
          <w:sz w:val="32"/>
          <w:szCs w:val="32"/>
        </w:rPr>
        <w:t>合格证书考核由承训单位组织</w:t>
      </w:r>
      <w:r>
        <w:rPr>
          <w:rFonts w:hint="eastAsia" w:ascii="仿宋_GB2312" w:hAnsi="仿宋_GB2312" w:eastAsia="仿宋_GB2312" w:cs="仿宋_GB2312"/>
          <w:snapToGrid w:val="0"/>
          <w:color w:val="auto"/>
          <w:kern w:val="0"/>
          <w:sz w:val="32"/>
          <w:szCs w:val="32"/>
          <w:lang w:eastAsia="zh-CN"/>
        </w:rPr>
        <w:t>，并</w:t>
      </w:r>
      <w:r>
        <w:rPr>
          <w:rFonts w:hint="eastAsia" w:ascii="仿宋_GB2312" w:hAnsi="仿宋_GB2312" w:eastAsia="仿宋_GB2312" w:cs="仿宋_GB2312"/>
          <w:snapToGrid w:val="0"/>
          <w:color w:val="auto"/>
          <w:kern w:val="0"/>
          <w:sz w:val="32"/>
          <w:szCs w:val="32"/>
        </w:rPr>
        <w:t>开发</w:t>
      </w:r>
      <w:r>
        <w:rPr>
          <w:rFonts w:hint="default" w:ascii="Times New Roman" w:hAnsi="Times New Roman" w:eastAsia="仿宋_GB2312" w:cs="Times New Roman"/>
          <w:snapToGrid w:val="0"/>
          <w:color w:val="auto"/>
          <w:kern w:val="0"/>
          <w:sz w:val="32"/>
          <w:szCs w:val="32"/>
        </w:rPr>
        <w:t>3</w:t>
      </w:r>
      <w:r>
        <w:rPr>
          <w:rFonts w:hint="eastAsia" w:ascii="仿宋_GB2312" w:hAnsi="Times New Roman" w:eastAsia="仿宋_GB2312"/>
          <w:snapToGrid w:val="0"/>
          <w:color w:val="auto"/>
          <w:kern w:val="0"/>
          <w:sz w:val="32"/>
          <w:szCs w:val="32"/>
        </w:rPr>
        <w:t>套</w:t>
      </w:r>
      <w:r>
        <w:rPr>
          <w:rFonts w:hint="eastAsia" w:ascii="仿宋_GB2312" w:hAnsi="仿宋_GB2312" w:eastAsia="仿宋_GB2312" w:cs="仿宋_GB2312"/>
          <w:snapToGrid w:val="0"/>
          <w:color w:val="auto"/>
          <w:kern w:val="0"/>
          <w:sz w:val="32"/>
          <w:szCs w:val="32"/>
        </w:rPr>
        <w:t>以上试题资源</w:t>
      </w:r>
      <w:r>
        <w:rPr>
          <w:rFonts w:hint="eastAsia" w:ascii="仿宋_GB2312" w:hAnsi="仿宋_GB2312" w:eastAsia="仿宋_GB2312" w:cs="仿宋_GB2312"/>
          <w:snapToGrid w:val="0"/>
          <w:color w:val="auto"/>
          <w:kern w:val="0"/>
          <w:sz w:val="32"/>
          <w:szCs w:val="32"/>
          <w:highlight w:val="none"/>
        </w:rPr>
        <w:t>报</w:t>
      </w:r>
      <w:r>
        <w:rPr>
          <w:rFonts w:hint="eastAsia" w:ascii="仿宋_GB2312" w:hAnsi="仿宋_GB2312" w:eastAsia="仿宋_GB2312" w:cs="仿宋_GB2312"/>
          <w:snapToGrid w:val="0"/>
          <w:color w:val="auto"/>
          <w:kern w:val="0"/>
          <w:sz w:val="32"/>
          <w:szCs w:val="32"/>
          <w:highlight w:val="none"/>
          <w:lang w:val="en-US" w:eastAsia="zh-CN"/>
        </w:rPr>
        <w:t>区</w:t>
      </w:r>
      <w:r>
        <w:rPr>
          <w:rFonts w:hint="eastAsia" w:ascii="仿宋_GB2312" w:hAnsi="仿宋_GB2312" w:eastAsia="仿宋_GB2312" w:cs="仿宋_GB2312"/>
          <w:snapToGrid w:val="0"/>
          <w:color w:val="auto"/>
          <w:kern w:val="0"/>
          <w:sz w:val="32"/>
          <w:szCs w:val="32"/>
          <w:highlight w:val="none"/>
        </w:rPr>
        <w:t>人社</w:t>
      </w:r>
      <w:r>
        <w:rPr>
          <w:rFonts w:hint="eastAsia" w:ascii="仿宋_GB2312" w:hAnsi="仿宋_GB2312" w:eastAsia="仿宋_GB2312" w:cs="仿宋_GB2312"/>
          <w:snapToGrid w:val="0"/>
          <w:color w:val="auto"/>
          <w:kern w:val="0"/>
          <w:sz w:val="32"/>
          <w:szCs w:val="32"/>
        </w:rPr>
        <w:t>部门备案，以备开展考核时随机抽取使用。</w:t>
      </w:r>
    </w:p>
    <w:p>
      <w:pPr>
        <w:overflowPunct w:val="0"/>
        <w:spacing w:beforeLines="0" w:afterLines="0" w:line="560" w:lineRule="exact"/>
        <w:ind w:firstLine="640" w:firstLineChars="200"/>
        <w:rPr>
          <w:rFonts w:hint="eastAsia" w:ascii="仿宋_GB2312" w:hAnsi="仿宋_GB2312" w:eastAsia="仿宋_GB2312" w:cs="仿宋_GB2312"/>
          <w:snapToGrid w:val="0"/>
          <w:color w:val="auto"/>
          <w:kern w:val="0"/>
          <w:sz w:val="32"/>
          <w:szCs w:val="32"/>
        </w:rPr>
      </w:pPr>
      <w:r>
        <w:rPr>
          <w:rFonts w:hint="eastAsia" w:ascii="仿宋_GB2312" w:hAnsi="仿宋_GB2312" w:eastAsia="仿宋_GB2312" w:cs="仿宋_GB2312"/>
          <w:snapToGrid w:val="0"/>
          <w:color w:val="auto"/>
          <w:kern w:val="0"/>
          <w:sz w:val="32"/>
          <w:szCs w:val="32"/>
        </w:rPr>
        <w:t>职业技能等级认定评价,考生合格科目成绩保留一年</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rPr>
        <w:t>自首次认定日期起算</w:t>
      </w:r>
      <w:r>
        <w:rPr>
          <w:rFonts w:hint="eastAsia" w:ascii="仿宋_GB2312" w:hAnsi="仿宋_GB2312" w:eastAsia="仿宋_GB2312" w:cs="仿宋_GB2312"/>
          <w:snapToGrid w:val="0"/>
          <w:color w:val="auto"/>
          <w:kern w:val="0"/>
          <w:sz w:val="32"/>
          <w:szCs w:val="32"/>
          <w:lang w:eastAsia="zh-CN"/>
        </w:rPr>
        <w:t>）</w:t>
      </w:r>
      <w:r>
        <w:rPr>
          <w:rFonts w:hint="eastAsia" w:ascii="仿宋_GB2312" w:hAnsi="仿宋_GB2312" w:eastAsia="仿宋_GB2312" w:cs="仿宋_GB2312"/>
          <w:snapToGrid w:val="0"/>
          <w:color w:val="auto"/>
          <w:kern w:val="0"/>
          <w:sz w:val="32"/>
          <w:szCs w:val="32"/>
        </w:rPr>
        <w:t>,保留期间可参加一次不合格科目补考。专项职业能力考核、</w:t>
      </w:r>
      <w:r>
        <w:rPr>
          <w:rFonts w:hint="eastAsia" w:ascii="仿宋_GB2312" w:hAnsi="仿宋_GB2312" w:eastAsia="仿宋_GB2312" w:cs="仿宋_GB2312"/>
          <w:snapToGrid w:val="0"/>
          <w:color w:val="auto"/>
          <w:kern w:val="0"/>
          <w:sz w:val="32"/>
          <w:szCs w:val="32"/>
          <w:lang w:eastAsia="zh-CN"/>
        </w:rPr>
        <w:t>培训合格证书考核</w:t>
      </w:r>
      <w:r>
        <w:rPr>
          <w:rFonts w:hint="eastAsia" w:ascii="仿宋_GB2312" w:hAnsi="仿宋_GB2312" w:eastAsia="仿宋_GB2312" w:cs="仿宋_GB2312"/>
          <w:snapToGrid w:val="0"/>
          <w:color w:val="auto"/>
          <w:kern w:val="0"/>
          <w:sz w:val="32"/>
          <w:szCs w:val="32"/>
        </w:rPr>
        <w:t>不设置补考。</w:t>
      </w:r>
    </w:p>
    <w:p>
      <w:pPr>
        <w:overflowPunct w:val="0"/>
        <w:adjustRightInd w:val="0"/>
        <w:snapToGrid w:val="0"/>
        <w:spacing w:beforeLines="0" w:afterLines="0" w:line="560"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承训单位原则上应在</w:t>
      </w:r>
      <w:r>
        <w:rPr>
          <w:rFonts w:hint="default" w:ascii="Times New Roman" w:hAnsi="Times New Roman" w:eastAsia="仿宋_GB2312" w:cs="Times New Roman"/>
          <w:color w:val="auto"/>
          <w:sz w:val="32"/>
          <w:szCs w:val="32"/>
          <w:highlight w:val="none"/>
        </w:rPr>
        <w:t>2026</w:t>
      </w:r>
      <w:r>
        <w:rPr>
          <w:rFonts w:hint="eastAsia" w:ascii="仿宋_GB2312" w:hAnsi="Times New Roman" w:eastAsia="仿宋_GB2312"/>
          <w:color w:val="auto"/>
          <w:sz w:val="32"/>
          <w:szCs w:val="32"/>
          <w:highlight w:val="none"/>
        </w:rPr>
        <w:t>年</w:t>
      </w:r>
      <w:r>
        <w:rPr>
          <w:rFonts w:hint="default" w:ascii="Times New Roman" w:hAnsi="Times New Roman" w:eastAsia="仿宋_GB2312" w:cs="Times New Roman"/>
          <w:color w:val="auto"/>
          <w:sz w:val="32"/>
          <w:szCs w:val="32"/>
          <w:highlight w:val="none"/>
        </w:rPr>
        <w:t>12月31</w:t>
      </w:r>
      <w:r>
        <w:rPr>
          <w:rFonts w:hint="eastAsia" w:ascii="仿宋_GB2312" w:hAnsi="仿宋_GB2312" w:eastAsia="仿宋_GB2312" w:cs="仿宋_GB2312"/>
          <w:color w:val="auto"/>
          <w:sz w:val="32"/>
          <w:szCs w:val="32"/>
          <w:highlight w:val="none"/>
        </w:rPr>
        <w:t>日前完成培训考核。</w:t>
      </w:r>
    </w:p>
    <w:p>
      <w:pPr>
        <w:numPr>
          <w:ilvl w:val="0"/>
          <w:numId w:val="1"/>
        </w:numPr>
        <w:overflowPunct w:val="0"/>
        <w:adjustRightInd w:val="0"/>
        <w:snapToGrid w:val="0"/>
        <w:spacing w:beforeLines="0" w:afterLines="0" w:line="560" w:lineRule="exact"/>
        <w:ind w:firstLine="640" w:firstLineChars="200"/>
        <w:rPr>
          <w:rFonts w:hint="eastAsia" w:eastAsia="仿宋_GB2312" w:asciiTheme="minorHAnsi" w:hAnsiTheme="minorHAnsi" w:cstheme="minorBidi"/>
          <w:color w:val="auto"/>
          <w:sz w:val="32"/>
          <w:szCs w:val="32"/>
        </w:rPr>
      </w:pPr>
      <w:r>
        <w:rPr>
          <w:rFonts w:hint="eastAsia" w:ascii="仿宋_GB2312" w:hAnsi="仿宋_GB2312" w:eastAsia="仿宋_GB2312" w:cs="仿宋_GB2312"/>
          <w:color w:val="auto"/>
          <w:sz w:val="32"/>
          <w:szCs w:val="32"/>
        </w:rPr>
        <w:t>工作要求。</w:t>
      </w:r>
      <w:r>
        <w:rPr>
          <w:rFonts w:hint="eastAsia" w:ascii="仿宋_GB2312" w:hAnsi="仿宋_GB2312" w:eastAsia="仿宋_GB2312" w:cs="仿宋_GB2312"/>
          <w:color w:val="auto"/>
          <w:sz w:val="32"/>
          <w:szCs w:val="32"/>
          <w:lang w:eastAsia="zh-CN"/>
        </w:rPr>
        <w:t>鼓励承训单位为参训学员提供职业指导、岗位推荐等，探索加强就业跟踪服务。</w:t>
      </w:r>
      <w:r>
        <w:rPr>
          <w:rFonts w:hint="eastAsia" w:ascii="仿宋_GB2312" w:hAnsi="仿宋_GB2312" w:eastAsia="仿宋_GB2312" w:cs="仿宋_GB2312"/>
          <w:color w:val="auto"/>
          <w:sz w:val="32"/>
          <w:szCs w:val="32"/>
        </w:rPr>
        <w:t>承训单位不得自行转包、分包培训项目,应确保培训过程的真实性</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不得提供虚假材料骗取职业技能培训补贴。对于弄虚作假非法获取职业技能培训补贴资金的,应</w:t>
      </w:r>
      <w:r>
        <w:rPr>
          <w:rFonts w:hint="default" w:ascii="Times New Roman" w:hAnsi="Times New Roman" w:eastAsia="仿宋_GB2312" w:cs="Times New Roman"/>
          <w:color w:val="auto"/>
          <w:sz w:val="32"/>
          <w:szCs w:val="32"/>
        </w:rPr>
        <w:t>按</w:t>
      </w:r>
      <w:r>
        <w:rPr>
          <w:rFonts w:hint="default" w:ascii="Times New Roman" w:hAnsi="Times New Roman" w:eastAsia="仿宋_GB2312" w:cs="Times New Roman"/>
          <w:color w:val="auto"/>
          <w:sz w:val="32"/>
          <w:szCs w:val="32"/>
          <w:lang w:eastAsia="zh-CN"/>
        </w:rPr>
        <w:t>粤人社规〔2025〕53号文</w:t>
      </w:r>
      <w:r>
        <w:rPr>
          <w:rFonts w:hint="eastAsia" w:ascii="仿宋_GB2312" w:hAnsi="仿宋_GB2312" w:eastAsia="仿宋_GB2312" w:cs="仿宋_GB2312"/>
          <w:color w:val="auto"/>
          <w:sz w:val="32"/>
          <w:szCs w:val="32"/>
        </w:rPr>
        <w:t>规定追究相关责任。</w:t>
      </w:r>
    </w:p>
    <w:p>
      <w:pPr>
        <w:widowControl w:val="0"/>
        <w:numPr>
          <w:ilvl w:val="0"/>
          <w:numId w:val="0"/>
        </w:numPr>
        <w:spacing w:beforeLines="0" w:afterLines="0" w:line="560" w:lineRule="exact"/>
        <w:ind w:firstLine="640" w:firstLineChars="200"/>
        <w:jc w:val="both"/>
        <w:rPr>
          <w:rFonts w:hint="eastAsia" w:ascii="黑体" w:hAnsi="黑体" w:eastAsia="黑体" w:cs="黑体"/>
          <w:color w:val="auto"/>
          <w:sz w:val="32"/>
          <w:szCs w:val="32"/>
        </w:rPr>
      </w:pPr>
      <w:r>
        <w:rPr>
          <w:rFonts w:hint="eastAsia" w:ascii="黑体" w:hAnsi="黑体" w:eastAsia="黑体" w:cs="黑体"/>
          <w:color w:val="auto"/>
          <w:sz w:val="32"/>
          <w:szCs w:val="32"/>
          <w:lang w:eastAsia="zh-CN"/>
        </w:rPr>
        <w:t>六</w:t>
      </w:r>
      <w:r>
        <w:rPr>
          <w:rFonts w:hint="eastAsia" w:ascii="黑体" w:hAnsi="黑体" w:eastAsia="黑体" w:cs="黑体"/>
          <w:color w:val="auto"/>
          <w:sz w:val="32"/>
          <w:szCs w:val="32"/>
        </w:rPr>
        <w:t>、补贴及收费</w:t>
      </w:r>
    </w:p>
    <w:p>
      <w:pPr>
        <w:numPr>
          <w:ilvl w:val="-1"/>
          <w:numId w:val="0"/>
        </w:numPr>
        <w:overflowPunct w:val="0"/>
        <w:adjustRightInd w:val="0"/>
        <w:snapToGrid w:val="0"/>
        <w:spacing w:beforeLines="0" w:afterLines="0" w:line="560" w:lineRule="exact"/>
        <w:ind w:firstLine="640" w:firstLineChars="200"/>
        <w:rPr>
          <w:rFonts w:hint="default"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rPr>
        <w:t>（一）补贴对象：承训单位。同一劳动者</w:t>
      </w:r>
      <w:r>
        <w:rPr>
          <w:rFonts w:hint="eastAsia" w:ascii="仿宋_GB2312" w:hAnsi="仿宋_GB2312" w:eastAsia="仿宋_GB2312" w:cs="仿宋_GB2312"/>
          <w:color w:val="auto"/>
          <w:sz w:val="32"/>
          <w:szCs w:val="32"/>
          <w:lang w:eastAsia="zh-CN"/>
        </w:rPr>
        <w:t>一</w:t>
      </w:r>
      <w:r>
        <w:rPr>
          <w:rFonts w:hint="eastAsia" w:ascii="仿宋_GB2312" w:hAnsi="仿宋_GB2312" w:eastAsia="仿宋_GB2312" w:cs="仿宋_GB2312"/>
          <w:color w:val="auto"/>
          <w:sz w:val="32"/>
          <w:szCs w:val="32"/>
        </w:rPr>
        <w:t>年内(自然年度)项目制培训补贴只可享受一次。补贴由承训单位申领,劳动者本人不得再凭证书申领职业技能提升补贴等个人补贴</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其他不得重复申领</w:t>
      </w:r>
      <w:r>
        <w:rPr>
          <w:rFonts w:hint="default" w:ascii="Times New Roman" w:hAnsi="Times New Roman" w:eastAsia="仿宋_GB2312" w:cs="Times New Roman"/>
          <w:color w:val="auto"/>
          <w:sz w:val="32"/>
          <w:szCs w:val="32"/>
        </w:rPr>
        <w:t>的情况见粤人社规〔2025〕53号文</w:t>
      </w:r>
      <w:r>
        <w:rPr>
          <w:rFonts w:hint="default" w:ascii="Times New Roman" w:hAnsi="Times New Roman" w:eastAsia="仿宋_GB2312" w:cs="Times New Roman"/>
          <w:color w:val="auto"/>
          <w:sz w:val="32"/>
          <w:szCs w:val="32"/>
          <w:lang w:eastAsia="zh-CN"/>
        </w:rPr>
        <w:t>）</w:t>
      </w:r>
      <w:r>
        <w:rPr>
          <w:rFonts w:hint="default" w:ascii="Times New Roman" w:hAnsi="Times New Roman" w:eastAsia="仿宋_GB2312" w:cs="Times New Roman"/>
          <w:color w:val="auto"/>
          <w:sz w:val="32"/>
          <w:szCs w:val="32"/>
        </w:rPr>
        <w:t>。</w:t>
      </w:r>
      <w:r>
        <w:rPr>
          <w:rFonts w:hint="eastAsia" w:ascii="仿宋_GB2312" w:hAnsi="仿宋_GB2312" w:eastAsia="仿宋_GB2312" w:cs="仿宋_GB2312"/>
          <w:color w:val="auto"/>
          <w:sz w:val="32"/>
          <w:szCs w:val="32"/>
          <w:highlight w:val="none"/>
          <w:lang w:val="en-US" w:eastAsia="zh-CN"/>
        </w:rPr>
        <w:t>目前，合格证培训一人只能参加一次。</w:t>
      </w:r>
    </w:p>
    <w:p>
      <w:pPr>
        <w:keepNext w:val="0"/>
        <w:keepLines w:val="0"/>
        <w:pageBreakBefore w:val="0"/>
        <w:widowControl w:val="0"/>
        <w:kinsoku/>
        <w:wordWrap/>
        <w:overflowPunct w:val="0"/>
        <w:topLinePunct w:val="0"/>
        <w:autoSpaceDE/>
        <w:autoSpaceDN/>
        <w:bidi w:val="0"/>
        <w:adjustRightInd w:val="0"/>
        <w:snapToGrid w:val="0"/>
        <w:spacing w:beforeLines="0" w:afterLines="0" w:line="560" w:lineRule="exact"/>
        <w:ind w:left="0" w:firstLine="640" w:firstLineChars="200"/>
        <w:jc w:val="both"/>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t>（二）补考费用：</w:t>
      </w:r>
      <w:r>
        <w:rPr>
          <w:rFonts w:hint="eastAsia" w:ascii="仿宋_GB2312" w:hAnsi="仿宋_GB2312" w:eastAsia="仿宋_GB2312" w:cs="仿宋_GB2312"/>
          <w:color w:val="auto"/>
          <w:sz w:val="32"/>
          <w:szCs w:val="32"/>
        </w:rPr>
        <w:t>承训单位按计划完成培训后应组织培训对象参加考核评价。对于首次考核未通过的学员,承训单位结合实际情况评估是否安排补考及收取补考费用。如承训单位统一安排补考,需在补考前将补考时间、地点、人数、是否收费及收费标准向培训备案区人社部门报备。</w:t>
      </w:r>
    </w:p>
    <w:p>
      <w:pPr>
        <w:keepNext w:val="0"/>
        <w:keepLines w:val="0"/>
        <w:pageBreakBefore w:val="0"/>
        <w:widowControl w:val="0"/>
        <w:kinsoku/>
        <w:wordWrap/>
        <w:overflowPunct w:val="0"/>
        <w:topLinePunct w:val="0"/>
        <w:autoSpaceDE/>
        <w:autoSpaceDN/>
        <w:bidi w:val="0"/>
        <w:adjustRightInd w:val="0"/>
        <w:snapToGrid w:val="0"/>
        <w:spacing w:beforeLines="0" w:afterLines="0" w:line="560" w:lineRule="exact"/>
        <w:ind w:left="0" w:firstLine="640" w:firstLineChars="200"/>
        <w:jc w:val="both"/>
        <w:textAlignment w:val="auto"/>
        <w:rPr>
          <w:rFonts w:hint="eastAsia" w:ascii="仿宋_GB2312" w:hAnsi="仿宋_GB2312" w:eastAsia="仿宋_GB2312" w:cs="仿宋_GB2312"/>
          <w:color w:val="auto"/>
          <w:sz w:val="32"/>
          <w:szCs w:val="32"/>
          <w:lang w:eastAsia="zh-CN"/>
        </w:rPr>
      </w:pPr>
    </w:p>
    <w:p>
      <w:pPr>
        <w:keepNext w:val="0"/>
        <w:keepLines w:val="0"/>
        <w:pageBreakBefore w:val="0"/>
        <w:widowControl w:val="0"/>
        <w:kinsoku/>
        <w:wordWrap/>
        <w:overflowPunct w:val="0"/>
        <w:topLinePunct w:val="0"/>
        <w:autoSpaceDE/>
        <w:autoSpaceDN/>
        <w:bidi w:val="0"/>
        <w:adjustRightInd w:val="0"/>
        <w:snapToGrid w:val="0"/>
        <w:spacing w:beforeLines="0" w:afterLines="0" w:line="560" w:lineRule="exact"/>
        <w:ind w:left="0" w:firstLine="640"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eastAsia="zh-CN"/>
        </w:rPr>
        <w:t>以上工作要求，如与省、</w:t>
      </w:r>
      <w:r>
        <w:rPr>
          <w:rFonts w:hint="eastAsia" w:ascii="仿宋_GB2312" w:hAnsi="仿宋_GB2312" w:eastAsia="仿宋_GB2312" w:cs="仿宋_GB2312"/>
          <w:color w:val="auto"/>
          <w:sz w:val="32"/>
          <w:szCs w:val="32"/>
          <w:highlight w:val="none"/>
          <w:lang w:val="en-US" w:eastAsia="zh-CN"/>
        </w:rPr>
        <w:t>市</w:t>
      </w:r>
      <w:r>
        <w:rPr>
          <w:rFonts w:hint="eastAsia" w:ascii="仿宋_GB2312" w:hAnsi="仿宋_GB2312" w:eastAsia="仿宋_GB2312" w:cs="仿宋_GB2312"/>
          <w:color w:val="auto"/>
          <w:sz w:val="32"/>
          <w:szCs w:val="32"/>
          <w:highlight w:val="none"/>
          <w:lang w:eastAsia="zh-CN"/>
        </w:rPr>
        <w:t>新出台职业技能培训</w:t>
      </w:r>
      <w:r>
        <w:rPr>
          <w:rFonts w:hint="eastAsia" w:ascii="仿宋_GB2312" w:hAnsi="仿宋_GB2312" w:eastAsia="仿宋_GB2312" w:cs="仿宋_GB2312"/>
          <w:color w:val="auto"/>
          <w:sz w:val="32"/>
          <w:szCs w:val="32"/>
          <w:highlight w:val="none"/>
          <w:lang w:val="en-US" w:eastAsia="zh-CN"/>
        </w:rPr>
        <w:t>及</w:t>
      </w:r>
      <w:r>
        <w:rPr>
          <w:rFonts w:hint="eastAsia" w:ascii="仿宋_GB2312" w:hAnsi="仿宋_GB2312" w:eastAsia="仿宋_GB2312" w:cs="仿宋_GB2312"/>
          <w:color w:val="auto"/>
          <w:sz w:val="32"/>
          <w:szCs w:val="32"/>
          <w:highlight w:val="none"/>
          <w:lang w:eastAsia="zh-CN"/>
        </w:rPr>
        <w:t>补贴政策有冲突的，以</w:t>
      </w:r>
      <w:r>
        <w:rPr>
          <w:rFonts w:hint="eastAsia" w:ascii="仿宋_GB2312" w:hAnsi="仿宋_GB2312" w:eastAsia="仿宋_GB2312" w:cs="仿宋_GB2312"/>
          <w:color w:val="auto"/>
          <w:sz w:val="32"/>
          <w:szCs w:val="32"/>
          <w:highlight w:val="none"/>
          <w:lang w:eastAsia="zh-CN"/>
        </w:rPr>
        <w:t>最新要求为准。</w:t>
      </w:r>
    </w:p>
    <w:p>
      <w:pPr>
        <w:keepNext w:val="0"/>
        <w:keepLines w:val="0"/>
        <w:pageBreakBefore w:val="0"/>
        <w:widowControl w:val="0"/>
        <w:kinsoku/>
        <w:wordWrap/>
        <w:overflowPunct/>
        <w:topLinePunct w:val="0"/>
        <w:autoSpaceDE/>
        <w:autoSpaceDN/>
        <w:bidi w:val="0"/>
        <w:adjustRightInd/>
        <w:snapToGrid/>
        <w:spacing w:beforeLines="0" w:afterLines="0" w:line="560" w:lineRule="exact"/>
        <w:ind w:left="0" w:firstLine="0" w:firstLineChars="0"/>
        <w:jc w:val="left"/>
        <w:textAlignment w:val="auto"/>
        <w:rPr>
          <w:rFonts w:hint="eastAsia" w:ascii="Times New Roman" w:hAnsi="Times New Roman" w:eastAsia="仿宋_GB2312"/>
          <w:color w:val="auto"/>
          <w:sz w:val="32"/>
          <w:szCs w:val="32"/>
          <w:lang w:eastAsia="zh-CN"/>
        </w:rPr>
      </w:pPr>
      <w:r>
        <w:rPr>
          <w:rFonts w:hint="eastAsia" w:ascii="Times New Roman" w:hAnsi="Times New Roman" w:eastAsia="仿宋_GB2312"/>
          <w:color w:val="auto"/>
          <w:sz w:val="32"/>
          <w:szCs w:val="32"/>
          <w:lang w:eastAsia="zh-CN"/>
        </w:rPr>
        <w:br w:type="page"/>
      </w:r>
    </w:p>
    <w:p>
      <w:pPr>
        <w:spacing w:beforeLines="0" w:afterLines="0" w:line="360" w:lineRule="auto"/>
        <w:textAlignment w:val="top"/>
        <w:rPr>
          <w:rFonts w:hint="eastAsia" w:ascii="黑体" w:hAnsi="黑体" w:eastAsia="黑体" w:cs="黑体"/>
          <w:color w:val="auto"/>
          <w:sz w:val="32"/>
          <w:szCs w:val="32"/>
        </w:rPr>
      </w:pPr>
      <w:r>
        <w:rPr>
          <w:rFonts w:hint="eastAsia" w:ascii="黑体" w:hAnsi="黑体" w:eastAsia="黑体" w:cs="黑体"/>
          <w:color w:val="auto"/>
          <w:sz w:val="32"/>
          <w:szCs w:val="32"/>
        </w:rPr>
        <w:t>附件</w:t>
      </w:r>
    </w:p>
    <w:p>
      <w:pPr>
        <w:pStyle w:val="2"/>
        <w:spacing w:line="400" w:lineRule="exact"/>
        <w:rPr>
          <w:rFonts w:hint="eastAsia"/>
          <w:color w:val="auto"/>
        </w:rPr>
      </w:pPr>
    </w:p>
    <w:p>
      <w:pPr>
        <w:spacing w:beforeLines="0" w:afterLines="0" w:line="600" w:lineRule="exact"/>
        <w:jc w:val="center"/>
        <w:textAlignment w:val="top"/>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首批职业技能培训线上平台机构推荐名单</w:t>
      </w:r>
    </w:p>
    <w:p>
      <w:pPr>
        <w:spacing w:beforeLines="0" w:afterLines="0" w:line="400" w:lineRule="exact"/>
        <w:rPr>
          <w:rFonts w:hint="default"/>
          <w:color w:val="auto"/>
          <w:sz w:val="21"/>
          <w:szCs w:val="24"/>
        </w:rPr>
      </w:pPr>
    </w:p>
    <w:tbl>
      <w:tblPr>
        <w:tblStyle w:val="7"/>
        <w:tblW w:w="545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1"/>
        <w:gridCol w:w="4534"/>
        <w:gridCol w:w="45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noWrap w:val="0"/>
            <w:vAlign w:val="center"/>
          </w:tcPr>
          <w:p>
            <w:pPr>
              <w:spacing w:line="340" w:lineRule="exact"/>
              <w:jc w:val="center"/>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序号</w:t>
            </w:r>
          </w:p>
        </w:tc>
        <w:tc>
          <w:tcPr>
            <w:tcW w:w="2292" w:type="pct"/>
            <w:tcBorders>
              <w:top w:val="single" w:color="auto" w:sz="6" w:space="0"/>
              <w:left w:val="single" w:color="auto" w:sz="6" w:space="0"/>
              <w:bottom w:val="single" w:color="auto" w:sz="6" w:space="0"/>
              <w:right w:val="single" w:color="auto" w:sz="6" w:space="0"/>
              <w:tl2br w:val="nil"/>
              <w:tr2bl w:val="nil"/>
            </w:tcBorders>
            <w:noWrap w:val="0"/>
            <w:vAlign w:val="center"/>
          </w:tcPr>
          <w:p>
            <w:pPr>
              <w:spacing w:line="340" w:lineRule="exact"/>
              <w:jc w:val="center"/>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机构名称</w:t>
            </w:r>
          </w:p>
        </w:tc>
        <w:tc>
          <w:tcPr>
            <w:tcW w:w="2286" w:type="pct"/>
            <w:tcBorders>
              <w:top w:val="single" w:color="auto" w:sz="6" w:space="0"/>
              <w:left w:val="single" w:color="auto" w:sz="6" w:space="0"/>
              <w:bottom w:val="single" w:color="auto" w:sz="6" w:space="0"/>
              <w:right w:val="single" w:color="auto" w:sz="6" w:space="0"/>
              <w:tl2br w:val="nil"/>
              <w:tr2bl w:val="nil"/>
            </w:tcBorders>
            <w:noWrap w:val="0"/>
            <w:vAlign w:val="center"/>
          </w:tcPr>
          <w:p>
            <w:pPr>
              <w:spacing w:line="340" w:lineRule="exact"/>
              <w:jc w:val="center"/>
              <w:rPr>
                <w:rFonts w:hint="eastAsia" w:ascii="黑体" w:hAnsi="黑体" w:eastAsia="黑体" w:cs="黑体"/>
                <w:b w:val="0"/>
                <w:bCs/>
                <w:color w:val="auto"/>
                <w:sz w:val="28"/>
                <w:szCs w:val="28"/>
              </w:rPr>
            </w:pPr>
            <w:r>
              <w:rPr>
                <w:rFonts w:hint="eastAsia" w:ascii="黑体" w:hAnsi="黑体" w:eastAsia="黑体" w:cs="黑体"/>
                <w:b w:val="0"/>
                <w:bCs/>
                <w:color w:val="auto"/>
                <w:sz w:val="28"/>
                <w:szCs w:val="28"/>
              </w:rPr>
              <w:t>平台名称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北京爱迪科森教育科技股份有限公司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爱迪学堂云学院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2</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北京创联教育投资有限公司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创联职培云（广东）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3</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北京东大正保科技有限公司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正保职业技能培训平台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4</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北京华普亿方科技集团股份有限公司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华普亿方互联网+创就业培训服务平台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5</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北京课通天下教育科技有限公司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课通天下OMO智能学习平台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6</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北京伟东凌鸿教育科技有限公司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伟东云数字化人才发展平台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7</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北京一维大成科技有限公司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一维科技职业培训云平台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8</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广东省瀚文职业培训学院</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瀚文学院云平台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9</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广东省继续教育协会</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广东互联网+职业技能培训网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10</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广东省新南方职业培训学院</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新南方云学堂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11</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广州技行信息技术科技有限公司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东培学堂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12</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平安国际智慧城市科技股份有限公司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平安知鸟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13</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广州市建设职业培训学校</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南方城乡建设教育平台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14</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广州市杰优信息科技有限公司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杰优宝在线学习平台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15</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广州亿知林网络科技有限公司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互联网+广州职业技能培训网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rPr>
            </w:pPr>
            <w:r>
              <w:rPr>
                <w:rFonts w:hint="default" w:ascii="Times New Roman" w:hAnsi="Times New Roman" w:eastAsia="仿宋_GB2312" w:cs="Times New Roman"/>
                <w:color w:val="auto"/>
                <w:sz w:val="24"/>
                <w:szCs w:val="24"/>
              </w:rPr>
              <w:t>16</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广州远程教育中心有限公司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职工教育职业技能线上培训平台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default" w:ascii="Times New Roman" w:hAnsi="Times New Roman" w:eastAsia="仿宋_GB2312" w:cs="Times New Roman"/>
                <w:color w:val="auto"/>
                <w:sz w:val="24"/>
                <w:szCs w:val="24"/>
                <w:lang w:val="en-US" w:eastAsia="zh-CN"/>
              </w:rPr>
            </w:pPr>
            <w:r>
              <w:rPr>
                <w:rFonts w:hint="default" w:ascii="Times New Roman" w:hAnsi="Times New Roman" w:eastAsia="仿宋_GB2312" w:cs="Times New Roman"/>
                <w:color w:val="auto"/>
                <w:sz w:val="24"/>
                <w:szCs w:val="24"/>
                <w:lang w:val="en-US" w:eastAsia="zh-CN"/>
              </w:rPr>
              <w:t>17</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上海君睿信息技术有限公司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君睿在线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20"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lang w:val="en-US" w:eastAsia="zh-CN"/>
              </w:rPr>
            </w:pPr>
            <w:r>
              <w:rPr>
                <w:rFonts w:hint="default" w:ascii="Times New Roman" w:hAnsi="Times New Roman" w:eastAsia="仿宋_GB2312" w:cs="Times New Roman"/>
                <w:color w:val="auto"/>
                <w:sz w:val="24"/>
                <w:szCs w:val="24"/>
                <w:lang w:val="en-US" w:eastAsia="zh-CN"/>
              </w:rPr>
              <w:t>18</w:t>
            </w:r>
          </w:p>
        </w:tc>
        <w:tc>
          <w:tcPr>
            <w:tcW w:w="2292"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深圳十方融海科技有限公司</w:t>
            </w:r>
          </w:p>
        </w:tc>
        <w:tc>
          <w:tcPr>
            <w:tcW w:w="2286" w:type="pct"/>
            <w:tcBorders>
              <w:top w:val="single" w:color="auto" w:sz="6" w:space="0"/>
              <w:left w:val="single" w:color="auto" w:sz="6" w:space="0"/>
              <w:bottom w:val="single" w:color="auto" w:sz="6" w:space="0"/>
              <w:right w:val="single" w:color="auto" w:sz="6" w:space="0"/>
              <w:tl2br w:val="nil"/>
              <w:tr2bl w:val="nil"/>
            </w:tcBorders>
            <w:shd w:val="solid" w:color="FFFFFF" w:fill="auto"/>
            <w:noWrap w:val="0"/>
            <w:vAlign w:val="center"/>
          </w:tcPr>
          <w:p>
            <w:pPr>
              <w:spacing w:line="340" w:lineRule="exact"/>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DGclass数字技能课程平台</w:t>
            </w:r>
          </w:p>
        </w:tc>
      </w:tr>
    </w:tbl>
    <w:p>
      <w:pPr>
        <w:keepNext w:val="0"/>
        <w:keepLines w:val="0"/>
        <w:pageBreakBefore w:val="0"/>
        <w:widowControl/>
        <w:kinsoku/>
        <w:wordWrap/>
        <w:overflowPunct/>
        <w:topLinePunct w:val="0"/>
        <w:autoSpaceDE/>
        <w:autoSpaceDN/>
        <w:bidi w:val="0"/>
        <w:adjustRightInd/>
        <w:snapToGrid/>
        <w:spacing w:beforeLines="0" w:afterLines="0" w:line="240" w:lineRule="auto"/>
        <w:ind w:left="0" w:firstLine="0" w:firstLineChars="0"/>
        <w:jc w:val="left"/>
        <w:textAlignment w:val="auto"/>
        <w:rPr>
          <w:rFonts w:hint="eastAsia" w:ascii="Times New Roman" w:hAnsi="Times New Roman" w:eastAsia="仿宋_GB2312"/>
          <w:color w:val="auto"/>
          <w:sz w:val="32"/>
          <w:szCs w:val="32"/>
          <w:lang w:eastAsia="zh-CN"/>
        </w:rPr>
      </w:pPr>
      <w:r>
        <w:rPr>
          <w:rFonts w:hint="eastAsia" w:ascii="仿宋_GB2312" w:hAnsi="仿宋_GB2312" w:eastAsia="仿宋_GB2312" w:cs="仿宋_GB2312"/>
          <w:color w:val="auto"/>
          <w:sz w:val="24"/>
          <w:szCs w:val="24"/>
          <w:lang w:eastAsia="zh-CN"/>
        </w:rPr>
        <w:t>来源：广东省人社厅关于推荐首批职业技能培训线上平台机构的通知</w:t>
      </w:r>
    </w:p>
    <w:sectPr>
      <w:footerReference r:id="rId3" w:type="default"/>
      <w:footerReference r:id="rId4" w:type="even"/>
      <w:pgSz w:w="11906" w:h="16838"/>
      <w:pgMar w:top="2098" w:right="1531" w:bottom="1984" w:left="1531" w:header="851" w:footer="1701"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wordWrap w:val="0"/>
      <w:jc w:val="right"/>
      <w:rPr>
        <w:rFonts w:hint="default"/>
        <w:lang w:val="en-US"/>
      </w:rPr>
    </w:pPr>
    <w:r>
      <w:rPr>
        <w:rFonts w:ascii="Times New Roman" w:hAnsi="Times New Roman"/>
        <w:sz w:val="28"/>
        <w:szCs w:val="28"/>
      </w:rPr>
      <w:t>—</w:t>
    </w:r>
    <w:r>
      <w:rPr>
        <w:rFonts w:ascii="Times New Roman" w:hAnsi="Times New Roman"/>
        <w:spacing w:val="-28"/>
        <w:sz w:val="28"/>
        <w:szCs w:val="28"/>
      </w:rPr>
      <w:t xml:space="preserve">  </w:t>
    </w:r>
    <w:r>
      <w:rPr>
        <w:rFonts w:hint="default" w:ascii="Times New Roman" w:hAnsi="Times New Roman" w:cs="Times New Roman"/>
        <w:spacing w:val="-28"/>
        <w:sz w:val="28"/>
        <w:szCs w:val="28"/>
      </w:rPr>
      <w:fldChar w:fldCharType="begin"/>
    </w:r>
    <w:r>
      <w:rPr>
        <w:rFonts w:hint="default" w:ascii="Times New Roman" w:hAnsi="Times New Roman" w:cs="Times New Roman"/>
        <w:spacing w:val="-28"/>
        <w:sz w:val="28"/>
        <w:szCs w:val="28"/>
      </w:rPr>
      <w:instrText xml:space="preserve"> PAGE   \* MERGEFORMAT </w:instrText>
    </w:r>
    <w:r>
      <w:rPr>
        <w:rFonts w:hint="default" w:ascii="Times New Roman" w:hAnsi="Times New Roman" w:cs="Times New Roman"/>
        <w:spacing w:val="-28"/>
        <w:sz w:val="28"/>
        <w:szCs w:val="28"/>
      </w:rPr>
      <w:fldChar w:fldCharType="separate"/>
    </w:r>
    <w:r>
      <w:rPr>
        <w:rFonts w:hint="default" w:ascii="Times New Roman" w:hAnsi="Times New Roman" w:cs="Times New Roman"/>
        <w:spacing w:val="-28"/>
        <w:sz w:val="28"/>
        <w:szCs w:val="28"/>
        <w:lang w:val="zh-CN"/>
      </w:rPr>
      <w:t>1</w:t>
    </w:r>
    <w:r>
      <w:rPr>
        <w:rFonts w:hint="default" w:ascii="Times New Roman" w:hAnsi="Times New Roman" w:cs="Times New Roman"/>
        <w:spacing w:val="-28"/>
        <w:sz w:val="28"/>
        <w:szCs w:val="28"/>
      </w:rPr>
      <w:fldChar w:fldCharType="end"/>
    </w:r>
    <w:r>
      <w:rPr>
        <w:rFonts w:ascii="Times New Roman" w:hAnsi="Times New Roman"/>
        <w:spacing w:val="-28"/>
        <w:sz w:val="28"/>
        <w:szCs w:val="28"/>
      </w:rPr>
      <w:t xml:space="preserve">  </w:t>
    </w:r>
    <w:r>
      <w:rPr>
        <w:rFonts w:ascii="Times New Roman" w:hAnsi="Times New Roman"/>
        <w:sz w:val="28"/>
        <w:szCs w:val="28"/>
      </w:rPr>
      <w:t>—</w:t>
    </w:r>
    <w:r>
      <w:rPr>
        <w:rFonts w:hint="default" w:ascii="Times New Roman" w:hAnsi="Times New Roman"/>
        <w:sz w:val="28"/>
        <w:szCs w:val="28"/>
        <w:lang w:val="en-U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280" w:firstLineChars="100"/>
    </w:pPr>
    <w:r>
      <w:rPr>
        <w:rFonts w:ascii="Times New Roman" w:hAnsi="Times New Roman"/>
        <w:sz w:val="28"/>
        <w:szCs w:val="28"/>
      </w:rPr>
      <w:t>—</w:t>
    </w:r>
    <w:r>
      <w:rPr>
        <w:rFonts w:ascii="Times New Roman" w:hAnsi="Times New Roman"/>
        <w:spacing w:val="-28"/>
        <w:sz w:val="28"/>
        <w:szCs w:val="28"/>
      </w:rPr>
      <w:t xml:space="preserve">  </w:t>
    </w:r>
    <w:r>
      <w:rPr>
        <w:rFonts w:hint="default" w:ascii="Times New Roman" w:hAnsi="Times New Roman" w:cs="Times New Roman"/>
        <w:spacing w:val="-28"/>
        <w:sz w:val="28"/>
        <w:szCs w:val="28"/>
      </w:rPr>
      <w:fldChar w:fldCharType="begin"/>
    </w:r>
    <w:r>
      <w:rPr>
        <w:rFonts w:hint="default" w:ascii="Times New Roman" w:hAnsi="Times New Roman" w:cs="Times New Roman"/>
        <w:spacing w:val="-28"/>
        <w:sz w:val="28"/>
        <w:szCs w:val="28"/>
      </w:rPr>
      <w:instrText xml:space="preserve"> PAGE   \* MERGEFORMAT </w:instrText>
    </w:r>
    <w:r>
      <w:rPr>
        <w:rFonts w:hint="default" w:ascii="Times New Roman" w:hAnsi="Times New Roman" w:cs="Times New Roman"/>
        <w:spacing w:val="-28"/>
        <w:sz w:val="28"/>
        <w:szCs w:val="28"/>
      </w:rPr>
      <w:fldChar w:fldCharType="separate"/>
    </w:r>
    <w:r>
      <w:rPr>
        <w:rFonts w:hint="default" w:ascii="Times New Roman" w:hAnsi="Times New Roman" w:cs="Times New Roman"/>
        <w:spacing w:val="-28"/>
        <w:sz w:val="28"/>
        <w:szCs w:val="28"/>
        <w:lang w:val="zh-CN"/>
      </w:rPr>
      <w:t>1</w:t>
    </w:r>
    <w:r>
      <w:rPr>
        <w:rFonts w:hint="default" w:ascii="Times New Roman" w:hAnsi="Times New Roman" w:cs="Times New Roman"/>
        <w:spacing w:val="-28"/>
        <w:sz w:val="28"/>
        <w:szCs w:val="28"/>
      </w:rPr>
      <w:fldChar w:fldCharType="end"/>
    </w:r>
    <w:r>
      <w:rPr>
        <w:rFonts w:ascii="Times New Roman" w:hAnsi="Times New Roman"/>
        <w:spacing w:val="-28"/>
        <w:sz w:val="28"/>
        <w:szCs w:val="28"/>
      </w:rPr>
      <w:t xml:space="preserve">  </w:t>
    </w:r>
    <w:r>
      <w:rPr>
        <w:rFonts w:ascii="Times New Roman" w:hAnsi="Times New Roman"/>
        <w:sz w:val="28"/>
        <w:szCs w:val="28"/>
      </w:rPr>
      <w:t>—</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F5916F"/>
    <w:multiLevelType w:val="singleLevel"/>
    <w:tmpl w:val="3BF5916F"/>
    <w:lvl w:ilvl="0" w:tentative="0">
      <w:start w:val="5"/>
      <w:numFmt w:val="chineseCounting"/>
      <w:suff w:val="nothing"/>
      <w:lvlText w:val="（%1）"/>
      <w:lvlJc w:val="left"/>
      <w:rPr>
        <w:rFonts w:hint="eastAsia"/>
        <w:color w:val="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trackRevisions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5M2IzZGRiMDU4Nzc4NDk0ZjVlNjhiN2MwZDBkZDEifQ=="/>
  </w:docVars>
  <w:rsids>
    <w:rsidRoot w:val="00172A27"/>
    <w:rsid w:val="11A17653"/>
    <w:rsid w:val="1A4F434F"/>
    <w:rsid w:val="1F6152F6"/>
    <w:rsid w:val="2A1DCD6F"/>
    <w:rsid w:val="2FFF38E7"/>
    <w:rsid w:val="373E2203"/>
    <w:rsid w:val="3AF9666B"/>
    <w:rsid w:val="3BFCE4E1"/>
    <w:rsid w:val="3C146DAD"/>
    <w:rsid w:val="3EAF0629"/>
    <w:rsid w:val="3FDD9424"/>
    <w:rsid w:val="3FEF855D"/>
    <w:rsid w:val="46E9E42F"/>
    <w:rsid w:val="49FB31BE"/>
    <w:rsid w:val="4F6E3703"/>
    <w:rsid w:val="536202E9"/>
    <w:rsid w:val="5DB79E1E"/>
    <w:rsid w:val="5FDDF6C2"/>
    <w:rsid w:val="62D90A3C"/>
    <w:rsid w:val="67FB4C6E"/>
    <w:rsid w:val="6972580A"/>
    <w:rsid w:val="69BD4C13"/>
    <w:rsid w:val="6C7FADCC"/>
    <w:rsid w:val="74744A68"/>
    <w:rsid w:val="75979B59"/>
    <w:rsid w:val="777AFACB"/>
    <w:rsid w:val="777F4D82"/>
    <w:rsid w:val="7880578A"/>
    <w:rsid w:val="7AB6597A"/>
    <w:rsid w:val="7AFF55FF"/>
    <w:rsid w:val="7E9FE8FB"/>
    <w:rsid w:val="7F5CF149"/>
    <w:rsid w:val="7FFE1483"/>
    <w:rsid w:val="8FFD8840"/>
    <w:rsid w:val="9AF60CB7"/>
    <w:rsid w:val="9B7BDFE8"/>
    <w:rsid w:val="AFD5417F"/>
    <w:rsid w:val="B465EA02"/>
    <w:rsid w:val="D875E752"/>
    <w:rsid w:val="DFDB4B04"/>
    <w:rsid w:val="EF9F4184"/>
    <w:rsid w:val="EFE512DD"/>
    <w:rsid w:val="F0F94096"/>
    <w:rsid w:val="F3E2C7F8"/>
    <w:rsid w:val="FFEA0084"/>
    <w:rsid w:val="FFFBB9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beforeLines="0" w:after="120" w:afterLines="0"/>
    </w:pPr>
    <w:rPr>
      <w:rFonts w:hint="default" w:eastAsia="仿宋_GB2312"/>
      <w:sz w:val="32"/>
      <w:szCs w:val="32"/>
    </w:rPr>
  </w:style>
  <w:style w:type="paragraph" w:styleId="3">
    <w:name w:val="Title"/>
    <w:basedOn w:val="1"/>
    <w:next w:val="1"/>
    <w:unhideWhenUsed/>
    <w:qFormat/>
    <w:uiPriority w:val="10"/>
    <w:pPr>
      <w:spacing w:before="240" w:beforeLines="0" w:after="60" w:afterLines="0"/>
      <w:jc w:val="center"/>
      <w:outlineLvl w:val="0"/>
    </w:pPr>
    <w:rPr>
      <w:rFonts w:hint="default" w:ascii="Cambria" w:hAnsi="Cambria"/>
      <w:b/>
      <w:sz w:val="32"/>
      <w:szCs w:val="32"/>
    </w:rPr>
  </w:style>
  <w:style w:type="paragraph" w:styleId="4">
    <w:name w:val="toc 5"/>
    <w:basedOn w:val="1"/>
    <w:next w:val="1"/>
    <w:unhideWhenUsed/>
    <w:qFormat/>
    <w:uiPriority w:val="39"/>
    <w:pPr>
      <w:spacing w:beforeLines="0" w:afterLines="0"/>
      <w:ind w:left="1680"/>
    </w:pPr>
    <w:rPr>
      <w:rFonts w:hint="default"/>
      <w:sz w:val="21"/>
      <w:szCs w:val="24"/>
    </w:rPr>
  </w:style>
  <w:style w:type="paragraph" w:styleId="5">
    <w:name w:val="footer"/>
    <w:basedOn w:val="1"/>
    <w:unhideWhenUsed/>
    <w:qFormat/>
    <w:uiPriority w:val="0"/>
    <w:pPr>
      <w:tabs>
        <w:tab w:val="center" w:pos="4153"/>
        <w:tab w:val="right" w:pos="8306"/>
      </w:tabs>
      <w:snapToGrid w:val="0"/>
      <w:spacing w:beforeLines="0" w:afterLines="0"/>
      <w:jc w:val="left"/>
    </w:pPr>
    <w:rPr>
      <w:rFonts w:hint="default"/>
      <w:sz w:val="18"/>
      <w:szCs w:val="24"/>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2026-01-22T02:00:00Z</dcterms:created>
  <dc:creator>范雨笛</dc:creator>
  <cp:lastModifiedBy>陆健茹</cp:lastModifiedBy>
  <dcterms:modified xsi:type="dcterms:W3CDTF">2026-02-09T07:28:02Z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30F6A3C9C3ED112C2EBD826915D04A9E</vt:lpwstr>
  </property>
</Properties>
</file>