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37" w:lineRule="auto"/>
        <w:ind w:right="733"/>
        <w:jc w:val="center"/>
        <w:rPr>
          <w:rFonts w:hint="eastAsia" w:ascii="方正小标宋简体" w:hAnsi="方正小标宋简体" w:eastAsia="方正小标宋简体" w:cs="方正小标宋简体"/>
        </w:rPr>
      </w:pPr>
    </w:p>
    <w:p>
      <w:pPr>
        <w:pStyle w:val="2"/>
        <w:spacing w:line="237" w:lineRule="auto"/>
        <w:ind w:right="733"/>
        <w:jc w:val="center"/>
        <w:rPr>
          <w:rFonts w:hint="eastAsia" w:ascii="方正小标宋简体" w:hAnsi="方正小标宋简体" w:eastAsia="方正小标宋简体" w:cs="方正小标宋简体"/>
        </w:rPr>
      </w:pPr>
    </w:p>
    <w:p>
      <w:pPr>
        <w:pStyle w:val="2"/>
        <w:spacing w:line="237" w:lineRule="auto"/>
        <w:ind w:right="733"/>
        <w:jc w:val="center"/>
        <w:rPr>
          <w:rFonts w:hint="eastAsia" w:ascii="方正小标宋简体" w:hAnsi="方正小标宋简体" w:eastAsia="方正小标宋简体" w:cs="方正小标宋简体"/>
        </w:rPr>
      </w:pPr>
    </w:p>
    <w:p>
      <w:pPr>
        <w:pStyle w:val="2"/>
        <w:spacing w:line="237" w:lineRule="auto"/>
        <w:ind w:right="733"/>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广东省商务厅关于印发《广东省境外经贸合作区考核办法》的通知</w:t>
      </w:r>
    </w:p>
    <w:p>
      <w:pPr>
        <w:pStyle w:val="3"/>
        <w:spacing w:before="10"/>
        <w:rPr>
          <w:rFonts w:ascii="宋体"/>
          <w:sz w:val="58"/>
        </w:rPr>
      </w:pPr>
    </w:p>
    <w:p>
      <w:pPr>
        <w:pStyle w:val="3"/>
        <w:ind w:left="111"/>
        <w:rPr>
          <w:rFonts w:hint="eastAsia" w:ascii="仿宋_GB2312" w:hAnsi="仿宋_GB2312" w:eastAsia="仿宋_GB2312" w:cs="仿宋_GB2312"/>
          <w:sz w:val="32"/>
          <w:szCs w:val="32"/>
        </w:rPr>
      </w:pPr>
      <w:r>
        <w:rPr>
          <w:rFonts w:hint="eastAsia" w:ascii="仿宋_GB2312" w:hAnsi="仿宋_GB2312" w:eastAsia="仿宋_GB2312" w:cs="仿宋_GB2312"/>
          <w:w w:val="99"/>
          <w:sz w:val="32"/>
          <w:szCs w:val="32"/>
        </w:rPr>
        <w:t>各地级以上市商务局，省属有关企业</w:t>
      </w:r>
      <w:r>
        <w:rPr>
          <w:rFonts w:hint="eastAsia" w:ascii="仿宋_GB2312" w:hAnsi="仿宋_GB2312" w:eastAsia="仿宋_GB2312" w:cs="仿宋_GB2312"/>
          <w:spacing w:val="2"/>
          <w:w w:val="99"/>
          <w:sz w:val="32"/>
          <w:szCs w:val="32"/>
        </w:rPr>
        <w:t>（</w:t>
      </w:r>
      <w:r>
        <w:rPr>
          <w:rFonts w:hint="eastAsia" w:ascii="仿宋_GB2312" w:hAnsi="仿宋_GB2312" w:eastAsia="仿宋_GB2312" w:cs="仿宋_GB2312"/>
          <w:w w:val="99"/>
          <w:sz w:val="32"/>
          <w:szCs w:val="32"/>
        </w:rPr>
        <w:t>集团</w:t>
      </w:r>
      <w:r>
        <w:rPr>
          <w:rFonts w:hint="eastAsia" w:ascii="仿宋_GB2312" w:hAnsi="仿宋_GB2312" w:eastAsia="仿宋_GB2312" w:cs="仿宋_GB2312"/>
          <w:spacing w:val="-159"/>
          <w:w w:val="99"/>
          <w:sz w:val="32"/>
          <w:szCs w:val="32"/>
        </w:rPr>
        <w:t>）</w:t>
      </w:r>
      <w:r>
        <w:rPr>
          <w:rFonts w:hint="eastAsia" w:ascii="仿宋_GB2312" w:hAnsi="仿宋_GB2312" w:eastAsia="仿宋_GB2312" w:cs="仿宋_GB2312"/>
          <w:w w:val="99"/>
          <w:sz w:val="32"/>
          <w:szCs w:val="32"/>
        </w:rPr>
        <w:t>：</w:t>
      </w:r>
    </w:p>
    <w:p>
      <w:pPr>
        <w:pStyle w:val="3"/>
        <w:spacing w:before="191" w:line="350" w:lineRule="auto"/>
        <w:ind w:left="111" w:right="268" w:firstLine="640"/>
        <w:jc w:val="both"/>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根据工作需要，我厅对《广东省商务厅关于广东省境外经济</w:t>
      </w:r>
      <w:r>
        <w:rPr>
          <w:rFonts w:hint="eastAsia" w:ascii="仿宋_GB2312" w:hAnsi="仿宋_GB2312" w:eastAsia="仿宋_GB2312" w:cs="仿宋_GB2312"/>
          <w:spacing w:val="-10"/>
          <w:sz w:val="32"/>
          <w:szCs w:val="32"/>
        </w:rPr>
        <w:t>贸易合作区考核的办法》</w:t>
      </w:r>
      <w:r>
        <w:rPr>
          <w:rFonts w:hint="eastAsia" w:ascii="仿宋_GB2312" w:hAnsi="仿宋_GB2312" w:eastAsia="仿宋_GB2312" w:cs="仿宋_GB2312"/>
          <w:spacing w:val="5"/>
          <w:sz w:val="32"/>
          <w:szCs w:val="32"/>
        </w:rPr>
        <w:t>（粤商务规字〔</w:t>
      </w:r>
      <w:r>
        <w:rPr>
          <w:rFonts w:hint="eastAsia" w:ascii="仿宋_GB2312" w:hAnsi="仿宋_GB2312" w:eastAsia="仿宋_GB2312" w:cs="仿宋_GB2312"/>
          <w:sz w:val="32"/>
          <w:szCs w:val="32"/>
        </w:rPr>
        <w:t>2021</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rPr>
        <w:t>1</w:t>
      </w:r>
      <w:r>
        <w:rPr>
          <w:rFonts w:hint="eastAsia" w:ascii="仿宋_GB2312" w:hAnsi="仿宋_GB2312" w:eastAsia="仿宋_GB2312" w:cs="仿宋_GB2312"/>
          <w:spacing w:val="-46"/>
          <w:sz w:val="32"/>
          <w:szCs w:val="32"/>
        </w:rPr>
        <w:t xml:space="preserve"> 号</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3"/>
          <w:sz w:val="32"/>
          <w:szCs w:val="32"/>
        </w:rPr>
        <w:t>进行了修</w:t>
      </w:r>
      <w:r>
        <w:rPr>
          <w:rFonts w:hint="eastAsia" w:ascii="仿宋_GB2312" w:hAnsi="仿宋_GB2312" w:eastAsia="仿宋_GB2312" w:cs="仿宋_GB2312"/>
          <w:spacing w:val="-11"/>
          <w:w w:val="95"/>
          <w:sz w:val="32"/>
          <w:szCs w:val="32"/>
        </w:rPr>
        <w:t xml:space="preserve">订。现将《广东省境外经贸合作区考核办法》印发给你们，请遵 </w:t>
      </w:r>
      <w:r>
        <w:rPr>
          <w:rFonts w:hint="eastAsia" w:ascii="仿宋_GB2312" w:hAnsi="仿宋_GB2312" w:eastAsia="仿宋_GB2312" w:cs="仿宋_GB2312"/>
          <w:spacing w:val="-11"/>
          <w:sz w:val="32"/>
          <w:szCs w:val="32"/>
        </w:rPr>
        <w:t>照执行。执行过程中如有问题，请及时向我厅反映。</w:t>
      </w:r>
    </w:p>
    <w:p>
      <w:pPr>
        <w:pStyle w:val="3"/>
        <w:spacing w:before="191" w:line="350" w:lineRule="auto"/>
        <w:ind w:left="111" w:right="268" w:firstLine="640"/>
        <w:jc w:val="both"/>
        <w:rPr>
          <w:rFonts w:hint="eastAsia" w:ascii="仿宋_GB2312" w:hAnsi="仿宋_GB2312" w:eastAsia="仿宋_GB2312" w:cs="仿宋_GB2312"/>
          <w:spacing w:val="-11"/>
          <w:sz w:val="32"/>
          <w:szCs w:val="32"/>
        </w:rPr>
      </w:pPr>
    </w:p>
    <w:p>
      <w:pPr>
        <w:pStyle w:val="3"/>
        <w:spacing w:before="191" w:line="350" w:lineRule="auto"/>
        <w:ind w:left="111" w:right="268" w:firstLine="640"/>
        <w:jc w:val="both"/>
        <w:rPr>
          <w:rFonts w:hint="eastAsia" w:ascii="仿宋_GB2312" w:hAnsi="仿宋_GB2312" w:eastAsia="仿宋_GB2312" w:cs="仿宋_GB2312"/>
          <w:spacing w:val="-11"/>
          <w:sz w:val="32"/>
          <w:szCs w:val="32"/>
        </w:rPr>
      </w:pPr>
    </w:p>
    <w:p>
      <w:pPr>
        <w:pStyle w:val="3"/>
        <w:spacing w:before="191" w:line="350" w:lineRule="auto"/>
        <w:ind w:left="111" w:right="268" w:firstLine="640"/>
        <w:jc w:val="both"/>
        <w:rPr>
          <w:rFonts w:hint="eastAsia" w:ascii="仿宋_GB2312" w:hAnsi="仿宋_GB2312" w:eastAsia="仿宋_GB2312" w:cs="仿宋_GB2312"/>
          <w:spacing w:val="-11"/>
          <w:sz w:val="32"/>
          <w:szCs w:val="32"/>
        </w:rPr>
      </w:pP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广东省商务厅</w:t>
      </w:r>
      <w:r>
        <w:rPr>
          <w:rFonts w:hint="eastAsia" w:cs="仿宋_GB2312"/>
          <w:sz w:val="32"/>
          <w:szCs w:val="32"/>
          <w:lang w:val="en-US" w:eastAsia="zh-CN"/>
        </w:rPr>
        <w:t xml:space="preserve"> </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2026年1月30日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主动公开</w:t>
      </w:r>
    </w:p>
    <w:p>
      <w:pPr>
        <w:pStyle w:val="2"/>
        <w:spacing w:before="41"/>
        <w:ind w:left="1453"/>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广东省境外经贸合作区考核办法</w:t>
      </w:r>
    </w:p>
    <w:p>
      <w:pPr>
        <w:pStyle w:val="3"/>
        <w:rPr>
          <w:rFonts w:ascii="宋体"/>
          <w:sz w:val="59"/>
        </w:rPr>
      </w:pPr>
    </w:p>
    <w:p>
      <w:pPr>
        <w:pStyle w:val="3"/>
        <w:tabs>
          <w:tab w:val="left" w:pos="1279"/>
        </w:tabs>
        <w:ind w:right="159"/>
        <w:jc w:val="center"/>
        <w:rPr>
          <w:rFonts w:hint="eastAsia" w:ascii="黑体" w:eastAsia="黑体"/>
        </w:rPr>
      </w:pPr>
      <w:r>
        <w:rPr>
          <w:rFonts w:hint="eastAsia" w:ascii="黑体" w:eastAsia="黑体"/>
        </w:rPr>
        <w:t>一、总</w:t>
      </w:r>
      <w:r>
        <w:rPr>
          <w:rFonts w:hint="eastAsia" w:ascii="黑体" w:eastAsia="黑体"/>
        </w:rPr>
        <w:tab/>
      </w:r>
      <w:r>
        <w:rPr>
          <w:rFonts w:hint="eastAsia" w:ascii="黑体" w:eastAsia="黑体"/>
        </w:rPr>
        <w:t>则</w:t>
      </w:r>
    </w:p>
    <w:p>
      <w:pPr>
        <w:pStyle w:val="3"/>
        <w:spacing w:before="191" w:line="350" w:lineRule="auto"/>
        <w:ind w:left="111" w:right="268" w:firstLine="640"/>
        <w:jc w:val="both"/>
      </w:pPr>
      <w:r>
        <w:rPr>
          <w:rFonts w:hint="eastAsia" w:ascii="楷体_GB2312" w:eastAsia="楷体_GB2312"/>
          <w:b/>
          <w:spacing w:val="37"/>
        </w:rPr>
        <w:t xml:space="preserve">第一条 </w:t>
      </w:r>
      <w:r>
        <w:rPr>
          <w:spacing w:val="-12"/>
        </w:rPr>
        <w:t>根据《商务部 财政部关于印发&lt;境外经济贸易合作</w:t>
      </w:r>
      <w:r>
        <w:rPr>
          <w:spacing w:val="-27"/>
        </w:rPr>
        <w:t>区考核办法&gt;的通知》</w:t>
      </w:r>
      <w:r>
        <w:t>（商合发〔2015〕296号）和商务部等部门</w:t>
      </w:r>
      <w:r>
        <w:rPr>
          <w:spacing w:val="-7"/>
        </w:rPr>
        <w:t>关于推进境外经贸合作区高质量发展要求，为积极稳妥推进我省</w:t>
      </w:r>
      <w:r>
        <w:rPr>
          <w:spacing w:val="-12"/>
          <w:w w:val="95"/>
        </w:rPr>
        <w:t>境外经贸合作区</w:t>
      </w:r>
      <w:r>
        <w:rPr>
          <w:w w:val="95"/>
        </w:rPr>
        <w:t>（以下简称合作区</w:t>
      </w:r>
      <w:r>
        <w:rPr>
          <w:spacing w:val="-39"/>
          <w:w w:val="95"/>
        </w:rPr>
        <w:t>）</w:t>
      </w:r>
      <w:r>
        <w:rPr>
          <w:spacing w:val="-6"/>
          <w:w w:val="95"/>
        </w:rPr>
        <w:t xml:space="preserve">建设，完善对合作区的服务 </w:t>
      </w:r>
      <w:r>
        <w:rPr>
          <w:spacing w:val="-6"/>
        </w:rPr>
        <w:t>和管理工作，促进合作区高质量发展，特制定本办法。</w:t>
      </w:r>
    </w:p>
    <w:p>
      <w:pPr>
        <w:pStyle w:val="3"/>
        <w:spacing w:before="7" w:line="350" w:lineRule="auto"/>
        <w:ind w:left="111" w:right="268" w:firstLine="640"/>
        <w:jc w:val="both"/>
      </w:pPr>
      <w:r>
        <w:rPr>
          <w:rFonts w:hint="eastAsia" w:ascii="楷体_GB2312" w:eastAsia="楷体_GB2312"/>
          <w:b/>
          <w:spacing w:val="37"/>
        </w:rPr>
        <w:t xml:space="preserve">第二条 </w:t>
      </w:r>
      <w:r>
        <w:rPr>
          <w:spacing w:val="-8"/>
        </w:rPr>
        <w:t>本办法所称合作区是指在我省注册、具有独立法人</w:t>
      </w:r>
      <w:r>
        <w:rPr>
          <w:spacing w:val="2"/>
          <w:w w:val="99"/>
        </w:rPr>
        <w:t>资格的中资控股企业（以下称实施企业</w:t>
      </w:r>
      <w:r>
        <w:rPr>
          <w:spacing w:val="-159"/>
          <w:w w:val="99"/>
        </w:rPr>
        <w:t>）</w:t>
      </w:r>
      <w:r>
        <w:rPr>
          <w:spacing w:val="1"/>
          <w:w w:val="99"/>
        </w:rPr>
        <w:t>，经商务部核准或我省</w:t>
      </w:r>
      <w:r>
        <w:rPr>
          <w:spacing w:val="-10"/>
        </w:rPr>
        <w:t>商务主管部门备案，通过在境外设立的中资控股的独立法人机构</w:t>
      </w:r>
    </w:p>
    <w:p>
      <w:pPr>
        <w:pStyle w:val="3"/>
        <w:spacing w:before="4" w:line="350" w:lineRule="auto"/>
        <w:ind w:left="111" w:right="271"/>
      </w:pPr>
      <w:r>
        <w:rPr>
          <w:spacing w:val="2"/>
          <w:w w:val="99"/>
        </w:rPr>
        <w:t>（以下称建区企业</w:t>
      </w:r>
      <w:r>
        <w:rPr>
          <w:spacing w:val="-159"/>
          <w:w w:val="99"/>
        </w:rPr>
        <w:t>）</w:t>
      </w:r>
      <w:r>
        <w:rPr>
          <w:spacing w:val="1"/>
          <w:w w:val="99"/>
        </w:rPr>
        <w:t>，投资建设的基础设施较为完善、主导产业</w:t>
      </w:r>
      <w:r>
        <w:rPr>
          <w:spacing w:val="1"/>
        </w:rPr>
        <w:t>明确，公共服务功能健全的产业园区。</w:t>
      </w:r>
    </w:p>
    <w:p>
      <w:pPr>
        <w:pStyle w:val="3"/>
        <w:spacing w:before="3" w:line="350" w:lineRule="auto"/>
        <w:ind w:left="111" w:right="268" w:firstLine="640"/>
        <w:jc w:val="both"/>
      </w:pPr>
      <w:r>
        <w:rPr>
          <w:rFonts w:hint="eastAsia" w:ascii="楷体_GB2312" w:eastAsia="楷体_GB2312"/>
          <w:b/>
          <w:spacing w:val="37"/>
        </w:rPr>
        <w:t xml:space="preserve">第三条 </w:t>
      </w:r>
      <w:r>
        <w:rPr>
          <w:spacing w:val="-7"/>
        </w:rPr>
        <w:t>合作区建设遵循共商共建共享和政府引导、企业主</w:t>
      </w:r>
      <w:r>
        <w:rPr>
          <w:spacing w:val="-12"/>
        </w:rPr>
        <w:t>导、市场化运作原则，充分发挥企业市场主体作用，坚持互利共赢、共同发展、注重实效、内外协同、稳妥慎重、有序推进。</w:t>
      </w:r>
    </w:p>
    <w:p>
      <w:pPr>
        <w:pStyle w:val="3"/>
        <w:spacing w:before="5" w:line="350" w:lineRule="auto"/>
        <w:ind w:left="111" w:right="271" w:firstLine="640"/>
        <w:jc w:val="both"/>
      </w:pPr>
      <w:r>
        <w:rPr>
          <w:rFonts w:hint="eastAsia" w:ascii="楷体_GB2312" w:eastAsia="楷体_GB2312"/>
          <w:b/>
          <w:spacing w:val="44"/>
        </w:rPr>
        <w:t xml:space="preserve">第四条 </w:t>
      </w:r>
      <w:r>
        <w:rPr>
          <w:spacing w:val="6"/>
        </w:rPr>
        <w:t>合作区应有利于我省产业链供应链合理有序跨境</w:t>
      </w:r>
      <w:r>
        <w:rPr>
          <w:spacing w:val="-10"/>
          <w:w w:val="95"/>
        </w:rPr>
        <w:t xml:space="preserve">布局、促进形成新发展格局，有利于发挥平台载体作用、实现贸 </w:t>
      </w:r>
      <w:r>
        <w:rPr>
          <w:spacing w:val="-14"/>
          <w:w w:val="95"/>
        </w:rPr>
        <w:t xml:space="preserve">易投资一体化，有利于开展技术合作、提升技术创新水平，有利 </w:t>
      </w:r>
      <w:r>
        <w:rPr>
          <w:spacing w:val="-14"/>
        </w:rPr>
        <w:t>于促进所在国经济社会发展、实现互利共赢。</w:t>
      </w:r>
    </w:p>
    <w:p>
      <w:pPr>
        <w:pStyle w:val="3"/>
        <w:tabs>
          <w:tab w:val="left" w:pos="2033"/>
        </w:tabs>
        <w:spacing w:before="6"/>
        <w:ind w:left="752"/>
      </w:pPr>
      <w:r>
        <w:rPr>
          <w:rFonts w:hint="eastAsia" w:ascii="楷体_GB2312" w:eastAsia="楷体_GB2312"/>
          <w:b/>
        </w:rPr>
        <w:t>第五条</w:t>
      </w:r>
      <w:r>
        <w:rPr>
          <w:rFonts w:hint="eastAsia" w:ascii="楷体_GB2312" w:eastAsia="楷体_GB2312"/>
          <w:b/>
        </w:rPr>
        <w:tab/>
      </w:r>
      <w:r>
        <w:t>本办法所称考核包括确认考核和年度考核</w:t>
      </w:r>
      <w:r>
        <w:rPr>
          <w:spacing w:val="-118"/>
        </w:rPr>
        <w:t>。</w:t>
      </w:r>
      <w:r>
        <w:t>确认考</w:t>
      </w:r>
    </w:p>
    <w:p>
      <w:pPr>
        <w:spacing w:after="0"/>
        <w:sectPr>
          <w:pgSz w:w="11910" w:h="16840"/>
          <w:pgMar w:top="1580" w:right="1260" w:bottom="1180" w:left="1420" w:header="0" w:footer="988" w:gutter="0"/>
          <w:cols w:space="720" w:num="1"/>
        </w:sectPr>
      </w:pPr>
    </w:p>
    <w:p>
      <w:pPr>
        <w:pStyle w:val="3"/>
        <w:spacing w:before="36" w:line="350" w:lineRule="auto"/>
        <w:ind w:left="111" w:right="268"/>
        <w:jc w:val="both"/>
      </w:pPr>
      <w:r>
        <w:rPr>
          <w:spacing w:val="6"/>
          <w:w w:val="95"/>
        </w:rPr>
        <w:t>核是指根据规定要求对合作区建设和运营成效是否符合确认条</w:t>
      </w:r>
      <w:r>
        <w:rPr>
          <w:w w:val="99"/>
        </w:rPr>
        <w:t>件</w:t>
      </w:r>
      <w:r>
        <w:rPr>
          <w:spacing w:val="-12"/>
          <w:w w:val="99"/>
        </w:rPr>
        <w:t>进行的认定</w:t>
      </w:r>
      <w:r>
        <w:rPr>
          <w:w w:val="99"/>
        </w:rPr>
        <w:t>（具体要求见附件</w:t>
      </w:r>
      <w:r>
        <w:rPr>
          <w:spacing w:val="1"/>
          <w:w w:val="99"/>
        </w:rPr>
        <w:t>1</w:t>
      </w:r>
      <w:r>
        <w:rPr>
          <w:spacing w:val="-159"/>
          <w:w w:val="99"/>
        </w:rPr>
        <w:t>）</w:t>
      </w:r>
      <w:r>
        <w:rPr>
          <w:spacing w:val="-7"/>
          <w:w w:val="99"/>
        </w:rPr>
        <w:t>；年度考核是指对合作区年度</w:t>
      </w:r>
      <w:r>
        <w:t>建设和运营效果进行的评审。</w:t>
      </w:r>
    </w:p>
    <w:p>
      <w:pPr>
        <w:pStyle w:val="3"/>
        <w:tabs>
          <w:tab w:val="left" w:pos="2074"/>
        </w:tabs>
        <w:spacing w:before="4" w:line="350" w:lineRule="auto"/>
        <w:ind w:left="111" w:right="153" w:firstLine="640"/>
      </w:pPr>
      <w:r>
        <w:rPr>
          <w:rFonts w:hint="eastAsia" w:ascii="楷体_GB2312" w:eastAsia="楷体_GB2312"/>
          <w:b/>
          <w:spacing w:val="9"/>
        </w:rPr>
        <w:t>第六</w:t>
      </w:r>
      <w:r>
        <w:rPr>
          <w:rFonts w:hint="eastAsia" w:ascii="楷体_GB2312" w:eastAsia="楷体_GB2312"/>
          <w:b/>
        </w:rPr>
        <w:t>条</w:t>
      </w:r>
      <w:r>
        <w:rPr>
          <w:rFonts w:hint="eastAsia" w:ascii="楷体_GB2312" w:eastAsia="楷体_GB2312"/>
          <w:b/>
        </w:rPr>
        <w:tab/>
      </w:r>
      <w:r>
        <w:rPr>
          <w:spacing w:val="9"/>
        </w:rPr>
        <w:t>省</w:t>
      </w:r>
      <w:r>
        <w:rPr>
          <w:spacing w:val="7"/>
        </w:rPr>
        <w:t>商</w:t>
      </w:r>
      <w:r>
        <w:rPr>
          <w:spacing w:val="9"/>
        </w:rPr>
        <w:t>务厅</w:t>
      </w:r>
      <w:r>
        <w:rPr>
          <w:spacing w:val="7"/>
        </w:rPr>
        <w:t>负</w:t>
      </w:r>
      <w:r>
        <w:rPr>
          <w:spacing w:val="9"/>
        </w:rPr>
        <w:t>责组</w:t>
      </w:r>
      <w:r>
        <w:rPr>
          <w:spacing w:val="7"/>
        </w:rPr>
        <w:t>织</w:t>
      </w:r>
      <w:r>
        <w:rPr>
          <w:spacing w:val="9"/>
        </w:rPr>
        <w:t>合作</w:t>
      </w:r>
      <w:r>
        <w:rPr>
          <w:spacing w:val="7"/>
        </w:rPr>
        <w:t>区</w:t>
      </w:r>
      <w:r>
        <w:rPr>
          <w:spacing w:val="9"/>
        </w:rPr>
        <w:t>确认</w:t>
      </w:r>
      <w:r>
        <w:rPr>
          <w:spacing w:val="7"/>
        </w:rPr>
        <w:t>考</w:t>
      </w:r>
      <w:r>
        <w:rPr>
          <w:spacing w:val="9"/>
        </w:rPr>
        <w:t>核和</w:t>
      </w:r>
      <w:r>
        <w:rPr>
          <w:spacing w:val="7"/>
        </w:rPr>
        <w:t>年</w:t>
      </w:r>
      <w:r>
        <w:rPr>
          <w:spacing w:val="9"/>
        </w:rPr>
        <w:t>度考</w:t>
      </w:r>
      <w:r>
        <w:rPr>
          <w:spacing w:val="7"/>
        </w:rPr>
        <w:t>核</w:t>
      </w:r>
      <w:r>
        <w:t>工作，根据实际工作需要对合作区确认考核和年度考核做出安排， 明确工作要求。</w:t>
      </w:r>
    </w:p>
    <w:p>
      <w:pPr>
        <w:pStyle w:val="3"/>
        <w:tabs>
          <w:tab w:val="left" w:pos="2074"/>
        </w:tabs>
        <w:spacing w:before="5"/>
        <w:ind w:left="752"/>
      </w:pPr>
      <w:r>
        <w:rPr>
          <w:rFonts w:hint="eastAsia" w:ascii="楷体_GB2312" w:eastAsia="楷体_GB2312"/>
          <w:b/>
          <w:spacing w:val="9"/>
        </w:rPr>
        <w:t>第七</w:t>
      </w:r>
      <w:r>
        <w:rPr>
          <w:rFonts w:hint="eastAsia" w:ascii="楷体_GB2312" w:eastAsia="楷体_GB2312"/>
          <w:b/>
        </w:rPr>
        <w:t>条</w:t>
      </w:r>
      <w:r>
        <w:rPr>
          <w:rFonts w:hint="eastAsia" w:ascii="楷体_GB2312" w:eastAsia="楷体_GB2312"/>
          <w:b/>
        </w:rPr>
        <w:tab/>
      </w:r>
      <w:r>
        <w:rPr>
          <w:spacing w:val="9"/>
        </w:rPr>
        <w:t>省</w:t>
      </w:r>
      <w:r>
        <w:rPr>
          <w:spacing w:val="7"/>
        </w:rPr>
        <w:t>商</w:t>
      </w:r>
      <w:r>
        <w:rPr>
          <w:spacing w:val="9"/>
        </w:rPr>
        <w:t>务厅</w:t>
      </w:r>
      <w:r>
        <w:rPr>
          <w:spacing w:val="7"/>
        </w:rPr>
        <w:t>向</w:t>
      </w:r>
      <w:r>
        <w:rPr>
          <w:spacing w:val="9"/>
        </w:rPr>
        <w:t>通过</w:t>
      </w:r>
      <w:r>
        <w:rPr>
          <w:spacing w:val="7"/>
        </w:rPr>
        <w:t>确</w:t>
      </w:r>
      <w:r>
        <w:rPr>
          <w:spacing w:val="9"/>
        </w:rPr>
        <w:t>认考</w:t>
      </w:r>
      <w:r>
        <w:rPr>
          <w:spacing w:val="7"/>
        </w:rPr>
        <w:t>核</w:t>
      </w:r>
      <w:r>
        <w:rPr>
          <w:spacing w:val="9"/>
        </w:rPr>
        <w:t>的合</w:t>
      </w:r>
      <w:r>
        <w:rPr>
          <w:spacing w:val="7"/>
        </w:rPr>
        <w:t>作</w:t>
      </w:r>
      <w:r>
        <w:rPr>
          <w:spacing w:val="9"/>
        </w:rPr>
        <w:t>区实</w:t>
      </w:r>
      <w:r>
        <w:rPr>
          <w:spacing w:val="7"/>
        </w:rPr>
        <w:t>施</w:t>
      </w:r>
      <w:r>
        <w:rPr>
          <w:spacing w:val="9"/>
        </w:rPr>
        <w:t>企业</w:t>
      </w:r>
      <w:r>
        <w:rPr>
          <w:spacing w:val="7"/>
        </w:rPr>
        <w:t>颁</w:t>
      </w:r>
      <w:r>
        <w:t>发</w:t>
      </w:r>
    </w:p>
    <w:p>
      <w:pPr>
        <w:pStyle w:val="3"/>
        <w:spacing w:before="190" w:line="350" w:lineRule="auto"/>
        <w:ind w:left="111" w:right="268"/>
        <w:jc w:val="both"/>
      </w:pPr>
      <w:r>
        <w:rPr>
          <w:spacing w:val="-8"/>
          <w:w w:val="99"/>
        </w:rPr>
        <w:t>《广东省省级境外经贸合作区确认函》</w:t>
      </w:r>
      <w:r>
        <w:rPr>
          <w:spacing w:val="2"/>
          <w:w w:val="99"/>
        </w:rPr>
        <w:t>（见附件</w:t>
      </w:r>
      <w:r>
        <w:rPr>
          <w:spacing w:val="1"/>
          <w:w w:val="99"/>
        </w:rPr>
        <w:t>3</w:t>
      </w:r>
      <w:r>
        <w:rPr>
          <w:spacing w:val="-156"/>
          <w:w w:val="99"/>
        </w:rPr>
        <w:t>）</w:t>
      </w:r>
      <w:r>
        <w:rPr>
          <w:spacing w:val="1"/>
          <w:w w:val="99"/>
        </w:rPr>
        <w:t>。合作区通过</w:t>
      </w:r>
      <w:r>
        <w:rPr>
          <w:spacing w:val="1"/>
        </w:rPr>
        <w:t>确认考核后，可申请年度考核。</w:t>
      </w:r>
    </w:p>
    <w:p>
      <w:pPr>
        <w:pStyle w:val="3"/>
        <w:tabs>
          <w:tab w:val="left" w:pos="2033"/>
        </w:tabs>
        <w:spacing w:before="3" w:line="350" w:lineRule="auto"/>
        <w:ind w:left="111" w:right="268" w:firstLine="640"/>
      </w:pPr>
      <w:r>
        <w:rPr>
          <w:rFonts w:hint="eastAsia" w:ascii="楷体_GB2312" w:eastAsia="楷体_GB2312"/>
          <w:b/>
        </w:rPr>
        <w:t>第八条</w:t>
      </w:r>
      <w:r>
        <w:rPr>
          <w:rFonts w:hint="eastAsia" w:ascii="楷体_GB2312" w:eastAsia="楷体_GB2312"/>
          <w:b/>
        </w:rPr>
        <w:tab/>
      </w:r>
      <w:r>
        <w:t>各地级以上市人民政府可利用自身优势和资源</w:t>
      </w:r>
      <w:r>
        <w:rPr>
          <w:spacing w:val="-118"/>
        </w:rPr>
        <w:t>，</w:t>
      </w:r>
      <w:r>
        <w:t>支持本市企业进行合作区建设，为合作区发展创造条件。</w:t>
      </w:r>
    </w:p>
    <w:p>
      <w:pPr>
        <w:pStyle w:val="3"/>
        <w:spacing w:before="1"/>
        <w:rPr>
          <w:sz w:val="47"/>
        </w:rPr>
      </w:pPr>
    </w:p>
    <w:p>
      <w:pPr>
        <w:pStyle w:val="3"/>
        <w:ind w:left="3572"/>
        <w:rPr>
          <w:rFonts w:hint="eastAsia" w:ascii="黑体" w:eastAsia="黑体"/>
        </w:rPr>
      </w:pPr>
      <w:r>
        <w:rPr>
          <w:rFonts w:hint="eastAsia" w:ascii="黑体" w:eastAsia="黑体"/>
        </w:rPr>
        <w:t>二、确认考核</w:t>
      </w:r>
    </w:p>
    <w:p>
      <w:pPr>
        <w:pStyle w:val="3"/>
        <w:spacing w:before="190" w:line="350" w:lineRule="auto"/>
        <w:ind w:left="111" w:right="268" w:firstLine="640"/>
        <w:jc w:val="both"/>
      </w:pPr>
      <w:r>
        <w:rPr>
          <w:rFonts w:hint="eastAsia" w:ascii="楷体_GB2312" w:eastAsia="楷体_GB2312"/>
          <w:b/>
          <w:spacing w:val="38"/>
        </w:rPr>
        <w:t xml:space="preserve">第九条 </w:t>
      </w:r>
      <w:r>
        <w:rPr>
          <w:spacing w:val="-8"/>
        </w:rPr>
        <w:t>合作区实施企业应有较强的投融资、资源整合和抗</w:t>
      </w:r>
      <w:r>
        <w:rPr>
          <w:spacing w:val="-13"/>
        </w:rPr>
        <w:t>风险能力；在境外投资建设合作区，要遵守所在国法律法规及风</w:t>
      </w:r>
      <w:r>
        <w:rPr>
          <w:spacing w:val="-14"/>
        </w:rPr>
        <w:t>俗习惯，加强知识产权保护，注重环境保护，履行相应的社会责任；制定合作区总体规划，并按照规划进行建设。</w:t>
      </w:r>
    </w:p>
    <w:p>
      <w:pPr>
        <w:pStyle w:val="3"/>
        <w:tabs>
          <w:tab w:val="left" w:pos="2038"/>
        </w:tabs>
        <w:spacing w:before="6"/>
        <w:ind w:left="752"/>
      </w:pPr>
      <w:r>
        <w:rPr>
          <w:rFonts w:hint="eastAsia" w:ascii="楷体_GB2312" w:eastAsia="楷体_GB2312"/>
          <w:b/>
        </w:rPr>
        <w:t>第十条</w:t>
      </w:r>
      <w:r>
        <w:rPr>
          <w:rFonts w:hint="eastAsia" w:ascii="楷体_GB2312" w:eastAsia="楷体_GB2312"/>
          <w:b/>
        </w:rPr>
        <w:tab/>
      </w:r>
      <w:r>
        <w:t>申请确认考核的合作区需具备的基本条件</w:t>
      </w:r>
    </w:p>
    <w:p>
      <w:pPr>
        <w:pStyle w:val="3"/>
        <w:spacing w:before="190" w:line="350" w:lineRule="auto"/>
        <w:ind w:left="111" w:right="271" w:firstLine="640"/>
      </w:pPr>
      <w:r>
        <w:rPr>
          <w:w w:val="95"/>
        </w:rPr>
        <w:t>（一</w:t>
      </w:r>
      <w:r>
        <w:rPr>
          <w:spacing w:val="-39"/>
          <w:w w:val="95"/>
        </w:rPr>
        <w:t>）</w:t>
      </w:r>
      <w:r>
        <w:rPr>
          <w:spacing w:val="-8"/>
          <w:w w:val="95"/>
        </w:rPr>
        <w:t xml:space="preserve">所在国政局稳定，双边关系友好，已与我国签署与投 </w:t>
      </w:r>
      <w:r>
        <w:rPr>
          <w:spacing w:val="-8"/>
        </w:rPr>
        <w:t>资、合作相关的政府间协议或双边规划等文件；</w:t>
      </w:r>
    </w:p>
    <w:p>
      <w:pPr>
        <w:pStyle w:val="3"/>
        <w:spacing w:before="3" w:line="350" w:lineRule="auto"/>
        <w:ind w:left="111" w:right="153" w:firstLine="640"/>
      </w:pPr>
      <w:r>
        <w:t>（二）实施企业在境内完成了对外投资备案（核准）手续， 并在境外完成了相关登记注册手续；</w:t>
      </w:r>
    </w:p>
    <w:p>
      <w:pPr>
        <w:pStyle w:val="3"/>
        <w:spacing w:before="3"/>
        <w:ind w:left="752"/>
      </w:pPr>
      <w:r>
        <w:t>（三</w:t>
      </w:r>
      <w:r>
        <w:rPr>
          <w:spacing w:val="-58"/>
        </w:rPr>
        <w:t>）</w:t>
      </w:r>
      <w:r>
        <w:rPr>
          <w:spacing w:val="-3"/>
        </w:rPr>
        <w:t>合作区建设要符合国家对合作区建设发展的国别、产</w:t>
      </w:r>
    </w:p>
    <w:p>
      <w:pPr>
        <w:spacing w:after="0"/>
        <w:sectPr>
          <w:pgSz w:w="11910" w:h="16840"/>
          <w:pgMar w:top="1520" w:right="1260" w:bottom="1180" w:left="1420" w:header="0" w:footer="988" w:gutter="0"/>
          <w:cols w:space="720" w:num="1"/>
        </w:sectPr>
      </w:pPr>
    </w:p>
    <w:p>
      <w:pPr>
        <w:pStyle w:val="3"/>
        <w:spacing w:before="36"/>
        <w:ind w:left="111"/>
      </w:pPr>
      <w:r>
        <w:t>业总体布局要求；</w:t>
      </w:r>
    </w:p>
    <w:p>
      <w:pPr>
        <w:pStyle w:val="3"/>
        <w:spacing w:before="190" w:line="350" w:lineRule="auto"/>
        <w:ind w:left="111" w:right="271" w:firstLine="640"/>
      </w:pPr>
      <w:r>
        <w:rPr>
          <w:w w:val="95"/>
        </w:rPr>
        <w:t>（四</w:t>
      </w:r>
      <w:r>
        <w:rPr>
          <w:spacing w:val="-39"/>
          <w:w w:val="95"/>
        </w:rPr>
        <w:t>）</w:t>
      </w:r>
      <w:r>
        <w:rPr>
          <w:spacing w:val="-5"/>
          <w:w w:val="95"/>
        </w:rPr>
        <w:t xml:space="preserve">合作区开发土地法律手续齐全，产业定位明确，总体 </w:t>
      </w:r>
      <w:r>
        <w:rPr>
          <w:spacing w:val="-5"/>
        </w:rPr>
        <w:t>规划清晰，并已根据规划内容开始实施；</w:t>
      </w:r>
    </w:p>
    <w:p>
      <w:pPr>
        <w:pStyle w:val="3"/>
        <w:spacing w:before="3" w:line="350" w:lineRule="auto"/>
        <w:ind w:left="111" w:right="268" w:firstLine="640"/>
      </w:pPr>
      <w:r>
        <w:rPr>
          <w:spacing w:val="9"/>
          <w:w w:val="95"/>
        </w:rPr>
        <w:t>（五</w:t>
      </w:r>
      <w:r>
        <w:rPr>
          <w:spacing w:val="7"/>
          <w:w w:val="95"/>
        </w:rPr>
        <w:t>）</w:t>
      </w:r>
      <w:r>
        <w:rPr>
          <w:spacing w:val="6"/>
          <w:w w:val="95"/>
        </w:rPr>
        <w:t xml:space="preserve">合作区基础设施和配套能力已满足产业发展基本需 </w:t>
      </w:r>
      <w:r>
        <w:rPr>
          <w:spacing w:val="6"/>
        </w:rPr>
        <w:t>要，已建立相应的合作区运营管理机制和机构</w:t>
      </w:r>
    </w:p>
    <w:p>
      <w:pPr>
        <w:pStyle w:val="3"/>
        <w:spacing w:before="3"/>
        <w:ind w:left="752"/>
      </w:pPr>
      <w:r>
        <w:t>（六）已制订合作区风险防范办法和突发事件应急预案；</w:t>
      </w:r>
    </w:p>
    <w:p>
      <w:pPr>
        <w:pStyle w:val="3"/>
        <w:spacing w:before="190"/>
        <w:ind w:left="752"/>
      </w:pPr>
      <w:r>
        <w:t>（七）符合附件1规定的其他要求。</w:t>
      </w:r>
    </w:p>
    <w:p>
      <w:pPr>
        <w:pStyle w:val="3"/>
        <w:spacing w:before="190" w:line="350" w:lineRule="auto"/>
        <w:ind w:left="111" w:right="268" w:firstLine="640"/>
        <w:jc w:val="both"/>
      </w:pPr>
      <w:r>
        <w:rPr>
          <w:rFonts w:hint="eastAsia" w:ascii="楷体_GB2312" w:eastAsia="楷体_GB2312"/>
          <w:b/>
          <w:spacing w:val="29"/>
        </w:rPr>
        <w:t xml:space="preserve">第十一条 </w:t>
      </w:r>
      <w:r>
        <w:rPr>
          <w:spacing w:val="-8"/>
        </w:rPr>
        <w:t>由合作区实施企业提出确认考核申请。企业通过</w:t>
      </w:r>
      <w:r>
        <w:rPr>
          <w:spacing w:val="-14"/>
        </w:rPr>
        <w:t>所在地地级以上市商务局向省商务厅提出申请；省属企业直接向</w:t>
      </w:r>
      <w:r>
        <w:rPr>
          <w:spacing w:val="-31"/>
        </w:rPr>
        <w:t>省商务厅提出申请。</w:t>
      </w:r>
      <w:r>
        <w:t>（确认考核申请材料要求见附件2）</w:t>
      </w:r>
    </w:p>
    <w:p>
      <w:pPr>
        <w:pStyle w:val="3"/>
        <w:tabs>
          <w:tab w:val="left" w:pos="2357"/>
        </w:tabs>
        <w:spacing w:before="5"/>
        <w:ind w:left="752"/>
      </w:pPr>
      <w:r>
        <w:rPr>
          <w:rFonts w:hint="eastAsia" w:ascii="楷体_GB2312" w:eastAsia="楷体_GB2312"/>
          <w:b/>
        </w:rPr>
        <w:t>第十二条</w:t>
      </w:r>
      <w:r>
        <w:rPr>
          <w:rFonts w:hint="eastAsia" w:ascii="楷体_GB2312" w:eastAsia="楷体_GB2312"/>
          <w:b/>
        </w:rPr>
        <w:tab/>
      </w:r>
      <w:r>
        <w:t>省商务厅依据本办法要求开展确认考核工作。</w:t>
      </w:r>
    </w:p>
    <w:p>
      <w:pPr>
        <w:pStyle w:val="3"/>
        <w:spacing w:before="190" w:line="350" w:lineRule="auto"/>
        <w:ind w:left="111" w:right="271" w:firstLine="640"/>
        <w:jc w:val="both"/>
      </w:pPr>
      <w:r>
        <w:rPr>
          <w:rFonts w:hint="eastAsia" w:ascii="楷体_GB2312" w:eastAsia="楷体_GB2312"/>
          <w:b/>
          <w:spacing w:val="29"/>
        </w:rPr>
        <w:t xml:space="preserve">第十三条 </w:t>
      </w:r>
      <w:r>
        <w:rPr>
          <w:spacing w:val="-10"/>
        </w:rPr>
        <w:t>通过确认考核的合作区要根据《对外直接投资统</w:t>
      </w:r>
      <w:r>
        <w:rPr>
          <w:spacing w:val="-13"/>
          <w:w w:val="95"/>
        </w:rPr>
        <w:t xml:space="preserve">计制度》等相关要求，上报合作区月度建设和发展情况，定期向 </w:t>
      </w:r>
      <w:r>
        <w:rPr>
          <w:spacing w:val="-13"/>
        </w:rPr>
        <w:t>省商务厅上报合作区建设运营情况。</w:t>
      </w:r>
    </w:p>
    <w:p>
      <w:pPr>
        <w:pStyle w:val="3"/>
        <w:spacing w:before="2"/>
        <w:rPr>
          <w:sz w:val="47"/>
        </w:rPr>
      </w:pPr>
    </w:p>
    <w:p>
      <w:pPr>
        <w:pStyle w:val="3"/>
        <w:ind w:left="572" w:right="731"/>
        <w:jc w:val="center"/>
        <w:rPr>
          <w:rFonts w:hint="eastAsia" w:ascii="黑体" w:eastAsia="黑体"/>
        </w:rPr>
      </w:pPr>
      <w:r>
        <w:rPr>
          <w:rFonts w:hint="eastAsia" w:ascii="黑体" w:eastAsia="黑体"/>
        </w:rPr>
        <w:t>三、年度考核</w:t>
      </w:r>
    </w:p>
    <w:p>
      <w:pPr>
        <w:pStyle w:val="3"/>
        <w:spacing w:before="190" w:line="350" w:lineRule="auto"/>
        <w:ind w:left="111" w:right="268" w:firstLine="640"/>
        <w:jc w:val="both"/>
      </w:pPr>
      <w:r>
        <w:rPr>
          <w:rFonts w:hint="eastAsia" w:ascii="楷体_GB2312" w:eastAsia="楷体_GB2312"/>
          <w:b/>
          <w:spacing w:val="29"/>
        </w:rPr>
        <w:t xml:space="preserve">第十四条 </w:t>
      </w:r>
      <w:r>
        <w:rPr>
          <w:spacing w:val="-8"/>
        </w:rPr>
        <w:t>由合作区实施企业提出年度考核申请。企业通过</w:t>
      </w:r>
      <w:r>
        <w:rPr>
          <w:spacing w:val="-14"/>
        </w:rPr>
        <w:t>所在地地级以上市商务局向省商务厅提出申请；省属企业直接向</w:t>
      </w:r>
      <w:r>
        <w:rPr>
          <w:spacing w:val="-31"/>
        </w:rPr>
        <w:t>省商务厅提出申请。</w:t>
      </w:r>
      <w:r>
        <w:t>（年度考核申请材料要求见附件2）</w:t>
      </w:r>
    </w:p>
    <w:p>
      <w:pPr>
        <w:tabs>
          <w:tab w:val="left" w:pos="2357"/>
        </w:tabs>
        <w:spacing w:before="4"/>
        <w:ind w:left="752" w:right="0" w:firstLine="0"/>
        <w:jc w:val="left"/>
        <w:rPr>
          <w:sz w:val="32"/>
        </w:rPr>
      </w:pPr>
      <w:r>
        <w:rPr>
          <w:rFonts w:hint="eastAsia" w:ascii="楷体_GB2312" w:eastAsia="楷体_GB2312"/>
          <w:b/>
          <w:sz w:val="32"/>
        </w:rPr>
        <w:t>第十五条</w:t>
      </w:r>
      <w:r>
        <w:rPr>
          <w:rFonts w:hint="eastAsia" w:ascii="楷体_GB2312" w:eastAsia="楷体_GB2312"/>
          <w:b/>
          <w:sz w:val="32"/>
        </w:rPr>
        <w:tab/>
      </w:r>
      <w:r>
        <w:rPr>
          <w:sz w:val="32"/>
        </w:rPr>
        <w:t>省商务厅依据本办法开展年度考核工作。</w:t>
      </w:r>
    </w:p>
    <w:p>
      <w:pPr>
        <w:tabs>
          <w:tab w:val="left" w:pos="2355"/>
        </w:tabs>
        <w:spacing w:before="191"/>
        <w:ind w:left="752" w:right="0" w:firstLine="0"/>
        <w:jc w:val="left"/>
        <w:rPr>
          <w:sz w:val="32"/>
        </w:rPr>
      </w:pPr>
      <w:r>
        <w:rPr>
          <w:rFonts w:hint="eastAsia" w:ascii="楷体_GB2312" w:eastAsia="楷体_GB2312"/>
          <w:b/>
          <w:sz w:val="32"/>
        </w:rPr>
        <w:t>第十六条</w:t>
      </w:r>
      <w:r>
        <w:rPr>
          <w:rFonts w:hint="eastAsia" w:ascii="楷体_GB2312" w:eastAsia="楷体_GB2312"/>
          <w:b/>
          <w:sz w:val="32"/>
        </w:rPr>
        <w:tab/>
      </w:r>
      <w:r>
        <w:rPr>
          <w:sz w:val="32"/>
        </w:rPr>
        <w:t>年度考核的主要内容</w:t>
      </w:r>
    </w:p>
    <w:p>
      <w:pPr>
        <w:pStyle w:val="3"/>
        <w:spacing w:before="190" w:line="350" w:lineRule="auto"/>
        <w:ind w:left="111" w:right="268" w:firstLine="640"/>
      </w:pPr>
      <w:r>
        <w:t>（一</w:t>
      </w:r>
      <w:r>
        <w:rPr>
          <w:spacing w:val="-39"/>
        </w:rPr>
        <w:t>）</w:t>
      </w:r>
      <w:r>
        <w:rPr>
          <w:spacing w:val="-6"/>
        </w:rPr>
        <w:t>建设进度和工程管理。按照合作区总体规划，结合合</w:t>
      </w:r>
      <w:r>
        <w:rPr>
          <w:spacing w:val="-13"/>
        </w:rPr>
        <w:t>作区实施企业根据《对外直接投资统计制度》等相关要求上报的</w:t>
      </w:r>
    </w:p>
    <w:p>
      <w:pPr>
        <w:spacing w:after="0" w:line="350" w:lineRule="auto"/>
        <w:sectPr>
          <w:pgSz w:w="11910" w:h="16840"/>
          <w:pgMar w:top="1520" w:right="1260" w:bottom="1180" w:left="1420" w:header="0" w:footer="988" w:gutter="0"/>
          <w:cols w:space="720" w:num="1"/>
        </w:sectPr>
      </w:pPr>
    </w:p>
    <w:p>
      <w:pPr>
        <w:pStyle w:val="3"/>
        <w:spacing w:before="36" w:line="350" w:lineRule="auto"/>
        <w:ind w:left="111" w:right="268"/>
      </w:pPr>
      <w:r>
        <w:rPr>
          <w:spacing w:val="-12"/>
        </w:rPr>
        <w:t>情况，对合作区内基础设施等方面的建设进度和工程管理进行评估。</w:t>
      </w:r>
    </w:p>
    <w:p>
      <w:pPr>
        <w:pStyle w:val="3"/>
        <w:spacing w:before="3" w:line="350" w:lineRule="auto"/>
        <w:ind w:left="111" w:right="268" w:firstLine="640"/>
        <w:jc w:val="both"/>
      </w:pPr>
      <w:r>
        <w:rPr>
          <w:w w:val="95"/>
        </w:rPr>
        <w:t>（二</w:t>
      </w:r>
      <w:r>
        <w:rPr>
          <w:spacing w:val="-58"/>
          <w:w w:val="95"/>
        </w:rPr>
        <w:t>）</w:t>
      </w:r>
      <w:r>
        <w:rPr>
          <w:spacing w:val="-6"/>
          <w:w w:val="95"/>
        </w:rPr>
        <w:t xml:space="preserve">投资规模和资金使用。核实建区企业资金来源及实际 </w:t>
      </w:r>
      <w:r>
        <w:rPr>
          <w:spacing w:val="-6"/>
        </w:rPr>
        <w:t>完成投资情况，核查合作区建设和发展相关费用。</w:t>
      </w:r>
    </w:p>
    <w:p>
      <w:pPr>
        <w:pStyle w:val="3"/>
        <w:spacing w:before="3" w:line="350" w:lineRule="auto"/>
        <w:ind w:left="111" w:right="110" w:firstLine="640"/>
      </w:pPr>
      <w:r>
        <w:t>（三</w:t>
      </w:r>
      <w:r>
        <w:rPr>
          <w:spacing w:val="-67"/>
        </w:rPr>
        <w:t>）</w:t>
      </w:r>
      <w:r>
        <w:rPr>
          <w:spacing w:val="-16"/>
        </w:rPr>
        <w:t>招商进展。核实实际入区企业类型、数量、投资产业、</w:t>
      </w:r>
      <w:r>
        <w:t>建设运营等情况。</w:t>
      </w:r>
    </w:p>
    <w:p>
      <w:pPr>
        <w:pStyle w:val="3"/>
        <w:spacing w:before="3" w:line="350" w:lineRule="auto"/>
        <w:ind w:left="111" w:right="153" w:firstLine="640"/>
        <w:jc w:val="both"/>
      </w:pPr>
      <w:r>
        <w:t>（四</w:t>
      </w:r>
      <w:r>
        <w:rPr>
          <w:spacing w:val="-58"/>
        </w:rPr>
        <w:t>）</w:t>
      </w:r>
      <w:r>
        <w:rPr>
          <w:spacing w:val="-6"/>
        </w:rPr>
        <w:t>对双边经贸关系的影响。合作区助力我省产业链供应</w:t>
      </w:r>
      <w:r>
        <w:rPr>
          <w:spacing w:val="-14"/>
        </w:rPr>
        <w:t>链合理有序跨境布局、构建新发展格局的情况；发挥平台载体作</w:t>
      </w:r>
      <w:r>
        <w:rPr>
          <w:spacing w:val="-13"/>
        </w:rPr>
        <w:t>用、实现投资贸易一体化的情况；开展技术合作、提升技术创新水平的情况；促进所在国经济社会发展、实现互利共赢的情况。</w:t>
      </w:r>
    </w:p>
    <w:p>
      <w:pPr>
        <w:pStyle w:val="3"/>
        <w:spacing w:before="6" w:line="350" w:lineRule="auto"/>
        <w:ind w:left="111" w:right="271" w:firstLine="640"/>
        <w:jc w:val="both"/>
      </w:pPr>
      <w:r>
        <w:rPr>
          <w:w w:val="95"/>
        </w:rPr>
        <w:t>（五</w:t>
      </w:r>
      <w:r>
        <w:rPr>
          <w:spacing w:val="-39"/>
          <w:w w:val="95"/>
        </w:rPr>
        <w:t>）</w:t>
      </w:r>
      <w:r>
        <w:rPr>
          <w:spacing w:val="-8"/>
          <w:w w:val="95"/>
        </w:rPr>
        <w:t xml:space="preserve">重大变更。指合作区实施企业或建区企业变更、总体 </w:t>
      </w:r>
      <w:r>
        <w:rPr>
          <w:spacing w:val="-8"/>
        </w:rPr>
        <w:t>规划调整等影响合作区发展的重大事项。</w:t>
      </w:r>
    </w:p>
    <w:p>
      <w:pPr>
        <w:pStyle w:val="3"/>
        <w:spacing w:before="3" w:line="350" w:lineRule="auto"/>
        <w:ind w:left="111" w:right="271" w:firstLine="640"/>
        <w:jc w:val="both"/>
      </w:pPr>
      <w:r>
        <w:rPr>
          <w:w w:val="95"/>
        </w:rPr>
        <w:t>（六</w:t>
      </w:r>
      <w:r>
        <w:rPr>
          <w:spacing w:val="-22"/>
          <w:w w:val="95"/>
        </w:rPr>
        <w:t>）</w:t>
      </w:r>
      <w:r>
        <w:rPr>
          <w:spacing w:val="-9"/>
          <w:w w:val="95"/>
        </w:rPr>
        <w:t xml:space="preserve">合作区的管理、服务、环保、安全、履行社会责任等 </w:t>
      </w:r>
      <w:r>
        <w:rPr>
          <w:spacing w:val="-9"/>
        </w:rPr>
        <w:t>情况。</w:t>
      </w:r>
    </w:p>
    <w:p>
      <w:pPr>
        <w:pStyle w:val="3"/>
        <w:spacing w:before="3" w:line="350" w:lineRule="auto"/>
        <w:ind w:left="111" w:right="268" w:firstLine="640"/>
        <w:jc w:val="both"/>
      </w:pPr>
      <w:r>
        <w:rPr>
          <w:rFonts w:hint="eastAsia" w:ascii="楷体_GB2312" w:eastAsia="楷体_GB2312"/>
          <w:b/>
          <w:spacing w:val="29"/>
        </w:rPr>
        <w:t xml:space="preserve">第十七条 </w:t>
      </w:r>
      <w:r>
        <w:rPr>
          <w:spacing w:val="-8"/>
        </w:rPr>
        <w:t>对连续三次未通过年度考核的合作区，省商务厅</w:t>
      </w:r>
      <w:r>
        <w:rPr>
          <w:spacing w:val="-14"/>
        </w:rPr>
        <w:t>将其撤出省级合作区名单。如合作区因经营管理不善等问题出售</w:t>
      </w:r>
      <w:r>
        <w:rPr>
          <w:spacing w:val="-14"/>
          <w:w w:val="95"/>
        </w:rPr>
        <w:t xml:space="preserve">或者关停，合作区实施企业申请注销境外投资证书后，省商务厅 </w:t>
      </w:r>
      <w:r>
        <w:rPr>
          <w:spacing w:val="-17"/>
        </w:rPr>
        <w:t>将其撤出省级合作区名单。如合作区建设和运营确因所在国自然</w:t>
      </w:r>
      <w:r>
        <w:rPr>
          <w:spacing w:val="-14"/>
        </w:rPr>
        <w:t>灾害、战争、动乱等不可抗力因素遭受重大影响的，其年度考核期时间可视情相应延长。</w:t>
      </w:r>
    </w:p>
    <w:p>
      <w:pPr>
        <w:pStyle w:val="3"/>
        <w:spacing w:before="6"/>
        <w:rPr>
          <w:sz w:val="47"/>
        </w:rPr>
      </w:pPr>
    </w:p>
    <w:p>
      <w:pPr>
        <w:pStyle w:val="3"/>
        <w:ind w:left="572" w:right="731"/>
        <w:jc w:val="center"/>
        <w:rPr>
          <w:rFonts w:hint="eastAsia" w:ascii="黑体" w:eastAsia="黑体"/>
        </w:rPr>
      </w:pPr>
      <w:r>
        <w:rPr>
          <w:rFonts w:hint="eastAsia" w:ascii="黑体" w:eastAsia="黑体"/>
        </w:rPr>
        <w:t>四、激励和罚则</w:t>
      </w:r>
    </w:p>
    <w:p>
      <w:pPr>
        <w:pStyle w:val="3"/>
        <w:tabs>
          <w:tab w:val="left" w:pos="2357"/>
        </w:tabs>
        <w:spacing w:before="191"/>
        <w:ind w:left="752"/>
      </w:pPr>
      <w:r>
        <w:rPr>
          <w:rFonts w:hint="eastAsia" w:ascii="楷体_GB2312" w:eastAsia="楷体_GB2312"/>
          <w:b/>
        </w:rPr>
        <w:t>第十八条</w:t>
      </w:r>
      <w:r>
        <w:rPr>
          <w:rFonts w:hint="eastAsia" w:ascii="楷体_GB2312" w:eastAsia="楷体_GB2312"/>
          <w:b/>
        </w:rPr>
        <w:tab/>
      </w:r>
      <w:r>
        <w:t>连续两次通过年度考核的</w:t>
      </w:r>
      <w:r>
        <w:rPr>
          <w:spacing w:val="-123"/>
        </w:rPr>
        <w:t>，</w:t>
      </w:r>
      <w:r>
        <w:t>免除其下一次年度考</w:t>
      </w:r>
    </w:p>
    <w:p>
      <w:pPr>
        <w:spacing w:after="0"/>
        <w:sectPr>
          <w:pgSz w:w="11910" w:h="16840"/>
          <w:pgMar w:top="1520" w:right="1260" w:bottom="1180" w:left="1420" w:header="0" w:footer="988" w:gutter="0"/>
          <w:cols w:space="720" w:num="1"/>
        </w:sectPr>
      </w:pPr>
    </w:p>
    <w:p>
      <w:pPr>
        <w:pStyle w:val="3"/>
        <w:spacing w:before="36"/>
        <w:ind w:left="111"/>
      </w:pPr>
      <w:r>
        <w:t>核。</w:t>
      </w:r>
    </w:p>
    <w:p>
      <w:pPr>
        <w:pStyle w:val="3"/>
        <w:tabs>
          <w:tab w:val="left" w:pos="2355"/>
        </w:tabs>
        <w:spacing w:before="190"/>
        <w:ind w:left="752"/>
      </w:pPr>
      <w:r>
        <w:rPr>
          <w:rFonts w:hint="eastAsia" w:ascii="楷体_GB2312" w:eastAsia="楷体_GB2312"/>
          <w:b/>
        </w:rPr>
        <w:t>第十九条</w:t>
      </w:r>
      <w:r>
        <w:rPr>
          <w:rFonts w:hint="eastAsia" w:ascii="楷体_GB2312" w:eastAsia="楷体_GB2312"/>
          <w:b/>
        </w:rPr>
        <w:tab/>
      </w:r>
      <w:r>
        <w:t>对伪造资质</w:t>
      </w:r>
      <w:r>
        <w:rPr>
          <w:spacing w:val="-60"/>
        </w:rPr>
        <w:t>、</w:t>
      </w:r>
      <w:r>
        <w:t>提供虚假材料</w:t>
      </w:r>
      <w:r>
        <w:rPr>
          <w:spacing w:val="-60"/>
        </w:rPr>
        <w:t>、</w:t>
      </w:r>
      <w:r>
        <w:t>擅自变更实施企业</w:t>
      </w:r>
    </w:p>
    <w:p>
      <w:pPr>
        <w:pStyle w:val="3"/>
        <w:spacing w:before="8"/>
        <w:rPr>
          <w:sz w:val="10"/>
        </w:rPr>
      </w:pPr>
    </w:p>
    <w:p>
      <w:pPr>
        <w:pStyle w:val="3"/>
        <w:spacing w:before="54" w:line="350" w:lineRule="auto"/>
        <w:ind w:left="111" w:right="268"/>
      </w:pPr>
      <w:r>
        <w:rPr>
          <w:spacing w:val="-11"/>
          <w:w w:val="95"/>
        </w:rPr>
        <w:t xml:space="preserve">和建区企业、未按合作区规划进行建设、违反法律法规等行为的 </w:t>
      </w:r>
      <w:r>
        <w:rPr>
          <w:spacing w:val="-11"/>
        </w:rPr>
        <w:t>合作区，将不予纳入确认或年度考核。</w:t>
      </w:r>
    </w:p>
    <w:p>
      <w:pPr>
        <w:pStyle w:val="3"/>
        <w:spacing w:before="1"/>
        <w:rPr>
          <w:sz w:val="47"/>
        </w:rPr>
      </w:pPr>
    </w:p>
    <w:p>
      <w:pPr>
        <w:pStyle w:val="3"/>
        <w:tabs>
          <w:tab w:val="left" w:pos="1279"/>
        </w:tabs>
        <w:ind w:right="159"/>
        <w:jc w:val="center"/>
        <w:rPr>
          <w:rFonts w:hint="eastAsia" w:ascii="黑体" w:eastAsia="黑体"/>
        </w:rPr>
      </w:pPr>
      <w:r>
        <w:rPr>
          <w:rFonts w:hint="eastAsia" w:ascii="黑体" w:eastAsia="黑体"/>
        </w:rPr>
        <w:t>五、附</w:t>
      </w:r>
      <w:r>
        <w:rPr>
          <w:rFonts w:hint="eastAsia" w:ascii="黑体" w:eastAsia="黑体"/>
        </w:rPr>
        <w:tab/>
      </w:r>
      <w:r>
        <w:rPr>
          <w:rFonts w:hint="eastAsia" w:ascii="黑体" w:eastAsia="黑体"/>
        </w:rPr>
        <w:t>则</w:t>
      </w:r>
    </w:p>
    <w:p>
      <w:pPr>
        <w:tabs>
          <w:tab w:val="left" w:pos="2357"/>
        </w:tabs>
        <w:spacing w:before="190"/>
        <w:ind w:left="752" w:right="0" w:firstLine="0"/>
        <w:jc w:val="left"/>
        <w:rPr>
          <w:sz w:val="32"/>
        </w:rPr>
      </w:pPr>
      <w:r>
        <w:rPr>
          <w:rFonts w:hint="eastAsia" w:ascii="楷体_GB2312" w:eastAsia="楷体_GB2312"/>
          <w:b/>
          <w:sz w:val="32"/>
        </w:rPr>
        <w:t>第二十条</w:t>
      </w:r>
      <w:r>
        <w:rPr>
          <w:rFonts w:hint="eastAsia" w:ascii="楷体_GB2312" w:eastAsia="楷体_GB2312"/>
          <w:b/>
          <w:sz w:val="32"/>
        </w:rPr>
        <w:tab/>
      </w:r>
      <w:r>
        <w:rPr>
          <w:sz w:val="32"/>
        </w:rPr>
        <w:t>本办法由省商务厅负责解释。</w:t>
      </w:r>
    </w:p>
    <w:p>
      <w:pPr>
        <w:tabs>
          <w:tab w:val="left" w:pos="2677"/>
        </w:tabs>
        <w:spacing w:before="190"/>
        <w:ind w:left="752" w:right="0" w:firstLine="0"/>
        <w:jc w:val="left"/>
        <w:rPr>
          <w:sz w:val="32"/>
        </w:rPr>
      </w:pPr>
      <w:r>
        <w:rPr>
          <w:rFonts w:hint="eastAsia" w:ascii="楷体_GB2312" w:eastAsia="楷体_GB2312"/>
          <w:b/>
          <w:sz w:val="32"/>
        </w:rPr>
        <w:t>第二十一条</w:t>
      </w:r>
      <w:r>
        <w:rPr>
          <w:rFonts w:hint="eastAsia" w:ascii="楷体_GB2312" w:eastAsia="楷体_GB2312"/>
          <w:b/>
          <w:sz w:val="32"/>
        </w:rPr>
        <w:tab/>
      </w:r>
      <w:r>
        <w:rPr>
          <w:sz w:val="32"/>
        </w:rPr>
        <w:t>本办法自2026年3月1日实施，有效期5年。</w:t>
      </w:r>
    </w:p>
    <w:p>
      <w:pPr>
        <w:pStyle w:val="3"/>
      </w:pPr>
    </w:p>
    <w:p>
      <w:pPr>
        <w:pStyle w:val="3"/>
        <w:spacing w:before="8"/>
        <w:rPr>
          <w:sz w:val="29"/>
        </w:rPr>
      </w:pPr>
    </w:p>
    <w:p>
      <w:pPr>
        <w:pStyle w:val="3"/>
        <w:tabs>
          <w:tab w:val="left" w:pos="1712"/>
        </w:tabs>
        <w:spacing w:before="1"/>
        <w:ind w:left="752"/>
      </w:pPr>
      <w:r>
        <w:t>附件</w:t>
      </w:r>
      <w:r>
        <w:tab/>
      </w:r>
      <w:r>
        <w:t>1.合作区主要类型及确认考核具体要求</w:t>
      </w:r>
    </w:p>
    <w:p>
      <w:pPr>
        <w:pStyle w:val="6"/>
        <w:numPr>
          <w:ilvl w:val="0"/>
          <w:numId w:val="1"/>
        </w:numPr>
        <w:tabs>
          <w:tab w:val="left" w:pos="2032"/>
        </w:tabs>
        <w:spacing w:before="190" w:after="0" w:line="240" w:lineRule="auto"/>
        <w:ind w:left="2031" w:right="0" w:hanging="319"/>
        <w:jc w:val="left"/>
        <w:rPr>
          <w:sz w:val="32"/>
        </w:rPr>
      </w:pPr>
      <w:r>
        <w:rPr>
          <w:sz w:val="32"/>
        </w:rPr>
        <w:t>合作区确认考核和年度考核申请材料要求</w:t>
      </w:r>
    </w:p>
    <w:p>
      <w:pPr>
        <w:pStyle w:val="6"/>
        <w:numPr>
          <w:ilvl w:val="0"/>
          <w:numId w:val="1"/>
        </w:numPr>
        <w:tabs>
          <w:tab w:val="left" w:pos="2027"/>
        </w:tabs>
        <w:spacing w:before="190" w:after="0" w:line="240" w:lineRule="auto"/>
        <w:ind w:left="2026" w:right="246" w:hanging="314"/>
        <w:jc w:val="left"/>
        <w:rPr>
          <w:sz w:val="32"/>
        </w:rPr>
      </w:pPr>
      <w:r>
        <w:rPr>
          <w:spacing w:val="-12"/>
          <w:sz w:val="32"/>
        </w:rPr>
        <w:t>广东省境外经贸合作区确认函</w:t>
      </w:r>
      <w:r>
        <w:rPr>
          <w:spacing w:val="-10"/>
          <w:sz w:val="32"/>
        </w:rPr>
        <w:t>（</w:t>
      </w:r>
      <w:r>
        <w:rPr>
          <w:spacing w:val="-12"/>
          <w:sz w:val="32"/>
        </w:rPr>
        <w:t>样式</w:t>
      </w:r>
      <w:r>
        <w:rPr>
          <w:sz w:val="32"/>
        </w:rPr>
        <w:t>）</w:t>
      </w:r>
    </w:p>
    <w:p>
      <w:pPr>
        <w:spacing w:after="0" w:line="240" w:lineRule="auto"/>
        <w:jc w:val="left"/>
        <w:rPr>
          <w:sz w:val="32"/>
        </w:rPr>
        <w:sectPr>
          <w:pgSz w:w="11910" w:h="16840"/>
          <w:pgMar w:top="1520" w:right="1260" w:bottom="1180" w:left="1420" w:header="0" w:footer="988" w:gutter="0"/>
          <w:cols w:space="720" w:num="1"/>
        </w:sectPr>
      </w:pPr>
    </w:p>
    <w:p>
      <w:pPr>
        <w:pStyle w:val="3"/>
        <w:spacing w:before="36"/>
        <w:ind w:left="111"/>
        <w:rPr>
          <w:rFonts w:hint="eastAsia" w:ascii="黑体" w:eastAsia="黑体"/>
        </w:rPr>
      </w:pPr>
      <w:r>
        <w:rPr>
          <w:rFonts w:hint="eastAsia" w:ascii="黑体" w:eastAsia="黑体"/>
        </w:rPr>
        <w:t>附件1</w:t>
      </w:r>
    </w:p>
    <w:p>
      <w:pPr>
        <w:pStyle w:val="3"/>
        <w:rPr>
          <w:rFonts w:ascii="黑体"/>
          <w:sz w:val="20"/>
        </w:rPr>
      </w:pPr>
    </w:p>
    <w:p>
      <w:pPr>
        <w:pStyle w:val="3"/>
        <w:spacing w:before="1"/>
        <w:rPr>
          <w:rFonts w:ascii="黑体"/>
          <w:sz w:val="29"/>
        </w:rPr>
      </w:pPr>
    </w:p>
    <w:p>
      <w:pPr>
        <w:pStyle w:val="2"/>
        <w:spacing w:before="41"/>
        <w:ind w:left="1222"/>
      </w:pPr>
      <w:r>
        <w:t>合作区主要类型及确认考核具体要求</w:t>
      </w:r>
    </w:p>
    <w:p>
      <w:pPr>
        <w:pStyle w:val="3"/>
        <w:spacing w:before="1"/>
        <w:rPr>
          <w:rFonts w:ascii="宋体"/>
          <w:sz w:val="59"/>
        </w:rPr>
      </w:pPr>
    </w:p>
    <w:p>
      <w:pPr>
        <w:pStyle w:val="3"/>
        <w:ind w:left="752"/>
        <w:rPr>
          <w:rFonts w:hint="eastAsia" w:ascii="黑体" w:eastAsia="黑体"/>
        </w:rPr>
      </w:pPr>
      <w:r>
        <w:rPr>
          <w:rFonts w:hint="eastAsia" w:ascii="黑体" w:eastAsia="黑体"/>
        </w:rPr>
        <w:t>一、重点支持的合作区类型</w:t>
      </w:r>
    </w:p>
    <w:p>
      <w:pPr>
        <w:pStyle w:val="3"/>
        <w:spacing w:before="190" w:line="350" w:lineRule="auto"/>
        <w:ind w:left="111" w:right="268" w:firstLine="640"/>
      </w:pPr>
      <w:r>
        <w:rPr>
          <w:w w:val="95"/>
        </w:rPr>
        <w:t>（一</w:t>
      </w:r>
      <w:r>
        <w:rPr>
          <w:spacing w:val="-58"/>
          <w:w w:val="95"/>
        </w:rPr>
        <w:t>）</w:t>
      </w:r>
      <w:r>
        <w:rPr>
          <w:spacing w:val="-6"/>
          <w:w w:val="95"/>
        </w:rPr>
        <w:t xml:space="preserve">以对原材料进行加工，或对中间品进行再加工和组装 </w:t>
      </w:r>
      <w:r>
        <w:rPr>
          <w:spacing w:val="-6"/>
        </w:rPr>
        <w:t>等为主导产业的加工制造型合作区。</w:t>
      </w:r>
    </w:p>
    <w:p>
      <w:pPr>
        <w:pStyle w:val="3"/>
        <w:spacing w:before="3" w:line="350" w:lineRule="auto"/>
        <w:ind w:left="111" w:right="271" w:firstLine="640"/>
      </w:pPr>
      <w:r>
        <w:rPr>
          <w:w w:val="95"/>
        </w:rPr>
        <w:t>（二</w:t>
      </w:r>
      <w:r>
        <w:rPr>
          <w:spacing w:val="-58"/>
          <w:w w:val="95"/>
        </w:rPr>
        <w:t>）</w:t>
      </w:r>
      <w:r>
        <w:rPr>
          <w:spacing w:val="-8"/>
          <w:w w:val="95"/>
        </w:rPr>
        <w:t xml:space="preserve">以资源能源开发、加工和综合利用等为主导产业的资 </w:t>
      </w:r>
      <w:r>
        <w:rPr>
          <w:spacing w:val="-8"/>
        </w:rPr>
        <w:t>源利用型合作区。</w:t>
      </w:r>
    </w:p>
    <w:p>
      <w:pPr>
        <w:pStyle w:val="3"/>
        <w:spacing w:before="3" w:line="350" w:lineRule="auto"/>
        <w:ind w:left="111" w:right="268" w:firstLine="640"/>
      </w:pPr>
      <w:r>
        <w:t>（三</w:t>
      </w:r>
      <w:r>
        <w:rPr>
          <w:spacing w:val="-17"/>
        </w:rPr>
        <w:t>）</w:t>
      </w:r>
      <w:r>
        <w:rPr>
          <w:spacing w:val="-4"/>
        </w:rPr>
        <w:t>以农业种植</w:t>
      </w:r>
      <w:r>
        <w:t>（养殖</w:t>
      </w:r>
      <w:r>
        <w:rPr>
          <w:spacing w:val="-15"/>
        </w:rPr>
        <w:t>）</w:t>
      </w:r>
      <w:r>
        <w:rPr>
          <w:spacing w:val="-9"/>
        </w:rPr>
        <w:t>、农产品开发、加工、收购、仓储为主导的农业产业型合作区。</w:t>
      </w:r>
    </w:p>
    <w:p>
      <w:pPr>
        <w:pStyle w:val="3"/>
        <w:spacing w:before="3" w:line="350" w:lineRule="auto"/>
        <w:ind w:left="111" w:right="153" w:firstLine="640"/>
      </w:pPr>
      <w:r>
        <w:t>（四）以建立商业贸易、物流仓储、信息服务、运输配送、关务处理等一体化的产业集群和服务体系为主导产业的商贸物流型合作区。</w:t>
      </w:r>
    </w:p>
    <w:p>
      <w:pPr>
        <w:pStyle w:val="3"/>
        <w:spacing w:before="4" w:line="350" w:lineRule="auto"/>
        <w:ind w:left="111" w:right="271" w:firstLine="640"/>
      </w:pPr>
      <w:r>
        <w:rPr>
          <w:w w:val="95"/>
        </w:rPr>
        <w:t>（五</w:t>
      </w:r>
      <w:r>
        <w:rPr>
          <w:spacing w:val="-19"/>
          <w:w w:val="95"/>
        </w:rPr>
        <w:t>）</w:t>
      </w:r>
      <w:r>
        <w:rPr>
          <w:spacing w:val="-10"/>
          <w:w w:val="95"/>
        </w:rPr>
        <w:t xml:space="preserve">以科技研发、创新、设计、实验、试制、产业孵化等 </w:t>
      </w:r>
      <w:r>
        <w:rPr>
          <w:spacing w:val="-10"/>
        </w:rPr>
        <w:t>合作为主导的科技研发型合作区。</w:t>
      </w:r>
    </w:p>
    <w:p>
      <w:pPr>
        <w:pStyle w:val="3"/>
        <w:spacing w:before="3" w:line="350" w:lineRule="auto"/>
        <w:ind w:left="111" w:right="268" w:firstLine="640"/>
        <w:jc w:val="both"/>
      </w:pPr>
      <w:r>
        <w:t>（六</w:t>
      </w:r>
      <w:r>
        <w:rPr>
          <w:spacing w:val="-39"/>
        </w:rPr>
        <w:t>）</w:t>
      </w:r>
      <w:r>
        <w:rPr>
          <w:spacing w:val="-9"/>
        </w:rPr>
        <w:t>在共建“一带一路”国家和地区投资建设的符合国家</w:t>
      </w:r>
      <w:r>
        <w:rPr>
          <w:spacing w:val="-15"/>
        </w:rPr>
        <w:t>对外投资产业导向、主导产业明确、投资规模较大、带动进出口成效明显的国际产能合作项目所形成的专业型合作区。</w:t>
      </w:r>
    </w:p>
    <w:p>
      <w:pPr>
        <w:pStyle w:val="3"/>
        <w:spacing w:before="5"/>
        <w:ind w:left="752"/>
        <w:rPr>
          <w:rFonts w:hint="eastAsia" w:ascii="黑体" w:eastAsia="黑体"/>
        </w:rPr>
      </w:pPr>
      <w:r>
        <w:rPr>
          <w:rFonts w:hint="eastAsia" w:ascii="黑体" w:eastAsia="黑体"/>
        </w:rPr>
        <w:t>二、合作区确认考核的具体要求</w:t>
      </w:r>
    </w:p>
    <w:p>
      <w:pPr>
        <w:pStyle w:val="3"/>
        <w:spacing w:before="190"/>
        <w:ind w:left="752"/>
        <w:rPr>
          <w:rFonts w:hint="eastAsia" w:ascii="楷体_GB2312" w:eastAsia="楷体_GB2312"/>
        </w:rPr>
      </w:pPr>
      <w:r>
        <w:rPr>
          <w:rFonts w:hint="eastAsia" w:ascii="楷体_GB2312" w:eastAsia="楷体_GB2312"/>
        </w:rPr>
        <w:t>（一）加工制造型合作区</w:t>
      </w:r>
    </w:p>
    <w:p>
      <w:pPr>
        <w:pStyle w:val="6"/>
        <w:numPr>
          <w:ilvl w:val="0"/>
          <w:numId w:val="2"/>
        </w:numPr>
        <w:tabs>
          <w:tab w:val="left" w:pos="1072"/>
        </w:tabs>
        <w:spacing w:before="190" w:after="0" w:line="240" w:lineRule="auto"/>
        <w:ind w:left="1071" w:right="0" w:hanging="319"/>
        <w:jc w:val="left"/>
        <w:rPr>
          <w:sz w:val="32"/>
        </w:rPr>
      </w:pPr>
      <w:r>
        <w:rPr>
          <w:sz w:val="32"/>
        </w:rPr>
        <w:t>已取得完备法律手续的土地面积不低于50万平方米</w:t>
      </w:r>
    </w:p>
    <w:p>
      <w:pPr>
        <w:pStyle w:val="6"/>
        <w:numPr>
          <w:ilvl w:val="0"/>
          <w:numId w:val="2"/>
        </w:numPr>
        <w:tabs>
          <w:tab w:val="left" w:pos="1072"/>
        </w:tabs>
        <w:spacing w:before="190" w:after="0" w:line="240" w:lineRule="auto"/>
        <w:ind w:left="1071" w:right="0" w:hanging="319"/>
        <w:jc w:val="left"/>
        <w:rPr>
          <w:sz w:val="32"/>
        </w:rPr>
      </w:pPr>
      <w:r>
        <w:rPr>
          <w:spacing w:val="-10"/>
          <w:sz w:val="32"/>
        </w:rPr>
        <w:t>累计投资</w:t>
      </w:r>
      <w:r>
        <w:rPr>
          <w:sz w:val="32"/>
        </w:rPr>
        <w:t>（</w:t>
      </w:r>
      <w:r>
        <w:rPr>
          <w:spacing w:val="-3"/>
          <w:sz w:val="32"/>
        </w:rPr>
        <w:t>建区企业和入区企业的投资总额，下同</w:t>
      </w:r>
      <w:r>
        <w:rPr>
          <w:spacing w:val="-39"/>
          <w:sz w:val="32"/>
        </w:rPr>
        <w:t>）</w:t>
      </w:r>
      <w:r>
        <w:rPr>
          <w:sz w:val="32"/>
        </w:rPr>
        <w:t>不低</w:t>
      </w:r>
    </w:p>
    <w:p>
      <w:pPr>
        <w:spacing w:after="0" w:line="240" w:lineRule="auto"/>
        <w:jc w:val="left"/>
        <w:rPr>
          <w:sz w:val="32"/>
        </w:rPr>
        <w:sectPr>
          <w:pgSz w:w="11910" w:h="16840"/>
          <w:pgMar w:top="1520" w:right="1260" w:bottom="1180" w:left="1420" w:header="0" w:footer="988" w:gutter="0"/>
          <w:cols w:space="720" w:num="1"/>
        </w:sectPr>
      </w:pPr>
    </w:p>
    <w:p>
      <w:pPr>
        <w:pStyle w:val="3"/>
        <w:spacing w:before="36" w:line="350" w:lineRule="auto"/>
        <w:ind w:left="111" w:right="271"/>
      </w:pPr>
      <w:r>
        <w:rPr>
          <w:w w:val="95"/>
        </w:rPr>
        <w:t>于2000</w:t>
      </w:r>
      <w:r>
        <w:rPr>
          <w:spacing w:val="-11"/>
          <w:w w:val="95"/>
        </w:rPr>
        <w:t xml:space="preserve">万美元，其中建区企业已完成包括水、电、路、厂房等基 </w:t>
      </w:r>
      <w:r>
        <w:rPr>
          <w:spacing w:val="-11"/>
        </w:rPr>
        <w:t>础设施建设在内的投资1000万美元以上；</w:t>
      </w:r>
    </w:p>
    <w:p>
      <w:pPr>
        <w:pStyle w:val="6"/>
        <w:numPr>
          <w:ilvl w:val="0"/>
          <w:numId w:val="2"/>
        </w:numPr>
        <w:tabs>
          <w:tab w:val="left" w:pos="1072"/>
        </w:tabs>
        <w:spacing w:before="3" w:after="0" w:line="350" w:lineRule="auto"/>
        <w:ind w:left="111" w:right="271" w:firstLine="641"/>
        <w:jc w:val="left"/>
        <w:rPr>
          <w:sz w:val="32"/>
        </w:rPr>
      </w:pPr>
      <w:r>
        <w:rPr>
          <w:spacing w:val="2"/>
          <w:sz w:val="32"/>
        </w:rPr>
        <w:t>已有</w:t>
      </w:r>
      <w:r>
        <w:rPr>
          <w:sz w:val="32"/>
        </w:rPr>
        <w:t>3家以上具备中资成分的加工制造型入区企业且境内投资主体不同，并已开工建设。</w:t>
      </w:r>
    </w:p>
    <w:p>
      <w:pPr>
        <w:pStyle w:val="3"/>
        <w:spacing w:before="3"/>
        <w:ind w:left="752"/>
        <w:rPr>
          <w:rFonts w:hint="eastAsia" w:ascii="楷体_GB2312" w:eastAsia="楷体_GB2312"/>
        </w:rPr>
      </w:pPr>
      <w:r>
        <w:rPr>
          <w:rFonts w:hint="eastAsia" w:ascii="楷体_GB2312" w:eastAsia="楷体_GB2312"/>
        </w:rPr>
        <w:t>（二）资源利用型合作区</w:t>
      </w:r>
    </w:p>
    <w:p>
      <w:pPr>
        <w:pStyle w:val="6"/>
        <w:numPr>
          <w:ilvl w:val="0"/>
          <w:numId w:val="3"/>
        </w:numPr>
        <w:tabs>
          <w:tab w:val="left" w:pos="1072"/>
        </w:tabs>
        <w:spacing w:before="190" w:after="0" w:line="240" w:lineRule="auto"/>
        <w:ind w:left="1071" w:right="0" w:hanging="319"/>
        <w:jc w:val="left"/>
        <w:rPr>
          <w:sz w:val="32"/>
        </w:rPr>
      </w:pPr>
      <w:r>
        <w:rPr>
          <w:sz w:val="32"/>
        </w:rPr>
        <w:t>已取得完备法律手续的土地面积不低于50万平方米</w:t>
      </w:r>
    </w:p>
    <w:p>
      <w:pPr>
        <w:pStyle w:val="6"/>
        <w:numPr>
          <w:ilvl w:val="0"/>
          <w:numId w:val="3"/>
        </w:numPr>
        <w:tabs>
          <w:tab w:val="left" w:pos="1079"/>
        </w:tabs>
        <w:spacing w:before="190" w:after="0" w:line="350" w:lineRule="auto"/>
        <w:ind w:left="111" w:right="153" w:firstLine="641"/>
        <w:jc w:val="left"/>
        <w:rPr>
          <w:sz w:val="32"/>
        </w:rPr>
      </w:pPr>
      <w:r>
        <w:rPr>
          <w:spacing w:val="9"/>
          <w:sz w:val="32"/>
        </w:rPr>
        <w:t>累计投资不低于</w:t>
      </w:r>
      <w:r>
        <w:rPr>
          <w:spacing w:val="2"/>
          <w:sz w:val="32"/>
        </w:rPr>
        <w:t>2000</w:t>
      </w:r>
      <w:r>
        <w:rPr>
          <w:spacing w:val="8"/>
          <w:sz w:val="32"/>
        </w:rPr>
        <w:t>万美元，其中建区企业已完成包括水、电、路、厂房等基础设施建设在内的投资1000万美元以上；</w:t>
      </w:r>
    </w:p>
    <w:p>
      <w:pPr>
        <w:pStyle w:val="6"/>
        <w:numPr>
          <w:ilvl w:val="0"/>
          <w:numId w:val="3"/>
        </w:numPr>
        <w:tabs>
          <w:tab w:val="left" w:pos="1072"/>
        </w:tabs>
        <w:spacing w:before="3" w:after="0" w:line="350" w:lineRule="auto"/>
        <w:ind w:left="111" w:right="271" w:firstLine="641"/>
        <w:jc w:val="left"/>
        <w:rPr>
          <w:sz w:val="32"/>
        </w:rPr>
      </w:pPr>
      <w:r>
        <w:rPr>
          <w:spacing w:val="2"/>
          <w:sz w:val="32"/>
        </w:rPr>
        <w:t>已有</w:t>
      </w:r>
      <w:r>
        <w:rPr>
          <w:sz w:val="32"/>
        </w:rPr>
        <w:t>3家以上具备中资成分的资源加工利用型入区企业且境内投资主体不同，并已开工建设。</w:t>
      </w:r>
    </w:p>
    <w:p>
      <w:pPr>
        <w:pStyle w:val="3"/>
        <w:spacing w:before="3"/>
        <w:ind w:left="752"/>
        <w:rPr>
          <w:rFonts w:hint="eastAsia" w:ascii="楷体_GB2312" w:eastAsia="楷体_GB2312"/>
        </w:rPr>
      </w:pPr>
      <w:r>
        <w:rPr>
          <w:rFonts w:hint="eastAsia" w:ascii="楷体_GB2312" w:eastAsia="楷体_GB2312"/>
        </w:rPr>
        <w:t>（三）农业产业型合作区</w:t>
      </w:r>
    </w:p>
    <w:p>
      <w:pPr>
        <w:pStyle w:val="6"/>
        <w:numPr>
          <w:ilvl w:val="0"/>
          <w:numId w:val="4"/>
        </w:numPr>
        <w:tabs>
          <w:tab w:val="left" w:pos="1072"/>
        </w:tabs>
        <w:spacing w:before="190" w:after="0" w:line="350" w:lineRule="auto"/>
        <w:ind w:left="111" w:right="110" w:firstLine="641"/>
        <w:jc w:val="left"/>
        <w:rPr>
          <w:sz w:val="32"/>
        </w:rPr>
      </w:pPr>
      <w:r>
        <w:rPr>
          <w:spacing w:val="-10"/>
          <w:sz w:val="32"/>
        </w:rPr>
        <w:t>合作区建设可采用“一区多园”的方式，已取得完备法律</w:t>
      </w:r>
      <w:r>
        <w:rPr>
          <w:spacing w:val="-10"/>
          <w:w w:val="95"/>
          <w:sz w:val="32"/>
        </w:rPr>
        <w:t>手续的合作区土地面积合计不低于100</w:t>
      </w:r>
      <w:r>
        <w:rPr>
          <w:spacing w:val="-37"/>
          <w:w w:val="95"/>
          <w:sz w:val="32"/>
        </w:rPr>
        <w:t>万平方米</w:t>
      </w:r>
      <w:r>
        <w:rPr>
          <w:w w:val="95"/>
          <w:sz w:val="32"/>
        </w:rPr>
        <w:t xml:space="preserve">（含农作物种植、 </w:t>
      </w:r>
      <w:r>
        <w:rPr>
          <w:sz w:val="32"/>
        </w:rPr>
        <w:t>海洋渔业养殖等区域面积）；</w:t>
      </w:r>
    </w:p>
    <w:p>
      <w:pPr>
        <w:pStyle w:val="6"/>
        <w:numPr>
          <w:ilvl w:val="0"/>
          <w:numId w:val="4"/>
        </w:numPr>
        <w:tabs>
          <w:tab w:val="left" w:pos="1079"/>
        </w:tabs>
        <w:spacing w:before="4" w:after="0" w:line="350" w:lineRule="auto"/>
        <w:ind w:left="111" w:right="153" w:firstLine="641"/>
        <w:jc w:val="left"/>
        <w:rPr>
          <w:sz w:val="32"/>
        </w:rPr>
      </w:pPr>
      <w:r>
        <w:rPr>
          <w:spacing w:val="9"/>
          <w:sz w:val="32"/>
        </w:rPr>
        <w:t>累计投资不低于</w:t>
      </w:r>
      <w:r>
        <w:rPr>
          <w:spacing w:val="2"/>
          <w:sz w:val="32"/>
        </w:rPr>
        <w:t>2000</w:t>
      </w:r>
      <w:r>
        <w:rPr>
          <w:spacing w:val="8"/>
          <w:sz w:val="32"/>
        </w:rPr>
        <w:t>万美元，其中建区企业已完成包括水、电、路、厂房等基础设施建设在内的投资1000万美元以上；</w:t>
      </w:r>
    </w:p>
    <w:p>
      <w:pPr>
        <w:pStyle w:val="6"/>
        <w:numPr>
          <w:ilvl w:val="0"/>
          <w:numId w:val="4"/>
        </w:numPr>
        <w:tabs>
          <w:tab w:val="left" w:pos="1072"/>
        </w:tabs>
        <w:spacing w:before="3" w:after="0" w:line="350" w:lineRule="auto"/>
        <w:ind w:left="111" w:right="271" w:firstLine="641"/>
        <w:jc w:val="left"/>
        <w:rPr>
          <w:sz w:val="32"/>
        </w:rPr>
      </w:pPr>
      <w:r>
        <w:rPr>
          <w:spacing w:val="2"/>
          <w:sz w:val="32"/>
        </w:rPr>
        <w:t>已有</w:t>
      </w:r>
      <w:r>
        <w:rPr>
          <w:sz w:val="32"/>
        </w:rPr>
        <w:t>3家以上具备中资成分的农产品加工生产型入区企业且境内投资主体不同，并已开工建设。</w:t>
      </w:r>
    </w:p>
    <w:p>
      <w:pPr>
        <w:pStyle w:val="3"/>
        <w:spacing w:before="3"/>
        <w:ind w:left="752"/>
        <w:rPr>
          <w:rFonts w:hint="eastAsia" w:ascii="楷体_GB2312" w:eastAsia="楷体_GB2312"/>
        </w:rPr>
      </w:pPr>
      <w:r>
        <w:rPr>
          <w:rFonts w:hint="eastAsia" w:ascii="楷体_GB2312" w:eastAsia="楷体_GB2312"/>
        </w:rPr>
        <w:t>（四）商贸物流型合作区</w:t>
      </w:r>
    </w:p>
    <w:p>
      <w:pPr>
        <w:pStyle w:val="6"/>
        <w:numPr>
          <w:ilvl w:val="0"/>
          <w:numId w:val="5"/>
        </w:numPr>
        <w:tabs>
          <w:tab w:val="left" w:pos="1072"/>
        </w:tabs>
        <w:spacing w:before="190" w:after="0" w:line="350" w:lineRule="auto"/>
        <w:ind w:left="111" w:right="268" w:firstLine="641"/>
        <w:jc w:val="left"/>
        <w:rPr>
          <w:sz w:val="32"/>
        </w:rPr>
      </w:pPr>
      <w:r>
        <w:rPr>
          <w:spacing w:val="-9"/>
          <w:sz w:val="32"/>
        </w:rPr>
        <w:t>合作区建设可采用“一区多园”的方式，供商品展示、洽谈交易、物流仓储区域的建筑面积合计不少于1万平方米；</w:t>
      </w:r>
    </w:p>
    <w:p>
      <w:pPr>
        <w:pStyle w:val="6"/>
        <w:numPr>
          <w:ilvl w:val="0"/>
          <w:numId w:val="5"/>
        </w:numPr>
        <w:tabs>
          <w:tab w:val="left" w:pos="1072"/>
        </w:tabs>
        <w:spacing w:before="3" w:after="0" w:line="350" w:lineRule="auto"/>
        <w:ind w:left="111" w:right="268" w:firstLine="641"/>
        <w:jc w:val="left"/>
        <w:rPr>
          <w:sz w:val="32"/>
        </w:rPr>
      </w:pPr>
      <w:r>
        <w:rPr>
          <w:spacing w:val="-8"/>
          <w:sz w:val="32"/>
        </w:rPr>
        <w:t>建区企业已完成包括商品展示、洽谈交易、物流仓储区域</w:t>
      </w:r>
      <w:r>
        <w:rPr>
          <w:spacing w:val="-14"/>
          <w:sz w:val="32"/>
        </w:rPr>
        <w:t>的购建或租赁及水、电、路、仓储、信息网络等基础设施建设在</w:t>
      </w:r>
    </w:p>
    <w:p>
      <w:pPr>
        <w:spacing w:after="0" w:line="350" w:lineRule="auto"/>
        <w:jc w:val="left"/>
        <w:rPr>
          <w:sz w:val="32"/>
        </w:rPr>
        <w:sectPr>
          <w:pgSz w:w="11910" w:h="16840"/>
          <w:pgMar w:top="1520" w:right="1260" w:bottom="1180" w:left="1420" w:header="0" w:footer="988" w:gutter="0"/>
          <w:cols w:space="720" w:num="1"/>
        </w:sectPr>
      </w:pPr>
    </w:p>
    <w:p>
      <w:pPr>
        <w:pStyle w:val="3"/>
        <w:spacing w:before="36"/>
        <w:ind w:left="111"/>
      </w:pPr>
      <w:r>
        <w:t>内的投资1000万美元以上；</w:t>
      </w:r>
    </w:p>
    <w:p>
      <w:pPr>
        <w:pStyle w:val="6"/>
        <w:numPr>
          <w:ilvl w:val="0"/>
          <w:numId w:val="5"/>
        </w:numPr>
        <w:tabs>
          <w:tab w:val="left" w:pos="1072"/>
        </w:tabs>
        <w:spacing w:before="190" w:after="0" w:line="350" w:lineRule="auto"/>
        <w:ind w:left="111" w:right="268" w:firstLine="641"/>
        <w:jc w:val="left"/>
        <w:rPr>
          <w:sz w:val="32"/>
        </w:rPr>
      </w:pPr>
      <w:r>
        <w:rPr>
          <w:sz w:val="32"/>
        </w:rPr>
        <w:t>合作区内实际经营的中资贸易物流型企业不少于20</w:t>
      </w:r>
      <w:r>
        <w:rPr>
          <w:spacing w:val="-39"/>
          <w:sz w:val="32"/>
        </w:rPr>
        <w:t>家，带动广东年度进出口额不低于1亿美元。</w:t>
      </w:r>
    </w:p>
    <w:p>
      <w:pPr>
        <w:pStyle w:val="3"/>
        <w:spacing w:before="3"/>
        <w:ind w:left="752"/>
        <w:rPr>
          <w:rFonts w:hint="eastAsia" w:ascii="楷体_GB2312" w:eastAsia="楷体_GB2312"/>
        </w:rPr>
      </w:pPr>
      <w:r>
        <w:rPr>
          <w:rFonts w:hint="eastAsia" w:ascii="楷体_GB2312" w:eastAsia="楷体_GB2312"/>
        </w:rPr>
        <w:t>（五）科技研发型合作区</w:t>
      </w:r>
    </w:p>
    <w:p>
      <w:pPr>
        <w:pStyle w:val="6"/>
        <w:numPr>
          <w:ilvl w:val="0"/>
          <w:numId w:val="6"/>
        </w:numPr>
        <w:tabs>
          <w:tab w:val="left" w:pos="1072"/>
        </w:tabs>
        <w:spacing w:before="190" w:after="0" w:line="350" w:lineRule="auto"/>
        <w:ind w:left="111" w:right="271" w:firstLine="641"/>
        <w:jc w:val="left"/>
        <w:rPr>
          <w:sz w:val="32"/>
        </w:rPr>
      </w:pPr>
      <w:r>
        <w:rPr>
          <w:spacing w:val="-8"/>
          <w:w w:val="95"/>
          <w:sz w:val="32"/>
        </w:rPr>
        <w:t xml:space="preserve">已取得完备法律手续，用于研发、设计、实验、试制、项 </w:t>
      </w:r>
      <w:r>
        <w:rPr>
          <w:spacing w:val="-8"/>
          <w:sz w:val="32"/>
        </w:rPr>
        <w:t>目孵化路演等功能的建筑面积不低于2000平方米</w:t>
      </w:r>
    </w:p>
    <w:p>
      <w:pPr>
        <w:pStyle w:val="6"/>
        <w:numPr>
          <w:ilvl w:val="0"/>
          <w:numId w:val="6"/>
        </w:numPr>
        <w:tabs>
          <w:tab w:val="left" w:pos="1072"/>
        </w:tabs>
        <w:spacing w:before="3" w:after="0" w:line="350" w:lineRule="auto"/>
        <w:ind w:left="111" w:right="268" w:firstLine="641"/>
        <w:jc w:val="both"/>
        <w:rPr>
          <w:sz w:val="32"/>
        </w:rPr>
      </w:pPr>
      <w:r>
        <w:rPr>
          <w:sz w:val="32"/>
        </w:rPr>
        <w:t>累计投资不低于1000</w:t>
      </w:r>
      <w:r>
        <w:rPr>
          <w:spacing w:val="-12"/>
          <w:sz w:val="32"/>
        </w:rPr>
        <w:t>万美元，其中入区企业已完成研发设</w:t>
      </w:r>
      <w:r>
        <w:rPr>
          <w:spacing w:val="-18"/>
          <w:w w:val="95"/>
          <w:sz w:val="32"/>
        </w:rPr>
        <w:t>备、材料、信息系统等软硬件设施、人力资源等投资总额超过</w:t>
      </w:r>
      <w:r>
        <w:rPr>
          <w:w w:val="95"/>
          <w:sz w:val="32"/>
        </w:rPr>
        <w:t xml:space="preserve">500 </w:t>
      </w:r>
      <w:r>
        <w:rPr>
          <w:sz w:val="32"/>
        </w:rPr>
        <w:t>万美元</w:t>
      </w:r>
    </w:p>
    <w:p>
      <w:pPr>
        <w:pStyle w:val="6"/>
        <w:numPr>
          <w:ilvl w:val="0"/>
          <w:numId w:val="6"/>
        </w:numPr>
        <w:tabs>
          <w:tab w:val="left" w:pos="1072"/>
        </w:tabs>
        <w:spacing w:before="4" w:after="0" w:line="350" w:lineRule="auto"/>
        <w:ind w:left="111" w:right="271" w:firstLine="641"/>
        <w:jc w:val="left"/>
        <w:rPr>
          <w:sz w:val="32"/>
        </w:rPr>
      </w:pPr>
      <w:r>
        <w:rPr>
          <w:spacing w:val="2"/>
          <w:sz w:val="32"/>
        </w:rPr>
        <w:t>已有</w:t>
      </w:r>
      <w:r>
        <w:rPr>
          <w:sz w:val="32"/>
        </w:rPr>
        <w:t>3家以上具备中资成分的科技研发型入区企业且境内投资主体不同。</w:t>
      </w:r>
    </w:p>
    <w:p>
      <w:pPr>
        <w:pStyle w:val="6"/>
        <w:numPr>
          <w:ilvl w:val="0"/>
          <w:numId w:val="6"/>
        </w:numPr>
        <w:tabs>
          <w:tab w:val="left" w:pos="1072"/>
        </w:tabs>
        <w:spacing w:before="3" w:after="0" w:line="240" w:lineRule="auto"/>
        <w:ind w:left="1071" w:right="0" w:hanging="319"/>
        <w:jc w:val="left"/>
        <w:rPr>
          <w:sz w:val="32"/>
        </w:rPr>
      </w:pPr>
      <w:r>
        <w:rPr>
          <w:sz w:val="32"/>
        </w:rPr>
        <w:t>研发人员超过20人，已获得授权的专利技术不低于10项。</w:t>
      </w:r>
    </w:p>
    <w:p>
      <w:pPr>
        <w:pStyle w:val="3"/>
        <w:spacing w:before="191"/>
        <w:ind w:left="752"/>
        <w:rPr>
          <w:rFonts w:hint="eastAsia" w:ascii="楷体_GB2312" w:eastAsia="楷体_GB2312"/>
        </w:rPr>
      </w:pPr>
      <w:r>
        <w:rPr>
          <w:rFonts w:hint="eastAsia" w:ascii="楷体_GB2312" w:eastAsia="楷体_GB2312"/>
        </w:rPr>
        <w:t>（六）专业型合作区</w:t>
      </w:r>
    </w:p>
    <w:p>
      <w:pPr>
        <w:pStyle w:val="6"/>
        <w:numPr>
          <w:ilvl w:val="0"/>
          <w:numId w:val="7"/>
        </w:numPr>
        <w:tabs>
          <w:tab w:val="left" w:pos="1072"/>
        </w:tabs>
        <w:spacing w:before="190" w:after="0" w:line="240" w:lineRule="auto"/>
        <w:ind w:left="1071" w:right="0" w:hanging="319"/>
        <w:jc w:val="left"/>
        <w:rPr>
          <w:sz w:val="32"/>
        </w:rPr>
      </w:pPr>
      <w:r>
        <w:rPr>
          <w:sz w:val="32"/>
        </w:rPr>
        <w:t>已取得完备法律手续的土地面积不低于10万平方米</w:t>
      </w:r>
    </w:p>
    <w:p>
      <w:pPr>
        <w:pStyle w:val="6"/>
        <w:numPr>
          <w:ilvl w:val="0"/>
          <w:numId w:val="7"/>
        </w:numPr>
        <w:tabs>
          <w:tab w:val="left" w:pos="1072"/>
        </w:tabs>
        <w:spacing w:before="190" w:after="0" w:line="350" w:lineRule="auto"/>
        <w:ind w:left="111" w:right="268" w:firstLine="641"/>
        <w:jc w:val="left"/>
        <w:rPr>
          <w:sz w:val="32"/>
        </w:rPr>
      </w:pPr>
      <w:r>
        <w:rPr>
          <w:spacing w:val="-12"/>
          <w:sz w:val="32"/>
        </w:rPr>
        <w:t>已完成合作区水、电、路、厂房等基础设施建设和生产设备设施投资5000万美元以上；</w:t>
      </w:r>
    </w:p>
    <w:p>
      <w:pPr>
        <w:pStyle w:val="6"/>
        <w:numPr>
          <w:ilvl w:val="0"/>
          <w:numId w:val="7"/>
        </w:numPr>
        <w:tabs>
          <w:tab w:val="left" w:pos="1072"/>
        </w:tabs>
        <w:spacing w:before="3" w:after="0" w:line="350" w:lineRule="auto"/>
        <w:ind w:left="111" w:right="268" w:firstLine="641"/>
        <w:jc w:val="left"/>
        <w:rPr>
          <w:sz w:val="32"/>
        </w:rPr>
      </w:pPr>
      <w:r>
        <w:rPr>
          <w:sz w:val="32"/>
        </w:rPr>
        <w:t>合作区年产值不低于2亿美元，带动广东年度进出口额不低于1亿美元。</w:t>
      </w:r>
    </w:p>
    <w:p>
      <w:pPr>
        <w:spacing w:after="0" w:line="350" w:lineRule="auto"/>
        <w:jc w:val="left"/>
        <w:rPr>
          <w:sz w:val="32"/>
        </w:rPr>
        <w:sectPr>
          <w:pgSz w:w="11910" w:h="16840"/>
          <w:pgMar w:top="1520" w:right="1260" w:bottom="1180" w:left="1420" w:header="0" w:footer="988" w:gutter="0"/>
          <w:cols w:space="720" w:num="1"/>
        </w:sectPr>
      </w:pPr>
    </w:p>
    <w:p>
      <w:pPr>
        <w:pStyle w:val="3"/>
        <w:spacing w:before="36"/>
        <w:ind w:left="111"/>
        <w:rPr>
          <w:rFonts w:hint="eastAsia" w:ascii="黑体" w:eastAsia="黑体"/>
        </w:rPr>
      </w:pPr>
      <w:r>
        <w:rPr>
          <w:rFonts w:hint="eastAsia" w:ascii="黑体" w:eastAsia="黑体"/>
        </w:rPr>
        <w:t>附件2</w:t>
      </w:r>
    </w:p>
    <w:p>
      <w:pPr>
        <w:pStyle w:val="3"/>
        <w:spacing w:before="2"/>
        <w:rPr>
          <w:rFonts w:ascii="黑体"/>
          <w:sz w:val="27"/>
        </w:rPr>
      </w:pPr>
    </w:p>
    <w:p>
      <w:pPr>
        <w:pStyle w:val="2"/>
        <w:spacing w:line="254" w:lineRule="auto"/>
        <w:ind w:left="3423" w:right="1842" w:hanging="1321"/>
      </w:pPr>
      <w:r>
        <w:t>合作区确认考核和年度考核申请材料要求</w:t>
      </w:r>
    </w:p>
    <w:p>
      <w:pPr>
        <w:pStyle w:val="3"/>
        <w:rPr>
          <w:rFonts w:ascii="宋体"/>
          <w:sz w:val="20"/>
        </w:rPr>
      </w:pPr>
    </w:p>
    <w:p>
      <w:pPr>
        <w:pStyle w:val="3"/>
        <w:rPr>
          <w:rFonts w:ascii="宋体"/>
          <w:sz w:val="20"/>
        </w:rPr>
      </w:pPr>
    </w:p>
    <w:p>
      <w:pPr>
        <w:pStyle w:val="3"/>
        <w:spacing w:before="215"/>
        <w:ind w:left="752"/>
        <w:rPr>
          <w:rFonts w:hint="eastAsia" w:ascii="黑体" w:eastAsia="黑体"/>
        </w:rPr>
      </w:pPr>
      <w:r>
        <w:rPr>
          <w:rFonts w:hint="eastAsia" w:ascii="黑体" w:eastAsia="黑体"/>
        </w:rPr>
        <w:t>一、确认考核申请材料要求</w:t>
      </w:r>
    </w:p>
    <w:p>
      <w:pPr>
        <w:pStyle w:val="3"/>
        <w:spacing w:before="190"/>
        <w:ind w:left="752"/>
        <w:rPr>
          <w:rFonts w:hint="eastAsia" w:ascii="楷体_GB2312" w:eastAsia="楷体_GB2312"/>
        </w:rPr>
      </w:pPr>
      <w:r>
        <w:rPr>
          <w:rFonts w:hint="eastAsia" w:ascii="楷体_GB2312" w:eastAsia="楷体_GB2312"/>
        </w:rPr>
        <w:t>（一）申请报告</w:t>
      </w:r>
    </w:p>
    <w:p>
      <w:pPr>
        <w:pStyle w:val="3"/>
        <w:spacing w:before="190" w:line="350" w:lineRule="auto"/>
        <w:ind w:left="111" w:right="153" w:firstLine="640"/>
      </w:pPr>
      <w:r>
        <w:rPr>
          <w:spacing w:val="-15"/>
        </w:rPr>
        <w:t xml:space="preserve">对符合附件 </w:t>
      </w:r>
      <w:r>
        <w:t>1</w:t>
      </w:r>
      <w:r>
        <w:rPr>
          <w:spacing w:val="-10"/>
        </w:rPr>
        <w:t xml:space="preserve"> 具体要求的合作区，实施企业可以申请考核， </w:t>
      </w:r>
      <w:r>
        <w:rPr>
          <w:spacing w:val="-14"/>
        </w:rPr>
        <w:t>提交申请报告。主要内容包括：实施企业及建区企业概况、合作</w:t>
      </w:r>
      <w:r>
        <w:rPr>
          <w:spacing w:val="-16"/>
        </w:rPr>
        <w:t>区规划及产业定位、所在国有关产业发展及扶持政策、基础设施建设情况、生产运营效益与履行社会责任情况等。</w:t>
      </w:r>
    </w:p>
    <w:p>
      <w:pPr>
        <w:pStyle w:val="3"/>
        <w:spacing w:before="6"/>
        <w:ind w:left="752"/>
        <w:rPr>
          <w:rFonts w:hint="eastAsia" w:ascii="楷体_GB2312" w:eastAsia="楷体_GB2312"/>
        </w:rPr>
      </w:pPr>
      <w:r>
        <w:rPr>
          <w:rFonts w:hint="eastAsia" w:ascii="楷体_GB2312" w:eastAsia="楷体_GB2312"/>
        </w:rPr>
        <w:t>（二）申请材料</w:t>
      </w:r>
    </w:p>
    <w:p>
      <w:pPr>
        <w:pStyle w:val="6"/>
        <w:numPr>
          <w:ilvl w:val="0"/>
          <w:numId w:val="8"/>
        </w:numPr>
        <w:tabs>
          <w:tab w:val="left" w:pos="1072"/>
        </w:tabs>
        <w:spacing w:before="190" w:after="0" w:line="240" w:lineRule="auto"/>
        <w:ind w:left="1071" w:right="0" w:hanging="319"/>
        <w:jc w:val="left"/>
        <w:rPr>
          <w:sz w:val="32"/>
        </w:rPr>
      </w:pPr>
      <w:r>
        <w:rPr>
          <w:sz w:val="32"/>
        </w:rPr>
        <w:t>商务主管部门颁发的《企业境外投资证书》；</w:t>
      </w:r>
    </w:p>
    <w:p>
      <w:pPr>
        <w:pStyle w:val="6"/>
        <w:numPr>
          <w:ilvl w:val="0"/>
          <w:numId w:val="8"/>
        </w:numPr>
        <w:tabs>
          <w:tab w:val="left" w:pos="1072"/>
        </w:tabs>
        <w:spacing w:before="190" w:after="0" w:line="350" w:lineRule="auto"/>
        <w:ind w:left="111" w:right="268" w:firstLine="641"/>
        <w:jc w:val="left"/>
        <w:rPr>
          <w:sz w:val="32"/>
        </w:rPr>
      </w:pPr>
      <w:r>
        <w:rPr>
          <w:spacing w:val="-10"/>
          <w:sz w:val="32"/>
        </w:rPr>
        <w:t>建区企业登记注册、股东出资证明、企业章程、董事会构成等文件</w:t>
      </w:r>
    </w:p>
    <w:p>
      <w:pPr>
        <w:pStyle w:val="6"/>
        <w:numPr>
          <w:ilvl w:val="0"/>
          <w:numId w:val="8"/>
        </w:numPr>
        <w:tabs>
          <w:tab w:val="left" w:pos="1072"/>
        </w:tabs>
        <w:spacing w:before="3" w:after="0" w:line="240" w:lineRule="auto"/>
        <w:ind w:left="1071" w:right="0" w:hanging="319"/>
        <w:jc w:val="left"/>
        <w:rPr>
          <w:sz w:val="32"/>
        </w:rPr>
      </w:pPr>
      <w:r>
        <w:rPr>
          <w:spacing w:val="-14"/>
          <w:sz w:val="32"/>
        </w:rPr>
        <w:t xml:space="preserve">实施企业近 </w:t>
      </w:r>
      <w:r>
        <w:rPr>
          <w:sz w:val="32"/>
        </w:rPr>
        <w:t>2</w:t>
      </w:r>
      <w:r>
        <w:rPr>
          <w:spacing w:val="-10"/>
          <w:sz w:val="32"/>
        </w:rPr>
        <w:t xml:space="preserve"> 年经会计师事务所审计的财务报告等材料；</w:t>
      </w:r>
    </w:p>
    <w:p>
      <w:pPr>
        <w:pStyle w:val="6"/>
        <w:numPr>
          <w:ilvl w:val="0"/>
          <w:numId w:val="8"/>
        </w:numPr>
        <w:tabs>
          <w:tab w:val="left" w:pos="1072"/>
        </w:tabs>
        <w:spacing w:before="190" w:after="0" w:line="350" w:lineRule="auto"/>
        <w:ind w:left="111" w:right="268" w:firstLine="641"/>
        <w:jc w:val="left"/>
        <w:rPr>
          <w:sz w:val="32"/>
        </w:rPr>
      </w:pPr>
      <w:r>
        <w:rPr>
          <w:spacing w:val="-17"/>
          <w:sz w:val="32"/>
        </w:rPr>
        <w:t xml:space="preserve">合作区近 </w:t>
      </w:r>
      <w:r>
        <w:rPr>
          <w:sz w:val="32"/>
        </w:rPr>
        <w:t>2</w:t>
      </w:r>
      <w:r>
        <w:rPr>
          <w:spacing w:val="-17"/>
          <w:sz w:val="32"/>
        </w:rPr>
        <w:t xml:space="preserve"> 年经会计师事务所审计的财务报告、银行存款证明、资金来源证明等材料</w:t>
      </w:r>
    </w:p>
    <w:p>
      <w:pPr>
        <w:pStyle w:val="6"/>
        <w:numPr>
          <w:ilvl w:val="0"/>
          <w:numId w:val="8"/>
        </w:numPr>
        <w:tabs>
          <w:tab w:val="left" w:pos="1072"/>
        </w:tabs>
        <w:spacing w:before="3" w:after="0" w:line="240" w:lineRule="auto"/>
        <w:ind w:left="1071" w:right="0" w:hanging="319"/>
        <w:jc w:val="left"/>
        <w:rPr>
          <w:sz w:val="32"/>
        </w:rPr>
      </w:pPr>
      <w:r>
        <w:rPr>
          <w:sz w:val="32"/>
        </w:rPr>
        <w:t>合作区用地法律手续文件</w:t>
      </w:r>
    </w:p>
    <w:p>
      <w:pPr>
        <w:pStyle w:val="6"/>
        <w:numPr>
          <w:ilvl w:val="0"/>
          <w:numId w:val="8"/>
        </w:numPr>
        <w:tabs>
          <w:tab w:val="left" w:pos="1072"/>
        </w:tabs>
        <w:spacing w:before="190" w:after="0" w:line="240" w:lineRule="auto"/>
        <w:ind w:left="1071" w:right="0" w:hanging="319"/>
        <w:jc w:val="left"/>
        <w:rPr>
          <w:sz w:val="32"/>
        </w:rPr>
      </w:pPr>
      <w:r>
        <w:rPr>
          <w:sz w:val="32"/>
        </w:rPr>
        <w:t>合作区总体规划</w:t>
      </w:r>
    </w:p>
    <w:p>
      <w:pPr>
        <w:pStyle w:val="6"/>
        <w:numPr>
          <w:ilvl w:val="0"/>
          <w:numId w:val="8"/>
        </w:numPr>
        <w:tabs>
          <w:tab w:val="left" w:pos="1072"/>
        </w:tabs>
        <w:spacing w:before="190" w:after="0" w:line="350" w:lineRule="auto"/>
        <w:ind w:left="111" w:right="271" w:firstLine="641"/>
        <w:jc w:val="left"/>
        <w:rPr>
          <w:sz w:val="32"/>
        </w:rPr>
      </w:pPr>
      <w:r>
        <w:rPr>
          <w:spacing w:val="-6"/>
          <w:w w:val="95"/>
          <w:sz w:val="32"/>
        </w:rPr>
        <w:t xml:space="preserve">合作区所在国明确的有关产业发展及扶持政策文件，以及 </w:t>
      </w:r>
      <w:r>
        <w:rPr>
          <w:spacing w:val="-6"/>
          <w:sz w:val="32"/>
        </w:rPr>
        <w:t>合作区与所在国政府签署的优惠政策协议（如有）</w:t>
      </w:r>
    </w:p>
    <w:p>
      <w:pPr>
        <w:pStyle w:val="6"/>
        <w:numPr>
          <w:ilvl w:val="0"/>
          <w:numId w:val="8"/>
        </w:numPr>
        <w:tabs>
          <w:tab w:val="left" w:pos="1072"/>
        </w:tabs>
        <w:spacing w:before="3" w:after="0" w:line="350" w:lineRule="auto"/>
        <w:ind w:left="111" w:right="271" w:firstLine="641"/>
        <w:jc w:val="left"/>
        <w:rPr>
          <w:sz w:val="32"/>
        </w:rPr>
      </w:pPr>
      <w:r>
        <w:rPr>
          <w:spacing w:val="-11"/>
          <w:w w:val="95"/>
          <w:sz w:val="32"/>
        </w:rPr>
        <w:t xml:space="preserve">合作区内土地、基础和公共服务设施、构筑物等建设状况 </w:t>
      </w:r>
      <w:r>
        <w:rPr>
          <w:spacing w:val="-11"/>
          <w:sz w:val="32"/>
        </w:rPr>
        <w:t>及相关支出的合法凭证</w:t>
      </w:r>
    </w:p>
    <w:p>
      <w:pPr>
        <w:spacing w:after="0" w:line="350" w:lineRule="auto"/>
        <w:jc w:val="left"/>
        <w:rPr>
          <w:sz w:val="32"/>
        </w:rPr>
        <w:sectPr>
          <w:footerReference r:id="rId5" w:type="default"/>
          <w:footerReference r:id="rId6" w:type="even"/>
          <w:pgSz w:w="11910" w:h="16840"/>
          <w:pgMar w:top="1520" w:right="1260" w:bottom="1180" w:left="1420" w:header="0" w:footer="988" w:gutter="0"/>
          <w:pgNumType w:start="10"/>
          <w:cols w:space="720" w:num="1"/>
        </w:sectPr>
      </w:pPr>
    </w:p>
    <w:p>
      <w:pPr>
        <w:pStyle w:val="6"/>
        <w:numPr>
          <w:ilvl w:val="0"/>
          <w:numId w:val="8"/>
        </w:numPr>
        <w:tabs>
          <w:tab w:val="left" w:pos="1072"/>
        </w:tabs>
        <w:spacing w:before="36" w:after="0" w:line="240" w:lineRule="auto"/>
        <w:ind w:left="1071" w:right="0" w:hanging="319"/>
        <w:jc w:val="left"/>
        <w:rPr>
          <w:sz w:val="32"/>
        </w:rPr>
      </w:pPr>
      <w:r>
        <w:rPr>
          <w:sz w:val="32"/>
        </w:rPr>
        <w:t>合作区水、电、路、气、通信等外部配套条件情况</w:t>
      </w:r>
    </w:p>
    <w:p>
      <w:pPr>
        <w:pStyle w:val="6"/>
        <w:numPr>
          <w:ilvl w:val="0"/>
          <w:numId w:val="8"/>
        </w:numPr>
        <w:tabs>
          <w:tab w:val="left" w:pos="1233"/>
        </w:tabs>
        <w:spacing w:before="190" w:after="0" w:line="240" w:lineRule="auto"/>
        <w:ind w:left="1232" w:right="0" w:hanging="480"/>
        <w:jc w:val="left"/>
        <w:rPr>
          <w:sz w:val="32"/>
        </w:rPr>
      </w:pPr>
      <w:r>
        <w:rPr>
          <w:sz w:val="32"/>
        </w:rPr>
        <w:t>入区企业注册、投资、运营等相关文件</w:t>
      </w:r>
    </w:p>
    <w:p>
      <w:pPr>
        <w:pStyle w:val="6"/>
        <w:numPr>
          <w:ilvl w:val="0"/>
          <w:numId w:val="8"/>
        </w:numPr>
        <w:tabs>
          <w:tab w:val="left" w:pos="1233"/>
        </w:tabs>
        <w:spacing w:before="190" w:after="0" w:line="240" w:lineRule="auto"/>
        <w:ind w:left="1232" w:right="0" w:hanging="480"/>
        <w:jc w:val="left"/>
        <w:rPr>
          <w:sz w:val="32"/>
        </w:rPr>
      </w:pPr>
      <w:r>
        <w:rPr>
          <w:sz w:val="32"/>
        </w:rPr>
        <w:t>合作区已具备的管理和服务能力等相关材料</w:t>
      </w:r>
    </w:p>
    <w:p>
      <w:pPr>
        <w:pStyle w:val="6"/>
        <w:numPr>
          <w:ilvl w:val="0"/>
          <w:numId w:val="8"/>
        </w:numPr>
        <w:tabs>
          <w:tab w:val="left" w:pos="1233"/>
        </w:tabs>
        <w:spacing w:before="190" w:after="0" w:line="240" w:lineRule="auto"/>
        <w:ind w:left="1232" w:right="0" w:hanging="480"/>
        <w:jc w:val="left"/>
        <w:rPr>
          <w:sz w:val="32"/>
        </w:rPr>
      </w:pPr>
      <w:r>
        <w:rPr>
          <w:sz w:val="32"/>
        </w:rPr>
        <w:t>合作区风险防范办法、安全生产、突发事件应急预案</w:t>
      </w:r>
    </w:p>
    <w:p>
      <w:pPr>
        <w:pStyle w:val="6"/>
        <w:numPr>
          <w:ilvl w:val="0"/>
          <w:numId w:val="8"/>
        </w:numPr>
        <w:tabs>
          <w:tab w:val="left" w:pos="1233"/>
        </w:tabs>
        <w:spacing w:before="190" w:after="0" w:line="350" w:lineRule="auto"/>
        <w:ind w:left="111" w:right="271" w:firstLine="641"/>
        <w:jc w:val="both"/>
        <w:rPr>
          <w:sz w:val="32"/>
        </w:rPr>
      </w:pPr>
      <w:r>
        <w:rPr>
          <w:sz w:val="32"/>
        </w:rPr>
        <w:t>合作区建设运营情况。包括合作区产值、带动进出口、</w:t>
      </w:r>
      <w:r>
        <w:rPr>
          <w:spacing w:val="6"/>
          <w:w w:val="95"/>
          <w:sz w:val="32"/>
        </w:rPr>
        <w:t xml:space="preserve">开展技术合作、促进与我省产业协同发展及所在国经济社会发 </w:t>
      </w:r>
      <w:r>
        <w:rPr>
          <w:spacing w:val="6"/>
          <w:sz w:val="32"/>
        </w:rPr>
        <w:t>展、履行社会责任等方面的材料</w:t>
      </w:r>
    </w:p>
    <w:p>
      <w:pPr>
        <w:pStyle w:val="6"/>
        <w:numPr>
          <w:ilvl w:val="0"/>
          <w:numId w:val="8"/>
        </w:numPr>
        <w:tabs>
          <w:tab w:val="left" w:pos="1233"/>
        </w:tabs>
        <w:spacing w:before="5" w:after="0" w:line="240" w:lineRule="auto"/>
        <w:ind w:left="1232" w:right="0" w:hanging="480"/>
        <w:jc w:val="left"/>
        <w:rPr>
          <w:sz w:val="32"/>
        </w:rPr>
      </w:pPr>
      <w:r>
        <w:rPr>
          <w:sz w:val="32"/>
        </w:rPr>
        <w:t>实施企业认为需提交的其他材料。</w:t>
      </w:r>
    </w:p>
    <w:p>
      <w:pPr>
        <w:pStyle w:val="3"/>
        <w:spacing w:before="190"/>
        <w:ind w:left="752"/>
        <w:rPr>
          <w:rFonts w:hint="eastAsia" w:ascii="黑体" w:eastAsia="黑体"/>
        </w:rPr>
      </w:pPr>
      <w:r>
        <w:rPr>
          <w:rFonts w:hint="eastAsia" w:ascii="黑体" w:eastAsia="黑体"/>
        </w:rPr>
        <w:t>二、年度考核申请材料要求</w:t>
      </w:r>
    </w:p>
    <w:p>
      <w:pPr>
        <w:pStyle w:val="3"/>
        <w:spacing w:before="190"/>
        <w:ind w:left="752"/>
        <w:rPr>
          <w:rFonts w:hint="eastAsia" w:ascii="楷体_GB2312" w:eastAsia="楷体_GB2312"/>
        </w:rPr>
      </w:pPr>
      <w:r>
        <w:rPr>
          <w:rFonts w:hint="eastAsia" w:ascii="楷体_GB2312" w:eastAsia="楷体_GB2312"/>
        </w:rPr>
        <w:t>（一）申请报告</w:t>
      </w:r>
    </w:p>
    <w:p>
      <w:pPr>
        <w:pStyle w:val="3"/>
        <w:spacing w:before="190" w:line="350" w:lineRule="auto"/>
        <w:ind w:left="111" w:right="268" w:firstLine="640"/>
        <w:jc w:val="both"/>
      </w:pPr>
      <w:r>
        <w:rPr>
          <w:spacing w:val="6"/>
          <w:w w:val="95"/>
        </w:rPr>
        <w:t xml:space="preserve">通过确认考核的合作区实施企业根据年度考核的主要内容 </w:t>
      </w:r>
      <w:r>
        <w:rPr>
          <w:spacing w:val="-7"/>
          <w:w w:val="95"/>
        </w:rPr>
        <w:t xml:space="preserve">申请考核，提交申请报告。主要内容包括：合作区基本情况、基 </w:t>
      </w:r>
      <w:r>
        <w:rPr>
          <w:spacing w:val="-13"/>
        </w:rPr>
        <w:t>础设施和公共服务配套设施年度建设情况、企业入区情况及规模效益、合作区生产运营管理与提供服务情况、促进双边经贸关系发展主要情况、主要变更及调整内容等。</w:t>
      </w:r>
    </w:p>
    <w:p>
      <w:pPr>
        <w:pStyle w:val="3"/>
        <w:spacing w:before="7"/>
        <w:ind w:left="752"/>
        <w:rPr>
          <w:rFonts w:hint="eastAsia" w:ascii="楷体_GB2312" w:eastAsia="楷体_GB2312"/>
        </w:rPr>
      </w:pPr>
      <w:r>
        <w:rPr>
          <w:rFonts w:hint="eastAsia" w:ascii="楷体_GB2312" w:eastAsia="楷体_GB2312"/>
        </w:rPr>
        <w:t>（二）申请材料</w:t>
      </w:r>
    </w:p>
    <w:p>
      <w:pPr>
        <w:pStyle w:val="6"/>
        <w:numPr>
          <w:ilvl w:val="0"/>
          <w:numId w:val="9"/>
        </w:numPr>
        <w:tabs>
          <w:tab w:val="left" w:pos="1072"/>
        </w:tabs>
        <w:spacing w:before="190" w:after="0" w:line="240" w:lineRule="auto"/>
        <w:ind w:left="1071" w:right="0" w:hanging="319"/>
        <w:jc w:val="left"/>
        <w:rPr>
          <w:sz w:val="32"/>
        </w:rPr>
      </w:pPr>
      <w:r>
        <w:rPr>
          <w:sz w:val="32"/>
        </w:rPr>
        <w:t>合作区确认函</w:t>
      </w:r>
    </w:p>
    <w:p>
      <w:pPr>
        <w:pStyle w:val="6"/>
        <w:numPr>
          <w:ilvl w:val="0"/>
          <w:numId w:val="9"/>
        </w:numPr>
        <w:tabs>
          <w:tab w:val="left" w:pos="1079"/>
        </w:tabs>
        <w:spacing w:before="191" w:after="0" w:line="350" w:lineRule="auto"/>
        <w:ind w:left="111" w:right="271" w:firstLine="641"/>
        <w:jc w:val="left"/>
        <w:rPr>
          <w:sz w:val="32"/>
        </w:rPr>
      </w:pPr>
      <w:r>
        <w:rPr>
          <w:spacing w:val="6"/>
          <w:w w:val="95"/>
          <w:sz w:val="32"/>
        </w:rPr>
        <w:t xml:space="preserve">经会计师事务所审计的合作区年度财务报告以及银行存 </w:t>
      </w:r>
      <w:r>
        <w:rPr>
          <w:spacing w:val="6"/>
          <w:sz w:val="32"/>
        </w:rPr>
        <w:t>款和资金来源文件</w:t>
      </w:r>
    </w:p>
    <w:p>
      <w:pPr>
        <w:pStyle w:val="6"/>
        <w:numPr>
          <w:ilvl w:val="0"/>
          <w:numId w:val="9"/>
        </w:numPr>
        <w:tabs>
          <w:tab w:val="left" w:pos="1072"/>
        </w:tabs>
        <w:spacing w:before="2" w:after="0" w:line="240" w:lineRule="auto"/>
        <w:ind w:left="1071" w:right="0" w:hanging="319"/>
        <w:jc w:val="left"/>
        <w:rPr>
          <w:sz w:val="32"/>
        </w:rPr>
      </w:pPr>
      <w:r>
        <w:rPr>
          <w:sz w:val="32"/>
        </w:rPr>
        <w:t>合作区考核期内建设、发展投资相关支出的合法凭证</w:t>
      </w:r>
    </w:p>
    <w:p>
      <w:pPr>
        <w:pStyle w:val="6"/>
        <w:numPr>
          <w:ilvl w:val="0"/>
          <w:numId w:val="9"/>
        </w:numPr>
        <w:tabs>
          <w:tab w:val="left" w:pos="1072"/>
        </w:tabs>
        <w:spacing w:before="191" w:after="0" w:line="240" w:lineRule="auto"/>
        <w:ind w:left="1071" w:right="0" w:hanging="319"/>
        <w:jc w:val="left"/>
        <w:rPr>
          <w:sz w:val="32"/>
        </w:rPr>
      </w:pPr>
      <w:r>
        <w:rPr>
          <w:sz w:val="32"/>
        </w:rPr>
        <w:t>新增入区企业注册、投资、运营等相关文件</w:t>
      </w:r>
    </w:p>
    <w:p>
      <w:pPr>
        <w:pStyle w:val="6"/>
        <w:numPr>
          <w:ilvl w:val="0"/>
          <w:numId w:val="9"/>
        </w:numPr>
        <w:tabs>
          <w:tab w:val="left" w:pos="1072"/>
        </w:tabs>
        <w:spacing w:before="190" w:after="0" w:line="350" w:lineRule="auto"/>
        <w:ind w:left="111" w:right="110" w:firstLine="641"/>
        <w:jc w:val="left"/>
        <w:rPr>
          <w:sz w:val="32"/>
        </w:rPr>
      </w:pPr>
      <w:r>
        <w:rPr>
          <w:spacing w:val="-19"/>
          <w:sz w:val="32"/>
        </w:rPr>
        <w:t>实施企业重组或股东变化、建设用地变化、园区规划变更、产业定位等主要调整情况及批复文件</w:t>
      </w:r>
    </w:p>
    <w:p>
      <w:pPr>
        <w:spacing w:after="0" w:line="350" w:lineRule="auto"/>
        <w:jc w:val="left"/>
        <w:rPr>
          <w:sz w:val="32"/>
        </w:rPr>
        <w:sectPr>
          <w:pgSz w:w="11910" w:h="16840"/>
          <w:pgMar w:top="1520" w:right="1260" w:bottom="1180" w:left="1420" w:header="0" w:footer="988" w:gutter="0"/>
          <w:cols w:space="720" w:num="1"/>
        </w:sectPr>
      </w:pPr>
    </w:p>
    <w:p>
      <w:pPr>
        <w:pStyle w:val="6"/>
        <w:numPr>
          <w:ilvl w:val="0"/>
          <w:numId w:val="9"/>
        </w:numPr>
        <w:tabs>
          <w:tab w:val="left" w:pos="1072"/>
        </w:tabs>
        <w:spacing w:before="36" w:after="0" w:line="350" w:lineRule="auto"/>
        <w:ind w:left="111" w:right="110" w:firstLine="641"/>
        <w:jc w:val="left"/>
        <w:rPr>
          <w:sz w:val="32"/>
        </w:rPr>
      </w:pPr>
      <w:r>
        <w:rPr>
          <w:spacing w:val="-19"/>
          <w:sz w:val="32"/>
        </w:rPr>
        <w:t>合作区年度建设运营成效。包括合作区产值、带动进出口、</w:t>
      </w:r>
      <w:r>
        <w:rPr>
          <w:spacing w:val="-17"/>
          <w:sz w:val="32"/>
        </w:rPr>
        <w:t>开展技术合作、增加所在国就业和税收，促进与我省产业协同发展及所在国经济社会发展、履行社会责任等方面的材料</w:t>
      </w:r>
    </w:p>
    <w:p>
      <w:pPr>
        <w:pStyle w:val="6"/>
        <w:numPr>
          <w:ilvl w:val="0"/>
          <w:numId w:val="9"/>
        </w:numPr>
        <w:tabs>
          <w:tab w:val="left" w:pos="1072"/>
        </w:tabs>
        <w:spacing w:before="4" w:after="0" w:line="240" w:lineRule="auto"/>
        <w:ind w:left="1071" w:right="0" w:hanging="319"/>
        <w:jc w:val="left"/>
        <w:rPr>
          <w:sz w:val="32"/>
        </w:rPr>
      </w:pPr>
      <w:r>
        <w:rPr>
          <w:sz w:val="32"/>
        </w:rPr>
        <w:t>实施企业认为需提交的其他材料。</w:t>
      </w:r>
    </w:p>
    <w:p>
      <w:pPr>
        <w:pStyle w:val="3"/>
        <w:spacing w:before="191"/>
        <w:ind w:left="752"/>
        <w:rPr>
          <w:rFonts w:hint="eastAsia" w:ascii="黑体" w:eastAsia="黑体"/>
        </w:rPr>
      </w:pPr>
      <w:r>
        <w:rPr>
          <w:rFonts w:hint="eastAsia" w:ascii="黑体" w:eastAsia="黑体"/>
        </w:rPr>
        <w:t>三、报送要求</w:t>
      </w:r>
    </w:p>
    <w:p>
      <w:pPr>
        <w:pStyle w:val="3"/>
        <w:spacing w:before="190" w:line="350" w:lineRule="auto"/>
        <w:ind w:left="111" w:right="268" w:firstLine="640"/>
        <w:jc w:val="both"/>
      </w:pPr>
      <w:r>
        <w:rPr>
          <w:spacing w:val="-8"/>
          <w:w w:val="95"/>
        </w:rPr>
        <w:t xml:space="preserve">申请材料须真实合法，按证明材料序号整理并装订成册；复 </w:t>
      </w:r>
      <w:r>
        <w:rPr>
          <w:spacing w:val="6"/>
          <w:w w:val="95"/>
        </w:rPr>
        <w:t xml:space="preserve">印件必须每页加盖申请企业公章，外文资料须同时报送中文译 </w:t>
      </w:r>
      <w:r>
        <w:rPr>
          <w:spacing w:val="6"/>
        </w:rPr>
        <w:t>本。</w:t>
      </w:r>
    </w:p>
    <w:p>
      <w:pPr>
        <w:spacing w:after="0" w:line="350" w:lineRule="auto"/>
        <w:jc w:val="both"/>
        <w:sectPr>
          <w:pgSz w:w="11910" w:h="16840"/>
          <w:pgMar w:top="1520" w:right="1260" w:bottom="1180" w:left="1420" w:header="0" w:footer="988" w:gutter="0"/>
          <w:cols w:space="720" w:num="1"/>
        </w:sectPr>
      </w:pPr>
    </w:p>
    <w:p>
      <w:pPr>
        <w:pStyle w:val="3"/>
        <w:spacing w:before="40"/>
        <w:ind w:left="380"/>
        <w:rPr>
          <w:rFonts w:hint="eastAsia" w:ascii="黑体" w:eastAsia="黑体"/>
        </w:rPr>
      </w:pPr>
      <w:r>
        <w:rPr>
          <w:rFonts w:hint="eastAsia" w:ascii="黑体" w:eastAsia="黑体"/>
        </w:rPr>
        <w:t>附件 3</w:t>
      </w:r>
    </w:p>
    <w:p>
      <w:pPr>
        <w:pStyle w:val="3"/>
        <w:rPr>
          <w:rFonts w:ascii="黑体"/>
          <w:sz w:val="20"/>
        </w:rPr>
      </w:pPr>
    </w:p>
    <w:p>
      <w:pPr>
        <w:pStyle w:val="3"/>
        <w:spacing w:before="8"/>
        <w:rPr>
          <w:rFonts w:ascii="黑体"/>
          <w:sz w:val="28"/>
        </w:rPr>
      </w:pPr>
    </w:p>
    <w:p>
      <w:pPr>
        <w:pStyle w:val="2"/>
        <w:spacing w:before="45"/>
        <w:ind w:left="1673"/>
      </w:pPr>
      <w:r>
        <w:t>广东省境外经贸合作区确认函</w:t>
      </w:r>
    </w:p>
    <w:p>
      <w:pPr>
        <w:pStyle w:val="3"/>
        <w:rPr>
          <w:rFonts w:ascii="宋体"/>
          <w:sz w:val="20"/>
        </w:rPr>
      </w:pPr>
    </w:p>
    <w:p>
      <w:pPr>
        <w:pStyle w:val="3"/>
        <w:rPr>
          <w:rFonts w:ascii="宋体"/>
          <w:sz w:val="20"/>
        </w:rPr>
      </w:pPr>
    </w:p>
    <w:p>
      <w:pPr>
        <w:pStyle w:val="3"/>
        <w:spacing w:before="2"/>
        <w:rPr>
          <w:rFonts w:ascii="宋体"/>
          <w:sz w:val="14"/>
        </w:rPr>
      </w:pPr>
    </w:p>
    <w:p>
      <w:pPr>
        <w:pStyle w:val="3"/>
        <w:tabs>
          <w:tab w:val="left" w:pos="2461"/>
        </w:tabs>
        <w:spacing w:before="65"/>
        <w:ind w:left="380"/>
      </w:pPr>
      <w:r>
        <w:rPr>
          <w:rFonts w:ascii="Times New Roman" w:eastAsia="Times New Roman"/>
          <w:w w:val="99"/>
          <w:u w:val="single"/>
        </w:rPr>
        <w:t xml:space="preserve"> </w:t>
      </w:r>
      <w:r>
        <w:rPr>
          <w:rFonts w:ascii="Times New Roman" w:eastAsia="Times New Roman"/>
          <w:u w:val="single"/>
        </w:rPr>
        <w:tab/>
      </w:r>
      <w:r>
        <w:t>（合作区实施企业名称）</w:t>
      </w:r>
    </w:p>
    <w:p>
      <w:pPr>
        <w:pStyle w:val="3"/>
        <w:tabs>
          <w:tab w:val="left" w:pos="3097"/>
          <w:tab w:val="left" w:pos="7729"/>
        </w:tabs>
        <w:spacing w:before="190" w:line="350" w:lineRule="auto"/>
        <w:ind w:left="380" w:right="539" w:firstLine="640"/>
        <w:jc w:val="both"/>
      </w:pPr>
      <w:r>
        <w:rPr>
          <w:w w:val="95"/>
        </w:rPr>
        <w:t>根</w:t>
      </w:r>
      <w:r>
        <w:rPr>
          <w:spacing w:val="-3"/>
          <w:w w:val="95"/>
        </w:rPr>
        <w:t>据</w:t>
      </w:r>
      <w:r>
        <w:rPr>
          <w:w w:val="95"/>
        </w:rPr>
        <w:t>《广东省境外经贸合作区考核办法</w:t>
      </w:r>
      <w:r>
        <w:rPr>
          <w:spacing w:val="-5"/>
          <w:w w:val="95"/>
        </w:rPr>
        <w:t>》</w:t>
      </w:r>
      <w:r>
        <w:rPr>
          <w:spacing w:val="-3"/>
          <w:w w:val="95"/>
        </w:rPr>
        <w:t>，</w:t>
      </w:r>
      <w:r>
        <w:rPr>
          <w:w w:val="95"/>
        </w:rPr>
        <w:t xml:space="preserve">你单位投资 </w:t>
      </w:r>
      <w:r>
        <w:t>建设的</w:t>
      </w:r>
      <w:r>
        <w:rPr>
          <w:u w:val="single"/>
        </w:rPr>
        <w:t xml:space="preserve"> </w:t>
      </w:r>
      <w:r>
        <w:rPr>
          <w:u w:val="single"/>
        </w:rPr>
        <w:tab/>
      </w:r>
      <w:r>
        <w:t>（合作区名称</w:t>
      </w:r>
      <w:r>
        <w:rPr>
          <w:spacing w:val="-5"/>
        </w:rPr>
        <w:t>）</w:t>
      </w:r>
      <w:r>
        <w:t>符合</w:t>
      </w:r>
      <w:r>
        <w:rPr>
          <w:u w:val="single"/>
        </w:rPr>
        <w:t xml:space="preserve"> </w:t>
      </w:r>
      <w:r>
        <w:rPr>
          <w:u w:val="single"/>
        </w:rPr>
        <w:tab/>
      </w:r>
      <w:r>
        <w:rPr>
          <w:spacing w:val="-3"/>
        </w:rPr>
        <w:t>型</w:t>
      </w:r>
      <w:r>
        <w:t>（</w:t>
      </w:r>
      <w:r>
        <w:rPr>
          <w:spacing w:val="-16"/>
        </w:rPr>
        <w:t>合</w:t>
      </w:r>
      <w:r>
        <w:t>作区类型名称）境外经贸合作区确认条件，现予以确认。</w:t>
      </w:r>
    </w:p>
    <w:p>
      <w:pPr>
        <w:pStyle w:val="3"/>
        <w:tabs>
          <w:tab w:val="left" w:pos="4052"/>
        </w:tabs>
        <w:spacing w:before="4" w:line="350" w:lineRule="auto"/>
        <w:ind w:left="380" w:right="379" w:firstLine="640"/>
      </w:pPr>
      <w:r>
        <w:t>请按照中国与</w:t>
      </w:r>
      <w:r>
        <w:rPr>
          <w:u w:val="single"/>
        </w:rPr>
        <w:t xml:space="preserve"> </w:t>
      </w:r>
      <w:r>
        <w:rPr>
          <w:u w:val="single"/>
        </w:rPr>
        <w:tab/>
      </w:r>
      <w:r>
        <w:t>（合作区所在国</w:t>
      </w:r>
      <w:r>
        <w:rPr>
          <w:spacing w:val="-7"/>
        </w:rPr>
        <w:t>）</w:t>
      </w:r>
      <w:r>
        <w:t>相关法律法规</w:t>
      </w:r>
      <w:r>
        <w:rPr>
          <w:spacing w:val="-13"/>
        </w:rPr>
        <w:t xml:space="preserve">， </w:t>
      </w:r>
      <w:r>
        <w:t>督促建区企业切实做好合作区各项建设工作。</w:t>
      </w:r>
    </w:p>
    <w:p>
      <w:pPr>
        <w:pStyle w:val="3"/>
      </w:pPr>
    </w:p>
    <w:p>
      <w:pPr>
        <w:pStyle w:val="3"/>
      </w:pPr>
    </w:p>
    <w:p>
      <w:pPr>
        <w:pStyle w:val="3"/>
        <w:spacing w:before="12"/>
        <w:rPr>
          <w:sz w:val="29"/>
        </w:rPr>
      </w:pPr>
    </w:p>
    <w:p>
      <w:pPr>
        <w:pStyle w:val="3"/>
        <w:ind w:left="3931" w:right="733"/>
        <w:jc w:val="center"/>
      </w:pPr>
      <w:r>
        <w:t>广东省商务厅</w:t>
      </w:r>
    </w:p>
    <w:p>
      <w:pPr>
        <w:pStyle w:val="3"/>
        <w:spacing w:before="190"/>
        <w:ind w:left="3785" w:right="733"/>
        <w:jc w:val="center"/>
      </w:pPr>
      <w:r>
        <w:t>（公章）</w:t>
      </w:r>
    </w:p>
    <w:p>
      <w:pPr>
        <w:pStyle w:val="3"/>
      </w:pPr>
    </w:p>
    <w:p>
      <w:pPr>
        <w:pStyle w:val="3"/>
      </w:pPr>
    </w:p>
    <w:p>
      <w:pPr>
        <w:pStyle w:val="3"/>
        <w:spacing w:before="6"/>
        <w:rPr>
          <w:sz w:val="44"/>
        </w:rPr>
      </w:pPr>
    </w:p>
    <w:p>
      <w:pPr>
        <w:pStyle w:val="3"/>
        <w:tabs>
          <w:tab w:val="left" w:pos="6620"/>
          <w:tab w:val="left" w:pos="7261"/>
        </w:tabs>
        <w:ind w:left="5980"/>
      </w:pPr>
      <w:r>
        <w:t>年</w:t>
      </w:r>
      <w:r>
        <w:tab/>
      </w:r>
      <w:r>
        <w:t>月</w:t>
      </w:r>
      <w:r>
        <w:tab/>
      </w:r>
      <w:r>
        <w:t>日</w:t>
      </w:r>
    </w:p>
    <w:p>
      <w:pPr>
        <w:spacing w:after="0"/>
        <w:sectPr>
          <w:pgSz w:w="11910" w:h="16840"/>
          <w:pgMar w:top="1540" w:right="1260" w:bottom="1180" w:left="1420" w:header="0" w:footer="988"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17"/>
        </w:rPr>
      </w:pPr>
    </w:p>
    <w:p>
      <w:pPr>
        <w:pStyle w:val="3"/>
        <w:spacing w:line="20" w:lineRule="exact"/>
        <w:ind w:left="375"/>
        <w:rPr>
          <w:sz w:val="2"/>
        </w:rPr>
      </w:pPr>
      <w:r>
        <w:rPr>
          <w:sz w:val="2"/>
        </w:rPr>
        <mc:AlternateContent>
          <mc:Choice Requires="wpg">
            <w:drawing>
              <wp:inline distT="0" distB="0" distL="114300" distR="114300">
                <wp:extent cx="5275580" cy="6350"/>
                <wp:effectExtent l="0" t="0" r="0" b="0"/>
                <wp:docPr id="3" name="组合 3"/>
                <wp:cNvGraphicFramePr/>
                <a:graphic xmlns:a="http://schemas.openxmlformats.org/drawingml/2006/main">
                  <a:graphicData uri="http://schemas.microsoft.com/office/word/2010/wordprocessingGroup">
                    <wpg:wgp>
                      <wpg:cNvGrpSpPr/>
                      <wpg:grpSpPr>
                        <a:xfrm>
                          <a:off x="0" y="0"/>
                          <a:ext cx="5275580" cy="6350"/>
                          <a:chOff x="0" y="0"/>
                          <a:chExt cx="8308" cy="10"/>
                        </a:xfrm>
                      </wpg:grpSpPr>
                      <wps:wsp>
                        <wps:cNvPr id="2" name="直接连接符 2"/>
                        <wps:cNvCnPr/>
                        <wps:spPr>
                          <a:xfrm>
                            <a:off x="0" y="5"/>
                            <a:ext cx="8307"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15.4pt;" coordsize="8308,10" o:gfxdata="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zL/3rTAAAA&#10;AwEAAA8AAAAAAAAAAQAgAAAAIgAAAGRycy9kb3ducmV2LnhtbFBLAQIUABQAAAAIAIdO4kC9z6m1&#10;WwIAAAcFAAAOAAAAAAAAAAEAIAAAACIBAABkcnMvZTJvRG9jLnhtbFBLBQYAAAAABgAGAFkBAADv&#10;BQAAAAA=&#10;">
                <o:lock v:ext="edit" aspectratio="f"/>
                <v:line id="_x0000_s1026" o:spid="_x0000_s1026" o:spt="20" style="position:absolute;left:0;top:5;height:0;width:8307;"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none"/>
                <w10:anchorlock/>
              </v:group>
            </w:pict>
          </mc:Fallback>
        </mc:AlternateContent>
      </w:r>
    </w:p>
    <w:p>
      <w:pPr>
        <w:ind w:firstLine="608" w:firstLineChars="200"/>
        <w:rPr>
          <w:rFonts w:ascii="仿宋_GB2312" w:hAnsi="仿宋_GB2312" w:eastAsia="仿宋_GB2312" w:cs="仿宋_GB2312"/>
          <w:w w:val="95"/>
          <w:sz w:val="32"/>
          <w:szCs w:val="32"/>
          <w:lang w:val="en-US" w:eastAsia="en-US" w:bidi="ar-SA"/>
        </w:rPr>
      </w:pPr>
      <w:r>
        <w:rPr>
          <w:rFonts w:ascii="仿宋_GB2312" w:hAnsi="仿宋_GB2312" w:eastAsia="仿宋_GB2312" w:cs="仿宋_GB2312"/>
          <w:w w:val="95"/>
          <w:sz w:val="32"/>
          <w:szCs w:val="32"/>
          <w:lang w:val="en-US" w:eastAsia="en-US" w:bidi="ar-SA"/>
        </w:rPr>
        <w:t>广东省商务厅办公室</w:t>
      </w:r>
      <w:r>
        <w:rPr>
          <w:rFonts w:ascii="仿宋_GB2312" w:hAnsi="仿宋_GB2312" w:eastAsia="仿宋_GB2312" w:cs="仿宋_GB2312"/>
          <w:w w:val="95"/>
          <w:sz w:val="32"/>
          <w:szCs w:val="32"/>
          <w:lang w:val="en-US" w:eastAsia="en-US" w:bidi="ar-SA"/>
        </w:rPr>
        <w:tab/>
      </w:r>
      <w:r>
        <w:rPr>
          <w:rFonts w:hint="eastAsia" w:cs="仿宋_GB2312"/>
          <w:w w:val="95"/>
          <w:sz w:val="32"/>
          <w:szCs w:val="32"/>
          <w:lang w:val="en-US" w:eastAsia="zh-CN" w:bidi="ar-SA"/>
        </w:rPr>
        <w:t xml:space="preserve">              </w:t>
      </w:r>
      <w:bookmarkStart w:id="0" w:name="_GoBack"/>
      <w:bookmarkEnd w:id="0"/>
      <w:r>
        <w:rPr>
          <w:rFonts w:ascii="仿宋_GB2312" w:hAnsi="仿宋_GB2312" w:eastAsia="仿宋_GB2312" w:cs="仿宋_GB2312"/>
          <w:w w:val="95"/>
          <w:sz w:val="32"/>
          <w:szCs w:val="32"/>
          <w:lang w:val="en-US" w:eastAsia="en-US" w:bidi="ar-SA"/>
        </w:rPr>
        <w:t>2026 年 2 月 2 日印发</w:t>
      </w:r>
    </w:p>
    <w:p>
      <w:pPr>
        <w:pStyle w:val="3"/>
        <w:spacing w:line="20" w:lineRule="exact"/>
        <w:ind w:left="375"/>
        <w:rPr>
          <w:rFonts w:hint="eastAsia"/>
          <w:lang w:val="en-US" w:eastAsia="zh-CN"/>
        </w:rPr>
      </w:pPr>
      <w:r>
        <w:rPr>
          <w:sz w:val="2"/>
        </w:rPr>
        <mc:AlternateContent>
          <mc:Choice Requires="wpg">
            <w:drawing>
              <wp:inline distT="0" distB="0" distL="114300" distR="114300">
                <wp:extent cx="5275580" cy="6350"/>
                <wp:effectExtent l="0" t="0" r="0" b="0"/>
                <wp:docPr id="5" name="组合 5"/>
                <wp:cNvGraphicFramePr/>
                <a:graphic xmlns:a="http://schemas.openxmlformats.org/drawingml/2006/main">
                  <a:graphicData uri="http://schemas.microsoft.com/office/word/2010/wordprocessingGroup">
                    <wpg:wgp>
                      <wpg:cNvGrpSpPr/>
                      <wpg:grpSpPr>
                        <a:xfrm>
                          <a:off x="0" y="0"/>
                          <a:ext cx="5275580" cy="6350"/>
                          <a:chOff x="0" y="0"/>
                          <a:chExt cx="8308" cy="10"/>
                        </a:xfrm>
                      </wpg:grpSpPr>
                      <wps:wsp>
                        <wps:cNvPr id="6" name="直接连接符 2"/>
                        <wps:cNvCnPr/>
                        <wps:spPr>
                          <a:xfrm>
                            <a:off x="0" y="5"/>
                            <a:ext cx="8307" cy="0"/>
                          </a:xfrm>
                          <a:prstGeom prst="line">
                            <a:avLst/>
                          </a:prstGeom>
                          <a:ln w="6096"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415.4pt;" coordsize="8308,10" o:gfxdata="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Mv/etMAAAAD&#10;AQAADwAAAAAAAAABACAAAAAiAAAAZHJzL2Rvd25yZXYueG1sUEsBAhQAFAAAAAgAh07iQNP81xha&#10;AgAABwUAAA4AAAAAAAAAAQAgAAAAIgEAAGRycy9lMm9Eb2MueG1sUEsFBgAAAAAGAAYAWQEAAO4F&#10;AAAAAA==&#10;">
                <o:lock v:ext="edit" aspectratio="f"/>
                <v:line id="直接连接符 2" o:spid="_x0000_s1026" o:spt="20" style="position:absolute;left:0;top:5;height:0;width:8307;"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none"/>
                <w10:anchorlock/>
              </v:group>
            </w:pict>
          </mc:Fallback>
        </mc:AlternateContent>
      </w:r>
    </w:p>
    <w:sectPr>
      <w:pgSz w:w="11906" w:h="16838"/>
      <w:pgMar w:top="1814" w:right="1474" w:bottom="1814"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6251575</wp:posOffset>
              </wp:positionH>
              <wp:positionV relativeFrom="page">
                <wp:posOffset>9926320</wp:posOffset>
              </wp:positionV>
              <wp:extent cx="383540" cy="19621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83540" cy="196215"/>
                      </a:xfrm>
                      <a:prstGeom prst="rect">
                        <a:avLst/>
                      </a:prstGeom>
                      <a:noFill/>
                      <a:ln>
                        <a:noFill/>
                      </a:ln>
                    </wps:spPr>
                    <wps:txbx>
                      <w:txbxContent>
                        <w:p>
                          <w:pPr>
                            <w:spacing w:before="1"/>
                            <w:ind w:left="20" w:right="0" w:firstLine="0"/>
                            <w:jc w:val="left"/>
                            <w:rPr>
                              <w:rFonts w:ascii="Arial"/>
                              <w:sz w:val="24"/>
                            </w:rPr>
                          </w:pPr>
                          <w:r>
                            <w:rPr>
                              <w:rFonts w:ascii="Arial"/>
                              <w:spacing w:val="2"/>
                              <w:w w:val="125"/>
                              <w:sz w:val="24"/>
                            </w:rPr>
                            <w:t>-</w:t>
                          </w:r>
                          <w:r>
                            <w:fldChar w:fldCharType="begin"/>
                          </w:r>
                          <w:r>
                            <w:rPr>
                              <w:rFonts w:ascii="Arial"/>
                              <w:spacing w:val="2"/>
                              <w:w w:val="125"/>
                              <w:sz w:val="24"/>
                            </w:rPr>
                            <w:instrText xml:space="preserve"> PAGE </w:instrText>
                          </w:r>
                          <w:r>
                            <w:fldChar w:fldCharType="separate"/>
                          </w:r>
                          <w:r>
                            <w:t>11</w:t>
                          </w:r>
                          <w:r>
                            <w:fldChar w:fldCharType="end"/>
                          </w:r>
                          <w:r>
                            <w:rPr>
                              <w:rFonts w:ascii="Arial"/>
                              <w:spacing w:val="-47"/>
                              <w:w w:val="125"/>
                              <w:sz w:val="24"/>
                            </w:rPr>
                            <w:t xml:space="preserve"> </w:t>
                          </w:r>
                          <w:r>
                            <w:rPr>
                              <w:rFonts w:ascii="Arial"/>
                              <w:w w:val="125"/>
                              <w:sz w:val="24"/>
                            </w:rPr>
                            <w:t>-</w:t>
                          </w:r>
                        </w:p>
                      </w:txbxContent>
                    </wps:txbx>
                    <wps:bodyPr lIns="0" tIns="0" rIns="0" bIns="0" upright="1"/>
                  </wps:wsp>
                </a:graphicData>
              </a:graphic>
            </wp:anchor>
          </w:drawing>
        </mc:Choice>
        <mc:Fallback>
          <w:pict>
            <v:shape id="_x0000_s1026" o:spid="_x0000_s1026" o:spt="202" type="#_x0000_t202" style="position:absolute;left:0pt;margin-left:492.25pt;margin-top:781.6pt;height:15.45pt;width:30.2pt;mso-position-horizontal-relative:page;mso-position-vertical-relative:page;z-index:-251656192;mso-width-relative:page;mso-height-relative:page;" filled="f" stroked="f" coordsize="21600,21600" o:gfxdata="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TtybvbAAAADgEAAA8AAAAAAAAAAQAgAAAAIgAAAGRycy9kb3ducmV2LnhtbFBL&#10;AQIUABQAAAAIAIdO4kAsU0bgugEAAHEDAAAOAAAAAAAAAAEAIAAAACoBAABkcnMvZTJvRG9jLnht&#10;bFBLBQYAAAAABgAGAFkBAABWBQAAAAA=&#10;">
              <v:fill on="f" focussize="0,0"/>
              <v:stroke on="f"/>
              <v:imagedata o:title=""/>
              <o:lock v:ext="edit" aspectratio="f"/>
              <v:textbox inset="0mm,0mm,0mm,0mm">
                <w:txbxContent>
                  <w:p>
                    <w:pPr>
                      <w:spacing w:before="1"/>
                      <w:ind w:left="20" w:right="0" w:firstLine="0"/>
                      <w:jc w:val="left"/>
                      <w:rPr>
                        <w:rFonts w:ascii="Arial"/>
                        <w:sz w:val="24"/>
                      </w:rPr>
                    </w:pPr>
                    <w:r>
                      <w:rPr>
                        <w:rFonts w:ascii="Arial"/>
                        <w:spacing w:val="2"/>
                        <w:w w:val="125"/>
                        <w:sz w:val="24"/>
                      </w:rPr>
                      <w:t>-</w:t>
                    </w:r>
                    <w:r>
                      <w:fldChar w:fldCharType="begin"/>
                    </w:r>
                    <w:r>
                      <w:rPr>
                        <w:rFonts w:ascii="Arial"/>
                        <w:spacing w:val="2"/>
                        <w:w w:val="125"/>
                        <w:sz w:val="24"/>
                      </w:rPr>
                      <w:instrText xml:space="preserve"> PAGE </w:instrText>
                    </w:r>
                    <w:r>
                      <w:fldChar w:fldCharType="separate"/>
                    </w:r>
                    <w:r>
                      <w:t>11</w:t>
                    </w:r>
                    <w:r>
                      <w:fldChar w:fldCharType="end"/>
                    </w:r>
                    <w:r>
                      <w:rPr>
                        <w:rFonts w:ascii="Arial"/>
                        <w:spacing w:val="-47"/>
                        <w:w w:val="125"/>
                        <w:sz w:val="24"/>
                      </w:rPr>
                      <w:t xml:space="preserve"> </w:t>
                    </w:r>
                    <w:r>
                      <w:rPr>
                        <w:rFonts w:ascii="Arial"/>
                        <w:w w:val="125"/>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9926320</wp:posOffset>
              </wp:positionV>
              <wp:extent cx="387985" cy="196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7985" cy="196215"/>
                      </a:xfrm>
                      <a:prstGeom prst="rect">
                        <a:avLst/>
                      </a:prstGeom>
                      <a:noFill/>
                      <a:ln>
                        <a:noFill/>
                      </a:ln>
                    </wps:spPr>
                    <wps:txbx>
                      <w:txbxContent>
                        <w:p>
                          <w:pPr>
                            <w:spacing w:before="1"/>
                            <w:ind w:left="20" w:right="0" w:firstLine="0"/>
                            <w:jc w:val="left"/>
                            <w:rPr>
                              <w:rFonts w:ascii="Arial"/>
                              <w:sz w:val="24"/>
                            </w:rPr>
                          </w:pPr>
                          <w:r>
                            <w:rPr>
                              <w:rFonts w:ascii="Arial"/>
                              <w:spacing w:val="2"/>
                              <w:w w:val="130"/>
                              <w:sz w:val="24"/>
                            </w:rPr>
                            <w:t>-</w:t>
                          </w:r>
                          <w:r>
                            <w:fldChar w:fldCharType="begin"/>
                          </w:r>
                          <w:r>
                            <w:rPr>
                              <w:rFonts w:ascii="Arial"/>
                              <w:spacing w:val="2"/>
                              <w:w w:val="130"/>
                              <w:sz w:val="24"/>
                            </w:rPr>
                            <w:instrText xml:space="preserve"> PAGE </w:instrText>
                          </w:r>
                          <w:r>
                            <w:fldChar w:fldCharType="separate"/>
                          </w:r>
                          <w:r>
                            <w:t>10</w:t>
                          </w:r>
                          <w:r>
                            <w:fldChar w:fldCharType="end"/>
                          </w:r>
                          <w:r>
                            <w:rPr>
                              <w:rFonts w:ascii="Arial"/>
                              <w:spacing w:val="-64"/>
                              <w:w w:val="130"/>
                              <w:sz w:val="24"/>
                            </w:rPr>
                            <w:t xml:space="preserve"> </w:t>
                          </w:r>
                          <w:r>
                            <w:rPr>
                              <w:rFonts w:ascii="Arial"/>
                              <w:w w:val="130"/>
                              <w:sz w:val="24"/>
                            </w:rPr>
                            <w:t>-</w:t>
                          </w:r>
                        </w:p>
                      </w:txbxContent>
                    </wps:txbx>
                    <wps:bodyPr lIns="0" tIns="0" rIns="0" bIns="0" upright="1"/>
                  </wps:wsp>
                </a:graphicData>
              </a:graphic>
            </wp:anchor>
          </w:drawing>
        </mc:Choice>
        <mc:Fallback>
          <w:pict>
            <v:shape id="_x0000_s1026" o:spid="_x0000_s1026" o:spt="202" type="#_x0000_t202" style="position:absolute;left:0pt;margin-left:75.55pt;margin-top:781.6pt;height:15.45pt;width:30.55pt;mso-position-horizontal-relative:page;mso-position-vertical-relative:page;z-index:-251656192;mso-width-relative:page;mso-height-relative:page;" filled="f" stroked="f" coordsize="21600,21600" o:gfxdata="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YC/G2AAAAA0BAAAPAAAAAAAAAAEAIAAAACIAAABkcnMvZG93bnJldi54bWxQSwEC&#10;FAAUAAAACACHTuJAZSYF4bsBAABxAwAADgAAAAAAAAABACAAAAAnAQAAZHJzL2Uyb0RvYy54bWxQ&#10;SwUGAAAAAAYABgBZAQAAVAUAAAAA&#10;">
              <v:fill on="f" focussize="0,0"/>
              <v:stroke on="f"/>
              <v:imagedata o:title=""/>
              <o:lock v:ext="edit" aspectratio="f"/>
              <v:textbox inset="0mm,0mm,0mm,0mm">
                <w:txbxContent>
                  <w:p>
                    <w:pPr>
                      <w:spacing w:before="1"/>
                      <w:ind w:left="20" w:right="0" w:firstLine="0"/>
                      <w:jc w:val="left"/>
                      <w:rPr>
                        <w:rFonts w:ascii="Arial"/>
                        <w:sz w:val="24"/>
                      </w:rPr>
                    </w:pPr>
                    <w:r>
                      <w:rPr>
                        <w:rFonts w:ascii="Arial"/>
                        <w:spacing w:val="2"/>
                        <w:w w:val="130"/>
                        <w:sz w:val="24"/>
                      </w:rPr>
                      <w:t>-</w:t>
                    </w:r>
                    <w:r>
                      <w:fldChar w:fldCharType="begin"/>
                    </w:r>
                    <w:r>
                      <w:rPr>
                        <w:rFonts w:ascii="Arial"/>
                        <w:spacing w:val="2"/>
                        <w:w w:val="130"/>
                        <w:sz w:val="24"/>
                      </w:rPr>
                      <w:instrText xml:space="preserve"> PAGE </w:instrText>
                    </w:r>
                    <w:r>
                      <w:fldChar w:fldCharType="separate"/>
                    </w:r>
                    <w:r>
                      <w:t>10</w:t>
                    </w:r>
                    <w:r>
                      <w:fldChar w:fldCharType="end"/>
                    </w:r>
                    <w:r>
                      <w:rPr>
                        <w:rFonts w:ascii="Arial"/>
                        <w:spacing w:val="-64"/>
                        <w:w w:val="130"/>
                        <w:sz w:val="24"/>
                      </w:rPr>
                      <w:t xml:space="preserve"> </w:t>
                    </w:r>
                    <w:r>
                      <w:rPr>
                        <w:rFonts w:ascii="Arial"/>
                        <w:w w:val="130"/>
                        <w:sz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1030" w:hanging="320"/>
      </w:pPr>
      <w:rPr>
        <w:rFonts w:hint="default"/>
      </w:rPr>
    </w:lvl>
    <w:lvl w:ilvl="2" w:tentative="0">
      <w:start w:val="0"/>
      <w:numFmt w:val="bullet"/>
      <w:lvlText w:val="•"/>
      <w:lvlJc w:val="left"/>
      <w:pPr>
        <w:ind w:left="1941" w:hanging="320"/>
      </w:pPr>
      <w:rPr>
        <w:rFonts w:hint="default"/>
      </w:rPr>
    </w:lvl>
    <w:lvl w:ilvl="3" w:tentative="0">
      <w:start w:val="0"/>
      <w:numFmt w:val="bullet"/>
      <w:lvlText w:val="•"/>
      <w:lvlJc w:val="left"/>
      <w:pPr>
        <w:ind w:left="2852" w:hanging="320"/>
      </w:pPr>
      <w:rPr>
        <w:rFonts w:hint="default"/>
      </w:rPr>
    </w:lvl>
    <w:lvl w:ilvl="4" w:tentative="0">
      <w:start w:val="0"/>
      <w:numFmt w:val="bullet"/>
      <w:lvlText w:val="•"/>
      <w:lvlJc w:val="left"/>
      <w:pPr>
        <w:ind w:left="3762" w:hanging="320"/>
      </w:pPr>
      <w:rPr>
        <w:rFonts w:hint="default"/>
      </w:rPr>
    </w:lvl>
    <w:lvl w:ilvl="5" w:tentative="0">
      <w:start w:val="0"/>
      <w:numFmt w:val="bullet"/>
      <w:lvlText w:val="•"/>
      <w:lvlJc w:val="left"/>
      <w:pPr>
        <w:ind w:left="4673" w:hanging="320"/>
      </w:pPr>
      <w:rPr>
        <w:rFonts w:hint="default"/>
      </w:rPr>
    </w:lvl>
    <w:lvl w:ilvl="6" w:tentative="0">
      <w:start w:val="0"/>
      <w:numFmt w:val="bullet"/>
      <w:lvlText w:val="•"/>
      <w:lvlJc w:val="left"/>
      <w:pPr>
        <w:ind w:left="5584" w:hanging="320"/>
      </w:pPr>
      <w:rPr>
        <w:rFonts w:hint="default"/>
      </w:rPr>
    </w:lvl>
    <w:lvl w:ilvl="7" w:tentative="0">
      <w:start w:val="0"/>
      <w:numFmt w:val="bullet"/>
      <w:lvlText w:val="•"/>
      <w:lvlJc w:val="left"/>
      <w:pPr>
        <w:ind w:left="6494" w:hanging="320"/>
      </w:pPr>
      <w:rPr>
        <w:rFonts w:hint="default"/>
      </w:rPr>
    </w:lvl>
    <w:lvl w:ilvl="8" w:tentative="0">
      <w:start w:val="0"/>
      <w:numFmt w:val="bullet"/>
      <w:lvlText w:val="•"/>
      <w:lvlJc w:val="left"/>
      <w:pPr>
        <w:ind w:left="7405" w:hanging="320"/>
      </w:pPr>
      <w:rPr>
        <w:rFonts w:hint="default"/>
      </w:rPr>
    </w:lvl>
  </w:abstractNum>
  <w:abstractNum w:abstractNumId="1">
    <w:nsid w:val="BF205925"/>
    <w:multiLevelType w:val="multilevel"/>
    <w:tmpl w:val="BF205925"/>
    <w:lvl w:ilvl="0" w:tentative="0">
      <w:start w:val="1"/>
      <w:numFmt w:val="decimal"/>
      <w:lvlText w:val="%1."/>
      <w:lvlJc w:val="left"/>
      <w:pPr>
        <w:ind w:left="11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1030" w:hanging="320"/>
      </w:pPr>
      <w:rPr>
        <w:rFonts w:hint="default"/>
      </w:rPr>
    </w:lvl>
    <w:lvl w:ilvl="2" w:tentative="0">
      <w:start w:val="0"/>
      <w:numFmt w:val="bullet"/>
      <w:lvlText w:val="•"/>
      <w:lvlJc w:val="left"/>
      <w:pPr>
        <w:ind w:left="1941" w:hanging="320"/>
      </w:pPr>
      <w:rPr>
        <w:rFonts w:hint="default"/>
      </w:rPr>
    </w:lvl>
    <w:lvl w:ilvl="3" w:tentative="0">
      <w:start w:val="0"/>
      <w:numFmt w:val="bullet"/>
      <w:lvlText w:val="•"/>
      <w:lvlJc w:val="left"/>
      <w:pPr>
        <w:ind w:left="2852" w:hanging="320"/>
      </w:pPr>
      <w:rPr>
        <w:rFonts w:hint="default"/>
      </w:rPr>
    </w:lvl>
    <w:lvl w:ilvl="4" w:tentative="0">
      <w:start w:val="0"/>
      <w:numFmt w:val="bullet"/>
      <w:lvlText w:val="•"/>
      <w:lvlJc w:val="left"/>
      <w:pPr>
        <w:ind w:left="3762" w:hanging="320"/>
      </w:pPr>
      <w:rPr>
        <w:rFonts w:hint="default"/>
      </w:rPr>
    </w:lvl>
    <w:lvl w:ilvl="5" w:tentative="0">
      <w:start w:val="0"/>
      <w:numFmt w:val="bullet"/>
      <w:lvlText w:val="•"/>
      <w:lvlJc w:val="left"/>
      <w:pPr>
        <w:ind w:left="4673" w:hanging="320"/>
      </w:pPr>
      <w:rPr>
        <w:rFonts w:hint="default"/>
      </w:rPr>
    </w:lvl>
    <w:lvl w:ilvl="6" w:tentative="0">
      <w:start w:val="0"/>
      <w:numFmt w:val="bullet"/>
      <w:lvlText w:val="•"/>
      <w:lvlJc w:val="left"/>
      <w:pPr>
        <w:ind w:left="5584" w:hanging="320"/>
      </w:pPr>
      <w:rPr>
        <w:rFonts w:hint="default"/>
      </w:rPr>
    </w:lvl>
    <w:lvl w:ilvl="7" w:tentative="0">
      <w:start w:val="0"/>
      <w:numFmt w:val="bullet"/>
      <w:lvlText w:val="•"/>
      <w:lvlJc w:val="left"/>
      <w:pPr>
        <w:ind w:left="6494" w:hanging="320"/>
      </w:pPr>
      <w:rPr>
        <w:rFonts w:hint="default"/>
      </w:rPr>
    </w:lvl>
    <w:lvl w:ilvl="8" w:tentative="0">
      <w:start w:val="0"/>
      <w:numFmt w:val="bullet"/>
      <w:lvlText w:val="•"/>
      <w:lvlJc w:val="left"/>
      <w:pPr>
        <w:ind w:left="7405" w:hanging="320"/>
      </w:pPr>
      <w:rPr>
        <w:rFonts w:hint="default"/>
      </w:rPr>
    </w:lvl>
  </w:abstractNum>
  <w:abstractNum w:abstractNumId="2">
    <w:nsid w:val="CF092B84"/>
    <w:multiLevelType w:val="multilevel"/>
    <w:tmpl w:val="CF092B84"/>
    <w:lvl w:ilvl="0" w:tentative="0">
      <w:start w:val="1"/>
      <w:numFmt w:val="decimal"/>
      <w:lvlText w:val="%1."/>
      <w:lvlJc w:val="left"/>
      <w:pPr>
        <w:ind w:left="107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1894" w:hanging="320"/>
      </w:pPr>
      <w:rPr>
        <w:rFonts w:hint="default"/>
      </w:rPr>
    </w:lvl>
    <w:lvl w:ilvl="2" w:tentative="0">
      <w:start w:val="0"/>
      <w:numFmt w:val="bullet"/>
      <w:lvlText w:val="•"/>
      <w:lvlJc w:val="left"/>
      <w:pPr>
        <w:ind w:left="2709" w:hanging="320"/>
      </w:pPr>
      <w:rPr>
        <w:rFonts w:hint="default"/>
      </w:rPr>
    </w:lvl>
    <w:lvl w:ilvl="3" w:tentative="0">
      <w:start w:val="0"/>
      <w:numFmt w:val="bullet"/>
      <w:lvlText w:val="•"/>
      <w:lvlJc w:val="left"/>
      <w:pPr>
        <w:ind w:left="3524" w:hanging="320"/>
      </w:pPr>
      <w:rPr>
        <w:rFonts w:hint="default"/>
      </w:rPr>
    </w:lvl>
    <w:lvl w:ilvl="4" w:tentative="0">
      <w:start w:val="0"/>
      <w:numFmt w:val="bullet"/>
      <w:lvlText w:val="•"/>
      <w:lvlJc w:val="left"/>
      <w:pPr>
        <w:ind w:left="4338" w:hanging="320"/>
      </w:pPr>
      <w:rPr>
        <w:rFonts w:hint="default"/>
      </w:rPr>
    </w:lvl>
    <w:lvl w:ilvl="5" w:tentative="0">
      <w:start w:val="0"/>
      <w:numFmt w:val="bullet"/>
      <w:lvlText w:val="•"/>
      <w:lvlJc w:val="left"/>
      <w:pPr>
        <w:ind w:left="5153" w:hanging="320"/>
      </w:pPr>
      <w:rPr>
        <w:rFonts w:hint="default"/>
      </w:rPr>
    </w:lvl>
    <w:lvl w:ilvl="6" w:tentative="0">
      <w:start w:val="0"/>
      <w:numFmt w:val="bullet"/>
      <w:lvlText w:val="•"/>
      <w:lvlJc w:val="left"/>
      <w:pPr>
        <w:ind w:left="5968" w:hanging="320"/>
      </w:pPr>
      <w:rPr>
        <w:rFonts w:hint="default"/>
      </w:rPr>
    </w:lvl>
    <w:lvl w:ilvl="7" w:tentative="0">
      <w:start w:val="0"/>
      <w:numFmt w:val="bullet"/>
      <w:lvlText w:val="•"/>
      <w:lvlJc w:val="left"/>
      <w:pPr>
        <w:ind w:left="6782" w:hanging="320"/>
      </w:pPr>
      <w:rPr>
        <w:rFonts w:hint="default"/>
      </w:rPr>
    </w:lvl>
    <w:lvl w:ilvl="8" w:tentative="0">
      <w:start w:val="0"/>
      <w:numFmt w:val="bullet"/>
      <w:lvlText w:val="•"/>
      <w:lvlJc w:val="left"/>
      <w:pPr>
        <w:ind w:left="7597" w:hanging="320"/>
      </w:pPr>
      <w:rPr>
        <w:rFonts w:hint="default"/>
      </w:rPr>
    </w:lvl>
  </w:abstractNum>
  <w:abstractNum w:abstractNumId="3">
    <w:nsid w:val="0053208E"/>
    <w:multiLevelType w:val="multilevel"/>
    <w:tmpl w:val="0053208E"/>
    <w:lvl w:ilvl="0" w:tentative="0">
      <w:start w:val="2"/>
      <w:numFmt w:val="decimal"/>
      <w:lvlText w:val="%1."/>
      <w:lvlJc w:val="left"/>
      <w:pPr>
        <w:ind w:left="203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2758" w:hanging="320"/>
      </w:pPr>
      <w:rPr>
        <w:rFonts w:hint="default"/>
      </w:rPr>
    </w:lvl>
    <w:lvl w:ilvl="2" w:tentative="0">
      <w:start w:val="0"/>
      <w:numFmt w:val="bullet"/>
      <w:lvlText w:val="•"/>
      <w:lvlJc w:val="left"/>
      <w:pPr>
        <w:ind w:left="3477" w:hanging="320"/>
      </w:pPr>
      <w:rPr>
        <w:rFonts w:hint="default"/>
      </w:rPr>
    </w:lvl>
    <w:lvl w:ilvl="3" w:tentative="0">
      <w:start w:val="0"/>
      <w:numFmt w:val="bullet"/>
      <w:lvlText w:val="•"/>
      <w:lvlJc w:val="left"/>
      <w:pPr>
        <w:ind w:left="4196" w:hanging="320"/>
      </w:pPr>
      <w:rPr>
        <w:rFonts w:hint="default"/>
      </w:rPr>
    </w:lvl>
    <w:lvl w:ilvl="4" w:tentative="0">
      <w:start w:val="0"/>
      <w:numFmt w:val="bullet"/>
      <w:lvlText w:val="•"/>
      <w:lvlJc w:val="left"/>
      <w:pPr>
        <w:ind w:left="4914" w:hanging="320"/>
      </w:pPr>
      <w:rPr>
        <w:rFonts w:hint="default"/>
      </w:rPr>
    </w:lvl>
    <w:lvl w:ilvl="5" w:tentative="0">
      <w:start w:val="0"/>
      <w:numFmt w:val="bullet"/>
      <w:lvlText w:val="•"/>
      <w:lvlJc w:val="left"/>
      <w:pPr>
        <w:ind w:left="5633" w:hanging="320"/>
      </w:pPr>
      <w:rPr>
        <w:rFonts w:hint="default"/>
      </w:rPr>
    </w:lvl>
    <w:lvl w:ilvl="6" w:tentative="0">
      <w:start w:val="0"/>
      <w:numFmt w:val="bullet"/>
      <w:lvlText w:val="•"/>
      <w:lvlJc w:val="left"/>
      <w:pPr>
        <w:ind w:left="6352" w:hanging="320"/>
      </w:pPr>
      <w:rPr>
        <w:rFonts w:hint="default"/>
      </w:rPr>
    </w:lvl>
    <w:lvl w:ilvl="7" w:tentative="0">
      <w:start w:val="0"/>
      <w:numFmt w:val="bullet"/>
      <w:lvlText w:val="•"/>
      <w:lvlJc w:val="left"/>
      <w:pPr>
        <w:ind w:left="7070" w:hanging="320"/>
      </w:pPr>
      <w:rPr>
        <w:rFonts w:hint="default"/>
      </w:rPr>
    </w:lvl>
    <w:lvl w:ilvl="8" w:tentative="0">
      <w:start w:val="0"/>
      <w:numFmt w:val="bullet"/>
      <w:lvlText w:val="•"/>
      <w:lvlJc w:val="left"/>
      <w:pPr>
        <w:ind w:left="7789" w:hanging="320"/>
      </w:pPr>
      <w:rPr>
        <w:rFonts w:hint="default"/>
      </w:rPr>
    </w:lvl>
  </w:abstractNum>
  <w:abstractNum w:abstractNumId="4">
    <w:nsid w:val="0248C179"/>
    <w:multiLevelType w:val="multilevel"/>
    <w:tmpl w:val="0248C179"/>
    <w:lvl w:ilvl="0" w:tentative="0">
      <w:start w:val="1"/>
      <w:numFmt w:val="decimal"/>
      <w:lvlText w:val="%1."/>
      <w:lvlJc w:val="left"/>
      <w:pPr>
        <w:ind w:left="107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1894" w:hanging="320"/>
      </w:pPr>
      <w:rPr>
        <w:rFonts w:hint="default"/>
      </w:rPr>
    </w:lvl>
    <w:lvl w:ilvl="2" w:tentative="0">
      <w:start w:val="0"/>
      <w:numFmt w:val="bullet"/>
      <w:lvlText w:val="•"/>
      <w:lvlJc w:val="left"/>
      <w:pPr>
        <w:ind w:left="2709" w:hanging="320"/>
      </w:pPr>
      <w:rPr>
        <w:rFonts w:hint="default"/>
      </w:rPr>
    </w:lvl>
    <w:lvl w:ilvl="3" w:tentative="0">
      <w:start w:val="0"/>
      <w:numFmt w:val="bullet"/>
      <w:lvlText w:val="•"/>
      <w:lvlJc w:val="left"/>
      <w:pPr>
        <w:ind w:left="3524" w:hanging="320"/>
      </w:pPr>
      <w:rPr>
        <w:rFonts w:hint="default"/>
      </w:rPr>
    </w:lvl>
    <w:lvl w:ilvl="4" w:tentative="0">
      <w:start w:val="0"/>
      <w:numFmt w:val="bullet"/>
      <w:lvlText w:val="•"/>
      <w:lvlJc w:val="left"/>
      <w:pPr>
        <w:ind w:left="4338" w:hanging="320"/>
      </w:pPr>
      <w:rPr>
        <w:rFonts w:hint="default"/>
      </w:rPr>
    </w:lvl>
    <w:lvl w:ilvl="5" w:tentative="0">
      <w:start w:val="0"/>
      <w:numFmt w:val="bullet"/>
      <w:lvlText w:val="•"/>
      <w:lvlJc w:val="left"/>
      <w:pPr>
        <w:ind w:left="5153" w:hanging="320"/>
      </w:pPr>
      <w:rPr>
        <w:rFonts w:hint="default"/>
      </w:rPr>
    </w:lvl>
    <w:lvl w:ilvl="6" w:tentative="0">
      <w:start w:val="0"/>
      <w:numFmt w:val="bullet"/>
      <w:lvlText w:val="•"/>
      <w:lvlJc w:val="left"/>
      <w:pPr>
        <w:ind w:left="5968" w:hanging="320"/>
      </w:pPr>
      <w:rPr>
        <w:rFonts w:hint="default"/>
      </w:rPr>
    </w:lvl>
    <w:lvl w:ilvl="7" w:tentative="0">
      <w:start w:val="0"/>
      <w:numFmt w:val="bullet"/>
      <w:lvlText w:val="•"/>
      <w:lvlJc w:val="left"/>
      <w:pPr>
        <w:ind w:left="6782" w:hanging="320"/>
      </w:pPr>
      <w:rPr>
        <w:rFonts w:hint="default"/>
      </w:rPr>
    </w:lvl>
    <w:lvl w:ilvl="8" w:tentative="0">
      <w:start w:val="0"/>
      <w:numFmt w:val="bullet"/>
      <w:lvlText w:val="•"/>
      <w:lvlJc w:val="left"/>
      <w:pPr>
        <w:ind w:left="7597" w:hanging="320"/>
      </w:pPr>
      <w:rPr>
        <w:rFonts w:hint="default"/>
      </w:rPr>
    </w:lvl>
  </w:abstractNum>
  <w:abstractNum w:abstractNumId="5">
    <w:nsid w:val="03D62ECE"/>
    <w:multiLevelType w:val="multilevel"/>
    <w:tmpl w:val="03D62ECE"/>
    <w:lvl w:ilvl="0" w:tentative="0">
      <w:start w:val="1"/>
      <w:numFmt w:val="decimal"/>
      <w:lvlText w:val="%1."/>
      <w:lvlJc w:val="left"/>
      <w:pPr>
        <w:ind w:left="11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1030" w:hanging="320"/>
      </w:pPr>
      <w:rPr>
        <w:rFonts w:hint="default"/>
      </w:rPr>
    </w:lvl>
    <w:lvl w:ilvl="2" w:tentative="0">
      <w:start w:val="0"/>
      <w:numFmt w:val="bullet"/>
      <w:lvlText w:val="•"/>
      <w:lvlJc w:val="left"/>
      <w:pPr>
        <w:ind w:left="1941" w:hanging="320"/>
      </w:pPr>
      <w:rPr>
        <w:rFonts w:hint="default"/>
      </w:rPr>
    </w:lvl>
    <w:lvl w:ilvl="3" w:tentative="0">
      <w:start w:val="0"/>
      <w:numFmt w:val="bullet"/>
      <w:lvlText w:val="•"/>
      <w:lvlJc w:val="left"/>
      <w:pPr>
        <w:ind w:left="2852" w:hanging="320"/>
      </w:pPr>
      <w:rPr>
        <w:rFonts w:hint="default"/>
      </w:rPr>
    </w:lvl>
    <w:lvl w:ilvl="4" w:tentative="0">
      <w:start w:val="0"/>
      <w:numFmt w:val="bullet"/>
      <w:lvlText w:val="•"/>
      <w:lvlJc w:val="left"/>
      <w:pPr>
        <w:ind w:left="3762" w:hanging="320"/>
      </w:pPr>
      <w:rPr>
        <w:rFonts w:hint="default"/>
      </w:rPr>
    </w:lvl>
    <w:lvl w:ilvl="5" w:tentative="0">
      <w:start w:val="0"/>
      <w:numFmt w:val="bullet"/>
      <w:lvlText w:val="•"/>
      <w:lvlJc w:val="left"/>
      <w:pPr>
        <w:ind w:left="4673" w:hanging="320"/>
      </w:pPr>
      <w:rPr>
        <w:rFonts w:hint="default"/>
      </w:rPr>
    </w:lvl>
    <w:lvl w:ilvl="6" w:tentative="0">
      <w:start w:val="0"/>
      <w:numFmt w:val="bullet"/>
      <w:lvlText w:val="•"/>
      <w:lvlJc w:val="left"/>
      <w:pPr>
        <w:ind w:left="5584" w:hanging="320"/>
      </w:pPr>
      <w:rPr>
        <w:rFonts w:hint="default"/>
      </w:rPr>
    </w:lvl>
    <w:lvl w:ilvl="7" w:tentative="0">
      <w:start w:val="0"/>
      <w:numFmt w:val="bullet"/>
      <w:lvlText w:val="•"/>
      <w:lvlJc w:val="left"/>
      <w:pPr>
        <w:ind w:left="6494" w:hanging="320"/>
      </w:pPr>
      <w:rPr>
        <w:rFonts w:hint="default"/>
      </w:rPr>
    </w:lvl>
    <w:lvl w:ilvl="8" w:tentative="0">
      <w:start w:val="0"/>
      <w:numFmt w:val="bullet"/>
      <w:lvlText w:val="•"/>
      <w:lvlJc w:val="left"/>
      <w:pPr>
        <w:ind w:left="7405" w:hanging="320"/>
      </w:pPr>
      <w:rPr>
        <w:rFonts w:hint="default"/>
      </w:rPr>
    </w:lvl>
  </w:abstractNum>
  <w:abstractNum w:abstractNumId="6">
    <w:nsid w:val="25B654F3"/>
    <w:multiLevelType w:val="multilevel"/>
    <w:tmpl w:val="25B654F3"/>
    <w:lvl w:ilvl="0" w:tentative="0">
      <w:start w:val="1"/>
      <w:numFmt w:val="decimal"/>
      <w:lvlText w:val="%1."/>
      <w:lvlJc w:val="left"/>
      <w:pPr>
        <w:ind w:left="107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1894" w:hanging="320"/>
      </w:pPr>
      <w:rPr>
        <w:rFonts w:hint="default"/>
      </w:rPr>
    </w:lvl>
    <w:lvl w:ilvl="2" w:tentative="0">
      <w:start w:val="0"/>
      <w:numFmt w:val="bullet"/>
      <w:lvlText w:val="•"/>
      <w:lvlJc w:val="left"/>
      <w:pPr>
        <w:ind w:left="2709" w:hanging="320"/>
      </w:pPr>
      <w:rPr>
        <w:rFonts w:hint="default"/>
      </w:rPr>
    </w:lvl>
    <w:lvl w:ilvl="3" w:tentative="0">
      <w:start w:val="0"/>
      <w:numFmt w:val="bullet"/>
      <w:lvlText w:val="•"/>
      <w:lvlJc w:val="left"/>
      <w:pPr>
        <w:ind w:left="3524" w:hanging="320"/>
      </w:pPr>
      <w:rPr>
        <w:rFonts w:hint="default"/>
      </w:rPr>
    </w:lvl>
    <w:lvl w:ilvl="4" w:tentative="0">
      <w:start w:val="0"/>
      <w:numFmt w:val="bullet"/>
      <w:lvlText w:val="•"/>
      <w:lvlJc w:val="left"/>
      <w:pPr>
        <w:ind w:left="4338" w:hanging="320"/>
      </w:pPr>
      <w:rPr>
        <w:rFonts w:hint="default"/>
      </w:rPr>
    </w:lvl>
    <w:lvl w:ilvl="5" w:tentative="0">
      <w:start w:val="0"/>
      <w:numFmt w:val="bullet"/>
      <w:lvlText w:val="•"/>
      <w:lvlJc w:val="left"/>
      <w:pPr>
        <w:ind w:left="5153" w:hanging="320"/>
      </w:pPr>
      <w:rPr>
        <w:rFonts w:hint="default"/>
      </w:rPr>
    </w:lvl>
    <w:lvl w:ilvl="6" w:tentative="0">
      <w:start w:val="0"/>
      <w:numFmt w:val="bullet"/>
      <w:lvlText w:val="•"/>
      <w:lvlJc w:val="left"/>
      <w:pPr>
        <w:ind w:left="5968" w:hanging="320"/>
      </w:pPr>
      <w:rPr>
        <w:rFonts w:hint="default"/>
      </w:rPr>
    </w:lvl>
    <w:lvl w:ilvl="7" w:tentative="0">
      <w:start w:val="0"/>
      <w:numFmt w:val="bullet"/>
      <w:lvlText w:val="•"/>
      <w:lvlJc w:val="left"/>
      <w:pPr>
        <w:ind w:left="6782" w:hanging="320"/>
      </w:pPr>
      <w:rPr>
        <w:rFonts w:hint="default"/>
      </w:rPr>
    </w:lvl>
    <w:lvl w:ilvl="8" w:tentative="0">
      <w:start w:val="0"/>
      <w:numFmt w:val="bullet"/>
      <w:lvlText w:val="•"/>
      <w:lvlJc w:val="left"/>
      <w:pPr>
        <w:ind w:left="7597" w:hanging="320"/>
      </w:pPr>
      <w:rPr>
        <w:rFonts w:hint="default"/>
      </w:rPr>
    </w:lvl>
  </w:abstractNum>
  <w:abstractNum w:abstractNumId="7">
    <w:nsid w:val="59ADCABA"/>
    <w:multiLevelType w:val="multilevel"/>
    <w:tmpl w:val="59ADCABA"/>
    <w:lvl w:ilvl="0" w:tentative="0">
      <w:start w:val="1"/>
      <w:numFmt w:val="decimal"/>
      <w:lvlText w:val="%1."/>
      <w:lvlJc w:val="left"/>
      <w:pPr>
        <w:ind w:left="107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1894" w:hanging="320"/>
      </w:pPr>
      <w:rPr>
        <w:rFonts w:hint="default"/>
      </w:rPr>
    </w:lvl>
    <w:lvl w:ilvl="2" w:tentative="0">
      <w:start w:val="0"/>
      <w:numFmt w:val="bullet"/>
      <w:lvlText w:val="•"/>
      <w:lvlJc w:val="left"/>
      <w:pPr>
        <w:ind w:left="2709" w:hanging="320"/>
      </w:pPr>
      <w:rPr>
        <w:rFonts w:hint="default"/>
      </w:rPr>
    </w:lvl>
    <w:lvl w:ilvl="3" w:tentative="0">
      <w:start w:val="0"/>
      <w:numFmt w:val="bullet"/>
      <w:lvlText w:val="•"/>
      <w:lvlJc w:val="left"/>
      <w:pPr>
        <w:ind w:left="3524" w:hanging="320"/>
      </w:pPr>
      <w:rPr>
        <w:rFonts w:hint="default"/>
      </w:rPr>
    </w:lvl>
    <w:lvl w:ilvl="4" w:tentative="0">
      <w:start w:val="0"/>
      <w:numFmt w:val="bullet"/>
      <w:lvlText w:val="•"/>
      <w:lvlJc w:val="left"/>
      <w:pPr>
        <w:ind w:left="4338" w:hanging="320"/>
      </w:pPr>
      <w:rPr>
        <w:rFonts w:hint="default"/>
      </w:rPr>
    </w:lvl>
    <w:lvl w:ilvl="5" w:tentative="0">
      <w:start w:val="0"/>
      <w:numFmt w:val="bullet"/>
      <w:lvlText w:val="•"/>
      <w:lvlJc w:val="left"/>
      <w:pPr>
        <w:ind w:left="5153" w:hanging="320"/>
      </w:pPr>
      <w:rPr>
        <w:rFonts w:hint="default"/>
      </w:rPr>
    </w:lvl>
    <w:lvl w:ilvl="6" w:tentative="0">
      <w:start w:val="0"/>
      <w:numFmt w:val="bullet"/>
      <w:lvlText w:val="•"/>
      <w:lvlJc w:val="left"/>
      <w:pPr>
        <w:ind w:left="5968" w:hanging="320"/>
      </w:pPr>
      <w:rPr>
        <w:rFonts w:hint="default"/>
      </w:rPr>
    </w:lvl>
    <w:lvl w:ilvl="7" w:tentative="0">
      <w:start w:val="0"/>
      <w:numFmt w:val="bullet"/>
      <w:lvlText w:val="•"/>
      <w:lvlJc w:val="left"/>
      <w:pPr>
        <w:ind w:left="6782" w:hanging="320"/>
      </w:pPr>
      <w:rPr>
        <w:rFonts w:hint="default"/>
      </w:rPr>
    </w:lvl>
    <w:lvl w:ilvl="8" w:tentative="0">
      <w:start w:val="0"/>
      <w:numFmt w:val="bullet"/>
      <w:lvlText w:val="•"/>
      <w:lvlJc w:val="left"/>
      <w:pPr>
        <w:ind w:left="7597" w:hanging="320"/>
      </w:pPr>
      <w:rPr>
        <w:rFonts w:hint="default"/>
      </w:rPr>
    </w:lvl>
  </w:abstractNum>
  <w:abstractNum w:abstractNumId="8">
    <w:nsid w:val="72183CF9"/>
    <w:multiLevelType w:val="multilevel"/>
    <w:tmpl w:val="72183CF9"/>
    <w:lvl w:ilvl="0" w:tentative="0">
      <w:start w:val="1"/>
      <w:numFmt w:val="decimal"/>
      <w:lvlText w:val="%1."/>
      <w:lvlJc w:val="left"/>
      <w:pPr>
        <w:ind w:left="1071" w:hanging="320"/>
        <w:jc w:val="left"/>
      </w:pPr>
      <w:rPr>
        <w:rFonts w:hint="default" w:ascii="仿宋_GB2312" w:hAnsi="仿宋_GB2312" w:eastAsia="仿宋_GB2312" w:cs="仿宋_GB2312"/>
        <w:spacing w:val="-2"/>
        <w:w w:val="99"/>
        <w:sz w:val="30"/>
        <w:szCs w:val="30"/>
      </w:rPr>
    </w:lvl>
    <w:lvl w:ilvl="1" w:tentative="0">
      <w:start w:val="0"/>
      <w:numFmt w:val="bullet"/>
      <w:lvlText w:val="•"/>
      <w:lvlJc w:val="left"/>
      <w:pPr>
        <w:ind w:left="1894" w:hanging="320"/>
      </w:pPr>
      <w:rPr>
        <w:rFonts w:hint="default"/>
      </w:rPr>
    </w:lvl>
    <w:lvl w:ilvl="2" w:tentative="0">
      <w:start w:val="0"/>
      <w:numFmt w:val="bullet"/>
      <w:lvlText w:val="•"/>
      <w:lvlJc w:val="left"/>
      <w:pPr>
        <w:ind w:left="2709" w:hanging="320"/>
      </w:pPr>
      <w:rPr>
        <w:rFonts w:hint="default"/>
      </w:rPr>
    </w:lvl>
    <w:lvl w:ilvl="3" w:tentative="0">
      <w:start w:val="0"/>
      <w:numFmt w:val="bullet"/>
      <w:lvlText w:val="•"/>
      <w:lvlJc w:val="left"/>
      <w:pPr>
        <w:ind w:left="3524" w:hanging="320"/>
      </w:pPr>
      <w:rPr>
        <w:rFonts w:hint="default"/>
      </w:rPr>
    </w:lvl>
    <w:lvl w:ilvl="4" w:tentative="0">
      <w:start w:val="0"/>
      <w:numFmt w:val="bullet"/>
      <w:lvlText w:val="•"/>
      <w:lvlJc w:val="left"/>
      <w:pPr>
        <w:ind w:left="4338" w:hanging="320"/>
      </w:pPr>
      <w:rPr>
        <w:rFonts w:hint="default"/>
      </w:rPr>
    </w:lvl>
    <w:lvl w:ilvl="5" w:tentative="0">
      <w:start w:val="0"/>
      <w:numFmt w:val="bullet"/>
      <w:lvlText w:val="•"/>
      <w:lvlJc w:val="left"/>
      <w:pPr>
        <w:ind w:left="5153" w:hanging="320"/>
      </w:pPr>
      <w:rPr>
        <w:rFonts w:hint="default"/>
      </w:rPr>
    </w:lvl>
    <w:lvl w:ilvl="6" w:tentative="0">
      <w:start w:val="0"/>
      <w:numFmt w:val="bullet"/>
      <w:lvlText w:val="•"/>
      <w:lvlJc w:val="left"/>
      <w:pPr>
        <w:ind w:left="5968" w:hanging="320"/>
      </w:pPr>
      <w:rPr>
        <w:rFonts w:hint="default"/>
      </w:rPr>
    </w:lvl>
    <w:lvl w:ilvl="7" w:tentative="0">
      <w:start w:val="0"/>
      <w:numFmt w:val="bullet"/>
      <w:lvlText w:val="•"/>
      <w:lvlJc w:val="left"/>
      <w:pPr>
        <w:ind w:left="6782" w:hanging="320"/>
      </w:pPr>
      <w:rPr>
        <w:rFonts w:hint="default"/>
      </w:rPr>
    </w:lvl>
    <w:lvl w:ilvl="8" w:tentative="0">
      <w:start w:val="0"/>
      <w:numFmt w:val="bullet"/>
      <w:lvlText w:val="•"/>
      <w:lvlJc w:val="left"/>
      <w:pPr>
        <w:ind w:left="7597" w:hanging="320"/>
      </w:pPr>
      <w:rPr>
        <w:rFonts w:hint="default"/>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B0520"/>
    <w:rsid w:val="33FB0520"/>
    <w:rsid w:val="4FE14CE1"/>
    <w:rsid w:val="540D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spacing w:before="1"/>
      <w:ind w:left="572"/>
      <w:outlineLvl w:val="1"/>
    </w:pPr>
    <w:rPr>
      <w:rFonts w:ascii="宋体" w:hAnsi="宋体" w:eastAsia="宋体" w:cs="宋体"/>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6">
    <w:name w:val="List Paragraph"/>
    <w:basedOn w:val="1"/>
    <w:qFormat/>
    <w:uiPriority w:val="1"/>
    <w:pPr>
      <w:spacing w:before="190"/>
      <w:ind w:left="111" w:firstLine="641"/>
    </w:pPr>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2026-02-12T02:55:00Z</dcterms:created>
  <dc:creator>网站运维（陈梓标）</dc:creator>
  <cp:lastModifiedBy>网站运维（陈梓标）</cp:lastModifiedBy>
  <dcterms:modified xsi:type="dcterms:W3CDTF">2026-02-12T03:04:04Z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