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sz w:val="32"/>
          <w:szCs w:val="32"/>
          <w:u w:val="none"/>
          <w:lang w:eastAsia="zh-CN"/>
        </w:rPr>
      </w:pPr>
      <w:r>
        <w:rPr>
          <w:rFonts w:hint="eastAsia" w:ascii="黑体" w:hAnsi="黑体" w:eastAsia="黑体" w:cs="黑体"/>
          <w:color w:val="000000"/>
          <w:sz w:val="32"/>
          <w:szCs w:val="32"/>
          <w:u w:val="none"/>
          <w:lang w:eastAsia="zh-CN"/>
        </w:rPr>
        <w:t>附</w:t>
      </w:r>
      <w:r>
        <w:rPr>
          <w:rFonts w:hint="default" w:ascii="黑体" w:hAnsi="黑体" w:eastAsia="黑体" w:cs="黑体"/>
          <w:color w:val="000000"/>
          <w:sz w:val="32"/>
          <w:szCs w:val="32"/>
          <w:u w:val="none"/>
          <w:lang w:val="en-US" w:eastAsia="zh-CN"/>
        </w:rPr>
        <w:t xml:space="preserve">  </w:t>
      </w:r>
      <w:r>
        <w:rPr>
          <w:rFonts w:hint="eastAsia" w:ascii="黑体" w:hAnsi="黑体" w:eastAsia="黑体" w:cs="黑体"/>
          <w:color w:val="000000"/>
          <w:sz w:val="32"/>
          <w:szCs w:val="32"/>
          <w:u w:val="none"/>
          <w:lang w:eastAsia="zh-CN"/>
        </w:rPr>
        <w:t>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sz w:val="44"/>
          <w:szCs w:val="44"/>
          <w:u w:val="none"/>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u w:val="none"/>
          <w:lang w:eastAsia="zh-CN"/>
        </w:rPr>
      </w:pPr>
      <w:r>
        <w:rPr>
          <w:rFonts w:hint="default" w:ascii="方正小标宋简体" w:hAnsi="方正小标宋简体" w:eastAsia="方正小标宋简体" w:cs="方正小标宋简体"/>
          <w:color w:val="000000"/>
          <w:sz w:val="44"/>
          <w:szCs w:val="44"/>
          <w:u w:val="none"/>
          <w:lang w:eastAsia="zh-CN"/>
        </w:rPr>
        <w:t>深圳市商务局</w:t>
      </w:r>
      <w:r>
        <w:rPr>
          <w:rFonts w:hint="eastAsia" w:ascii="方正小标宋简体" w:hAnsi="方正小标宋简体" w:eastAsia="方正小标宋简体" w:cs="方正小标宋简体"/>
          <w:color w:val="000000"/>
          <w:sz w:val="44"/>
          <w:szCs w:val="44"/>
          <w:u w:val="none"/>
          <w:lang w:eastAsia="zh-CN"/>
        </w:rPr>
        <w:t>202</w:t>
      </w:r>
      <w:r>
        <w:rPr>
          <w:rFonts w:hint="default" w:ascii="方正小标宋简体" w:hAnsi="方正小标宋简体" w:eastAsia="方正小标宋简体" w:cs="方正小标宋简体"/>
          <w:color w:val="000000"/>
          <w:sz w:val="44"/>
          <w:szCs w:val="44"/>
          <w:u w:val="none"/>
          <w:lang w:eastAsia="zh-CN"/>
        </w:rPr>
        <w:t>6</w:t>
      </w:r>
      <w:r>
        <w:rPr>
          <w:rFonts w:hint="eastAsia" w:ascii="方正小标宋简体" w:hAnsi="方正小标宋简体" w:eastAsia="方正小标宋简体" w:cs="方正小标宋简体"/>
          <w:color w:val="000000"/>
          <w:sz w:val="44"/>
          <w:szCs w:val="44"/>
          <w:u w:val="none"/>
          <w:lang w:eastAsia="zh-CN"/>
        </w:rPr>
        <w:t>年度</w:t>
      </w:r>
      <w:r>
        <w:rPr>
          <w:rFonts w:hint="default" w:ascii="方正小标宋简体" w:hAnsi="方正小标宋简体" w:eastAsia="方正小标宋简体" w:cs="方正小标宋简体"/>
          <w:color w:val="000000"/>
          <w:sz w:val="44"/>
          <w:szCs w:val="44"/>
          <w:u w:val="none"/>
          <w:lang w:eastAsia="zh-CN"/>
        </w:rPr>
        <w:t>中央资金（</w:t>
      </w:r>
      <w:r>
        <w:rPr>
          <w:rFonts w:hint="eastAsia" w:ascii="方正小标宋简体" w:hAnsi="方正小标宋简体" w:eastAsia="方正小标宋简体" w:cs="方正小标宋简体"/>
          <w:color w:val="000000"/>
          <w:sz w:val="44"/>
          <w:szCs w:val="44"/>
          <w:u w:val="none"/>
          <w:lang w:eastAsia="zh-CN"/>
        </w:rPr>
        <w:t>国内贸易</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sz w:val="44"/>
          <w:szCs w:val="44"/>
          <w:u w:val="none"/>
          <w:lang w:eastAsia="zh-CN"/>
        </w:rPr>
      </w:pPr>
      <w:r>
        <w:rPr>
          <w:rFonts w:hint="eastAsia" w:ascii="方正小标宋简体" w:hAnsi="方正小标宋简体" w:eastAsia="方正小标宋简体" w:cs="方正小标宋简体"/>
          <w:color w:val="000000"/>
          <w:sz w:val="44"/>
          <w:szCs w:val="44"/>
          <w:u w:val="none"/>
          <w:lang w:eastAsia="zh-CN"/>
        </w:rPr>
        <w:t>信用保险资助项目</w:t>
      </w:r>
      <w:r>
        <w:rPr>
          <w:rFonts w:hint="default" w:ascii="方正小标宋简体" w:hAnsi="方正小标宋简体" w:eastAsia="方正小标宋简体" w:cs="方正小标宋简体"/>
          <w:color w:val="000000"/>
          <w:sz w:val="44"/>
          <w:szCs w:val="44"/>
          <w:u w:val="none"/>
          <w:lang w:eastAsia="zh-CN"/>
        </w:rPr>
        <w:t>）申报指南</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000000"/>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color w:val="000000"/>
          <w:sz w:val="32"/>
          <w:szCs w:val="32"/>
          <w:u w:val="none"/>
        </w:rPr>
      </w:pPr>
      <w:r>
        <w:rPr>
          <w:rFonts w:hint="eastAsia" w:ascii="黑体" w:hAnsi="黑体" w:eastAsia="黑体" w:cs="黑体"/>
          <w:color w:val="000000"/>
          <w:sz w:val="32"/>
          <w:szCs w:val="32"/>
          <w:u w:val="none"/>
          <w:lang w:val="en-US" w:eastAsia="zh-CN"/>
        </w:rPr>
        <w:t>一</w:t>
      </w:r>
      <w:r>
        <w:rPr>
          <w:rFonts w:hint="eastAsia" w:ascii="黑体" w:hAnsi="黑体" w:eastAsia="黑体" w:cs="黑体"/>
          <w:color w:val="000000"/>
          <w:sz w:val="32"/>
          <w:szCs w:val="32"/>
          <w:u w:val="none"/>
        </w:rPr>
        <w:t>、</w:t>
      </w:r>
      <w:r>
        <w:rPr>
          <w:rFonts w:hint="default" w:ascii="黑体" w:hAnsi="黑体" w:eastAsia="黑体" w:cs="黑体"/>
          <w:color w:val="000000"/>
          <w:sz w:val="32"/>
          <w:szCs w:val="32"/>
          <w:u w:val="none"/>
        </w:rPr>
        <w:t>支持领域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color w:val="000000"/>
          <w:sz w:val="32"/>
          <w:szCs w:val="32"/>
          <w:u w:val="none"/>
        </w:rPr>
      </w:pPr>
      <w:r>
        <w:rPr>
          <w:rFonts w:hint="eastAsia" w:ascii="仿宋_GB2312" w:hAnsi="Calibri" w:eastAsia="仿宋_GB2312" w:cs="Times New Roman"/>
          <w:color w:val="000000"/>
          <w:sz w:val="32"/>
          <w:szCs w:val="32"/>
          <w:u w:val="none"/>
        </w:rPr>
        <w:t>支持</w:t>
      </w:r>
      <w:r>
        <w:rPr>
          <w:rFonts w:hint="default" w:ascii="仿宋_GB2312" w:hAnsi="Calibri" w:eastAsia="仿宋_GB2312" w:cs="Times New Roman"/>
          <w:color w:val="000000"/>
          <w:sz w:val="32"/>
          <w:szCs w:val="32"/>
          <w:highlight w:val="none"/>
          <w:u w:val="none"/>
        </w:rPr>
        <w:t>外贸</w:t>
      </w:r>
      <w:r>
        <w:rPr>
          <w:rFonts w:hint="eastAsia" w:ascii="仿宋_GB2312" w:hAnsi="Calibri" w:eastAsia="仿宋_GB2312" w:cs="Times New Roman"/>
          <w:color w:val="000000"/>
          <w:sz w:val="32"/>
          <w:szCs w:val="32"/>
          <w:u w:val="none"/>
        </w:rPr>
        <w:t>企业</w:t>
      </w:r>
      <w:r>
        <w:rPr>
          <w:rFonts w:hint="default" w:ascii="仿宋_GB2312" w:hAnsi="Calibri" w:eastAsia="仿宋_GB2312" w:cs="Times New Roman"/>
          <w:color w:val="000000"/>
          <w:sz w:val="32"/>
          <w:szCs w:val="32"/>
          <w:u w:val="none"/>
        </w:rPr>
        <w:t>自主投保国内贸易信用保险，降低企业投保成本，防范</w:t>
      </w:r>
      <w:r>
        <w:rPr>
          <w:rFonts w:hint="eastAsia" w:ascii="仿宋_GB2312" w:hAnsi="Calibri" w:eastAsia="仿宋_GB2312" w:cs="Times New Roman"/>
          <w:color w:val="000000"/>
          <w:sz w:val="32"/>
          <w:szCs w:val="32"/>
          <w:u w:val="none"/>
        </w:rPr>
        <w:t>交易</w:t>
      </w:r>
      <w:r>
        <w:rPr>
          <w:rFonts w:hint="default" w:ascii="仿宋_GB2312" w:hAnsi="Calibri" w:eastAsia="仿宋_GB2312" w:cs="Times New Roman"/>
          <w:color w:val="000000"/>
          <w:sz w:val="32"/>
          <w:szCs w:val="32"/>
          <w:u w:val="none"/>
        </w:rPr>
        <w:t>违约</w:t>
      </w:r>
      <w:r>
        <w:rPr>
          <w:rFonts w:hint="eastAsia" w:ascii="仿宋_GB2312" w:hAnsi="Calibri" w:eastAsia="仿宋_GB2312" w:cs="Times New Roman"/>
          <w:color w:val="000000"/>
          <w:sz w:val="32"/>
          <w:szCs w:val="32"/>
          <w:u w:val="none"/>
        </w:rPr>
        <w:t>风险</w:t>
      </w:r>
      <w:r>
        <w:rPr>
          <w:rFonts w:hint="default" w:ascii="仿宋_GB2312" w:hAnsi="Calibri" w:eastAsia="仿宋_GB2312" w:cs="Times New Roman"/>
          <w:color w:val="000000"/>
          <w:sz w:val="32"/>
          <w:szCs w:val="32"/>
          <w:u w:val="none"/>
        </w:rPr>
        <w:t>，助力企业</w:t>
      </w:r>
      <w:r>
        <w:rPr>
          <w:rFonts w:hint="eastAsia" w:ascii="仿宋_GB2312" w:hAnsi="Calibri" w:eastAsia="仿宋_GB2312" w:cs="Times New Roman"/>
          <w:color w:val="000000"/>
          <w:sz w:val="32"/>
          <w:szCs w:val="32"/>
          <w:u w:val="none"/>
        </w:rPr>
        <w:t>拓展国内市场</w:t>
      </w:r>
      <w:r>
        <w:rPr>
          <w:rFonts w:hint="default" w:ascii="仿宋_GB2312" w:hAnsi="Calibri" w:eastAsia="仿宋_GB2312" w:cs="Times New Roman"/>
          <w:color w:val="000000"/>
          <w:sz w:val="32"/>
          <w:szCs w:val="32"/>
          <w:u w:val="none"/>
        </w:rPr>
        <w:t>,推动内外贸一体化发展。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color w:val="000000"/>
          <w:sz w:val="32"/>
          <w:szCs w:val="32"/>
          <w:u w:val="none"/>
        </w:rPr>
      </w:pPr>
      <w:r>
        <w:rPr>
          <w:rFonts w:hint="default" w:ascii="黑体" w:hAnsi="黑体" w:eastAsia="黑体" w:cs="黑体"/>
          <w:color w:val="000000"/>
          <w:sz w:val="32"/>
          <w:szCs w:val="32"/>
          <w:u w:val="none"/>
          <w:lang w:eastAsia="zh-CN"/>
        </w:rPr>
        <w:t>二</w:t>
      </w:r>
      <w:r>
        <w:rPr>
          <w:rFonts w:hint="eastAsia" w:ascii="黑体" w:hAnsi="黑体" w:eastAsia="黑体" w:cs="黑体"/>
          <w:color w:val="000000"/>
          <w:sz w:val="32"/>
          <w:szCs w:val="32"/>
          <w:u w:val="none"/>
        </w:rPr>
        <w:t>、</w:t>
      </w:r>
      <w:r>
        <w:rPr>
          <w:rFonts w:hint="default" w:ascii="黑体" w:hAnsi="黑体" w:eastAsia="黑体" w:cs="黑体"/>
          <w:color w:val="000000"/>
          <w:sz w:val="32"/>
          <w:szCs w:val="32"/>
          <w:u w:val="none"/>
        </w:rPr>
        <w:t>设定依据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Calibri" w:eastAsia="仿宋_GB2312" w:cs="Times New Roman"/>
          <w:sz w:val="32"/>
          <w:szCs w:val="32"/>
          <w:u w:val="none"/>
        </w:rPr>
      </w:pPr>
      <w:r>
        <w:rPr>
          <w:rFonts w:hint="default" w:ascii="仿宋_GB2312" w:hAnsi="仿宋_GB2312" w:eastAsia="仿宋_GB2312" w:cs="仿宋_GB2312"/>
          <w:sz w:val="32"/>
          <w:szCs w:val="32"/>
          <w:u w:val="none"/>
        </w:rPr>
        <w:t>《财政部办公厅 商务部办公厅关于2025年度外经贸发展专项资金有关工作的通知》（</w:t>
      </w:r>
      <w:r>
        <w:rPr>
          <w:rFonts w:hint="eastAsia" w:ascii="仿宋_GB2312" w:hAnsi="仿宋_GB2312" w:eastAsia="仿宋_GB2312" w:cs="仿宋_GB2312"/>
          <w:sz w:val="32"/>
          <w:szCs w:val="32"/>
          <w:u w:val="none"/>
        </w:rPr>
        <w:t>财办建〔2025〕9号</w:t>
      </w:r>
      <w:r>
        <w:rPr>
          <w:rFonts w:hint="default" w:ascii="仿宋_GB2312" w:hAnsi="仿宋_GB2312" w:eastAsia="仿宋_GB2312" w:cs="仿宋_GB2312"/>
          <w:sz w:val="32"/>
          <w:szCs w:val="32"/>
          <w:u w:val="none"/>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w:t>
      </w:r>
      <w:r>
        <w:rPr>
          <w:rFonts w:hint="default" w:ascii="楷体_GB2312" w:hAnsi="楷体_GB2312" w:eastAsia="楷体_GB2312" w:cs="楷体_GB2312"/>
          <w:color w:val="000000"/>
          <w:sz w:val="32"/>
          <w:szCs w:val="32"/>
          <w:u w:val="none"/>
        </w:rPr>
        <w:t>二</w:t>
      </w:r>
      <w:r>
        <w:rPr>
          <w:rFonts w:hint="eastAsia" w:ascii="楷体_GB2312" w:hAnsi="楷体_GB2312" w:eastAsia="楷体_GB2312" w:cs="楷体_GB2312"/>
          <w:color w:val="000000"/>
          <w:sz w:val="32"/>
          <w:szCs w:val="32"/>
          <w:u w:val="none"/>
        </w:rPr>
        <w:t>）</w:t>
      </w:r>
      <w:r>
        <w:rPr>
          <w:rFonts w:hint="default" w:ascii="楷体_GB2312" w:hAnsi="楷体_GB2312" w:eastAsia="楷体_GB2312" w:cs="楷体_GB2312"/>
          <w:color w:val="000000"/>
          <w:sz w:val="32"/>
          <w:szCs w:val="32"/>
          <w:u w:val="none"/>
        </w:rPr>
        <w:t>管理</w:t>
      </w:r>
      <w:r>
        <w:rPr>
          <w:rFonts w:hint="eastAsia" w:ascii="楷体_GB2312" w:hAnsi="楷体_GB2312" w:eastAsia="楷体_GB2312" w:cs="楷体_GB2312"/>
          <w:color w:val="000000"/>
          <w:sz w:val="32"/>
          <w:szCs w:val="32"/>
          <w:u w:val="none"/>
        </w:rPr>
        <w:t>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u w:val="none"/>
        </w:rPr>
      </w:pPr>
      <w:r>
        <w:rPr>
          <w:rFonts w:hint="default" w:ascii="仿宋_GB2312" w:hAnsi="仿宋_GB2312" w:eastAsia="仿宋_GB2312" w:cs="仿宋_GB2312"/>
          <w:sz w:val="32"/>
          <w:szCs w:val="32"/>
          <w:highlight w:val="none"/>
          <w:u w:val="none"/>
        </w:rPr>
        <w:t>1.《财政部</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none"/>
        </w:rPr>
        <w:t>商务部关于印发〈外经贸发展专项资金管理办法)的通知》(财建〔2022</w:t>
      </w:r>
      <w:r>
        <w:rPr>
          <w:rFonts w:hint="eastAsia" w:ascii="仿宋_GB2312" w:hAnsi="仿宋_GB2312" w:eastAsia="仿宋_GB2312" w:cs="仿宋_GB2312"/>
          <w:sz w:val="32"/>
          <w:szCs w:val="32"/>
          <w:u w:val="none"/>
        </w:rPr>
        <w:t>〕</w:t>
      </w:r>
      <w:r>
        <w:rPr>
          <w:rFonts w:hint="default" w:ascii="仿宋_GB2312" w:hAnsi="仿宋_GB2312" w:eastAsia="仿宋_GB2312" w:cs="仿宋_GB2312"/>
          <w:sz w:val="32"/>
          <w:szCs w:val="32"/>
          <w:highlight w:val="none"/>
          <w:u w:val="none"/>
        </w:rPr>
        <w:t>3号)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Calibri" w:hAnsi="Calibri" w:eastAsia="宋体" w:cs="Times New Roman"/>
          <w:sz w:val="32"/>
          <w:szCs w:val="32"/>
          <w:u w:val="none"/>
        </w:rPr>
      </w:pPr>
      <w:r>
        <w:rPr>
          <w:rFonts w:hint="default" w:ascii="仿宋_GB2312" w:hAnsi="Calibri" w:eastAsia="仿宋_GB2312" w:cs="Times New Roman"/>
          <w:color w:val="000000"/>
          <w:sz w:val="32"/>
          <w:szCs w:val="32"/>
          <w:highlight w:val="none"/>
          <w:u w:val="none"/>
        </w:rPr>
        <w:t>2.</w:t>
      </w:r>
      <w:r>
        <w:rPr>
          <w:rFonts w:hint="eastAsia" w:ascii="仿宋_GB2312" w:hAnsi="仿宋_GB2312" w:eastAsia="仿宋_GB2312" w:cs="Times New Roman"/>
          <w:kern w:val="2"/>
          <w:sz w:val="32"/>
          <w:szCs w:val="32"/>
          <w:highlight w:val="none"/>
          <w:u w:val="none"/>
        </w:rPr>
        <w:t>《深圳市商务</w:t>
      </w:r>
      <w:r>
        <w:rPr>
          <w:rFonts w:hint="eastAsia" w:ascii="仿宋_GB2312" w:hAnsi="仿宋_GB2312" w:eastAsia="仿宋_GB2312" w:cs="Times New Roman"/>
          <w:kern w:val="2"/>
          <w:sz w:val="32"/>
          <w:szCs w:val="32"/>
          <w:highlight w:val="none"/>
          <w:u w:val="none"/>
          <w:lang w:val="en-US" w:eastAsia="zh-CN"/>
        </w:rPr>
        <w:t>高质量发展</w:t>
      </w:r>
      <w:r>
        <w:rPr>
          <w:rFonts w:hint="eastAsia" w:ascii="仿宋_GB2312" w:hAnsi="仿宋_GB2312" w:eastAsia="仿宋_GB2312" w:cs="Times New Roman"/>
          <w:kern w:val="2"/>
          <w:sz w:val="32"/>
          <w:szCs w:val="32"/>
          <w:highlight w:val="none"/>
          <w:u w:val="none"/>
        </w:rPr>
        <w:t>专项资金管理</w:t>
      </w:r>
      <w:r>
        <w:rPr>
          <w:rFonts w:hint="default" w:ascii="仿宋_GB2312" w:hAnsi="仿宋_GB2312" w:eastAsia="仿宋_GB2312" w:cs="Times New Roman"/>
          <w:kern w:val="2"/>
          <w:sz w:val="32"/>
          <w:szCs w:val="32"/>
          <w:highlight w:val="none"/>
          <w:u w:val="none"/>
          <w:lang w:val="en-US"/>
        </w:rPr>
        <w:t>办法</w:t>
      </w:r>
      <w:r>
        <w:rPr>
          <w:rFonts w:hint="eastAsia" w:ascii="仿宋_GB2312" w:hAnsi="仿宋_GB2312" w:eastAsia="仿宋_GB2312" w:cs="Times New Roman"/>
          <w:kern w:val="2"/>
          <w:sz w:val="32"/>
          <w:szCs w:val="32"/>
          <w:highlight w:val="none"/>
          <w:u w:val="none"/>
        </w:rPr>
        <w:t>》</w:t>
      </w:r>
      <w:r>
        <w:rPr>
          <w:rFonts w:hint="eastAsia" w:ascii="仿宋_GB2312" w:hAnsi="Calibri" w:eastAsia="仿宋_GB2312" w:cs="Times New Roman"/>
          <w:sz w:val="32"/>
          <w:szCs w:val="32"/>
          <w:highlight w:val="none"/>
          <w:u w:val="none"/>
        </w:rPr>
        <w:t>（</w:t>
      </w:r>
      <w:r>
        <w:rPr>
          <w:rFonts w:hint="eastAsia" w:ascii="仿宋_GB2312" w:hAnsi="Calibri" w:eastAsia="仿宋_GB2312" w:cs="Times New Roman"/>
          <w:sz w:val="32"/>
          <w:szCs w:val="32"/>
          <w:highlight w:val="none"/>
          <w:u w:val="none"/>
          <w:lang w:eastAsia="zh-CN"/>
        </w:rPr>
        <w:t>深商务规</w:t>
      </w:r>
      <w:r>
        <w:rPr>
          <w:rFonts w:hint="eastAsia" w:ascii="仿宋_GB2312" w:hAnsi="Calibri" w:eastAsia="仿宋_GB2312" w:cs="Times New Roman"/>
          <w:sz w:val="32"/>
          <w:szCs w:val="32"/>
          <w:highlight w:val="none"/>
          <w:u w:val="none"/>
        </w:rPr>
        <w:t>〔20</w:t>
      </w:r>
      <w:r>
        <w:rPr>
          <w:rFonts w:hint="eastAsia" w:ascii="仿宋_GB2312" w:hAnsi="Calibri" w:eastAsia="仿宋_GB2312" w:cs="Times New Roman"/>
          <w:sz w:val="32"/>
          <w:szCs w:val="32"/>
          <w:highlight w:val="none"/>
          <w:u w:val="none"/>
          <w:lang w:val="en-US" w:eastAsia="zh-CN"/>
        </w:rPr>
        <w:t>25</w:t>
      </w:r>
      <w:r>
        <w:rPr>
          <w:rFonts w:hint="eastAsia" w:ascii="仿宋_GB2312" w:hAnsi="Calibri" w:eastAsia="仿宋_GB2312" w:cs="Times New Roman"/>
          <w:sz w:val="32"/>
          <w:szCs w:val="32"/>
          <w:highlight w:val="none"/>
          <w:u w:val="none"/>
        </w:rPr>
        <w:t>〕</w:t>
      </w:r>
      <w:r>
        <w:rPr>
          <w:rFonts w:hint="default" w:ascii="仿宋_GB2312" w:hAnsi="Calibri" w:eastAsia="仿宋_GB2312" w:cs="Times New Roman"/>
          <w:sz w:val="32"/>
          <w:szCs w:val="32"/>
          <w:highlight w:val="none"/>
          <w:u w:val="none"/>
          <w:lang w:eastAsia="zh-CN"/>
        </w:rPr>
        <w:t>4</w:t>
      </w:r>
      <w:r>
        <w:rPr>
          <w:rFonts w:hint="eastAsia" w:ascii="仿宋_GB2312" w:hAnsi="Calibri" w:eastAsia="仿宋_GB2312" w:cs="Times New Roman"/>
          <w:sz w:val="32"/>
          <w:szCs w:val="32"/>
          <w:highlight w:val="none"/>
          <w:u w:val="none"/>
        </w:rPr>
        <w:t>号）</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color w:val="000000"/>
          <w:sz w:val="32"/>
          <w:szCs w:val="32"/>
          <w:u w:val="none"/>
        </w:rPr>
      </w:pPr>
      <w:r>
        <w:rPr>
          <w:rFonts w:hint="default" w:ascii="黑体" w:hAnsi="黑体" w:eastAsia="黑体" w:cs="黑体"/>
          <w:color w:val="000000"/>
          <w:sz w:val="32"/>
          <w:szCs w:val="32"/>
          <w:u w:val="none"/>
          <w:lang w:eastAsia="zh-CN"/>
        </w:rPr>
        <w:t>三</w:t>
      </w:r>
      <w:r>
        <w:rPr>
          <w:rFonts w:hint="eastAsia" w:ascii="黑体" w:hAnsi="黑体" w:eastAsia="黑体" w:cs="黑体"/>
          <w:color w:val="000000"/>
          <w:sz w:val="32"/>
          <w:szCs w:val="32"/>
          <w:u w:val="none"/>
        </w:rPr>
        <w:t>、</w:t>
      </w:r>
      <w:r>
        <w:rPr>
          <w:rFonts w:hint="default" w:ascii="黑体" w:hAnsi="黑体" w:eastAsia="黑体" w:cs="黑体"/>
          <w:color w:val="000000"/>
          <w:sz w:val="32"/>
          <w:szCs w:val="32"/>
          <w:u w:val="none"/>
        </w:rPr>
        <w:t>支持数量和支持方式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default" w:ascii="楷体_GB2312" w:hAnsi="楷体_GB2312" w:eastAsia="楷体_GB2312" w:cs="楷体_GB2312"/>
          <w:bCs/>
          <w:color w:val="000000"/>
          <w:sz w:val="32"/>
          <w:szCs w:val="32"/>
          <w:u w:val="none"/>
        </w:rPr>
      </w:pPr>
      <w:r>
        <w:rPr>
          <w:rFonts w:hint="eastAsia" w:ascii="楷体_GB2312" w:hAnsi="楷体_GB2312" w:eastAsia="楷体_GB2312" w:cs="楷体_GB2312"/>
          <w:bCs/>
          <w:color w:val="000000"/>
          <w:sz w:val="32"/>
          <w:szCs w:val="32"/>
          <w:u w:val="none"/>
        </w:rPr>
        <w:t>（一）支持数量</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default" w:ascii="Times New Roman" w:hAnsi="Times New Roman" w:eastAsia="宋体" w:cs="Times New Roman"/>
          <w:kern w:val="2"/>
          <w:sz w:val="32"/>
          <w:szCs w:val="32"/>
          <w:u w:val="none"/>
          <w:lang w:val="en-US" w:eastAsia="zh-CN" w:bidi="ar-SA"/>
        </w:rPr>
      </w:pPr>
      <w:r>
        <w:rPr>
          <w:rFonts w:hint="eastAsia" w:ascii="仿宋_GB2312" w:hAnsi="仿宋_GB2312" w:eastAsia="仿宋_GB2312" w:cs="宋体"/>
          <w:kern w:val="0"/>
          <w:sz w:val="32"/>
          <w:szCs w:val="32"/>
          <w:u w:val="none"/>
          <w:lang w:val="en-US" w:eastAsia="zh-CN" w:bidi="ar-SA"/>
        </w:rPr>
        <w:t>有</w:t>
      </w:r>
      <w:r>
        <w:rPr>
          <w:rFonts w:hint="default" w:ascii="仿宋_GB2312" w:hAnsi="仿宋_GB2312" w:eastAsia="仿宋_GB2312" w:cs="宋体"/>
          <w:kern w:val="0"/>
          <w:sz w:val="32"/>
          <w:szCs w:val="32"/>
          <w:u w:val="none"/>
          <w:lang w:val="en-US" w:eastAsia="zh-CN" w:bidi="ar-SA"/>
        </w:rPr>
        <w:t>数量</w:t>
      </w:r>
      <w:r>
        <w:rPr>
          <w:rFonts w:hint="eastAsia" w:ascii="仿宋_GB2312" w:hAnsi="仿宋_GB2312" w:eastAsia="仿宋_GB2312" w:cs="仿宋_GB2312"/>
          <w:kern w:val="0"/>
          <w:sz w:val="32"/>
          <w:szCs w:val="32"/>
          <w:u w:val="none"/>
          <w:lang w:val="en-US" w:eastAsia="zh-CN" w:bidi="ar-SA"/>
        </w:rPr>
        <w:t>限制，</w:t>
      </w:r>
      <w:r>
        <w:rPr>
          <w:rFonts w:hint="default" w:ascii="仿宋_GB2312" w:hAnsi="仿宋_GB2312" w:eastAsia="仿宋_GB2312" w:cs="仿宋_GB2312"/>
          <w:kern w:val="0"/>
          <w:sz w:val="32"/>
          <w:szCs w:val="32"/>
          <w:u w:val="none"/>
          <w:lang w:val="en-US" w:eastAsia="zh-CN" w:bidi="ar-SA"/>
        </w:rPr>
        <w:t>受财政部</w:t>
      </w:r>
      <w:r>
        <w:rPr>
          <w:rFonts w:hint="default" w:ascii="仿宋_GB2312" w:hAnsi="仿宋_GB2312" w:eastAsia="仿宋_GB2312" w:cs="仿宋_GB2312"/>
          <w:kern w:val="2"/>
          <w:sz w:val="32"/>
          <w:szCs w:val="32"/>
          <w:u w:val="none"/>
          <w:lang w:val="en-US" w:eastAsia="zh-CN" w:bidi="ar-SA"/>
        </w:rPr>
        <w:t>、商务部</w:t>
      </w:r>
      <w:r>
        <w:rPr>
          <w:rFonts w:hint="eastAsia" w:ascii="仿宋_GB2312" w:hAnsi="仿宋_GB2312" w:eastAsia="仿宋_GB2312" w:cs="仿宋_GB2312"/>
          <w:kern w:val="2"/>
          <w:sz w:val="32"/>
          <w:szCs w:val="32"/>
          <w:u w:val="none"/>
          <w:lang w:val="en-US" w:eastAsia="zh-CN" w:bidi="ar-SA"/>
        </w:rPr>
        <w:t>下达年度资金预算</w:t>
      </w:r>
      <w:r>
        <w:rPr>
          <w:rFonts w:hint="eastAsia" w:ascii="仿宋_GB2312" w:hAnsi="Calibri" w:eastAsia="仿宋_GB2312" w:cs="Times New Roman"/>
          <w:color w:val="000000"/>
          <w:kern w:val="2"/>
          <w:sz w:val="32"/>
          <w:szCs w:val="32"/>
          <w:u w:val="none"/>
          <w:lang w:val="en-US" w:eastAsia="zh-CN" w:bidi="ar-SA"/>
        </w:rPr>
        <w:t>控制。</w:t>
      </w:r>
      <w:r>
        <w:rPr>
          <w:rFonts w:hint="default" w:ascii="仿宋_GB2312" w:hAnsi="Times New Roman" w:eastAsia="仿宋_GB2312" w:cs="Times New Roman"/>
          <w:color w:val="000000"/>
          <w:kern w:val="2"/>
          <w:sz w:val="32"/>
          <w:szCs w:val="32"/>
          <w:u w:val="none"/>
          <w:lang w:val="en-US" w:eastAsia="zh-CN" w:bidi="ar-SA"/>
        </w:rPr>
        <w:t>资助金额以元为单位按舍尾法取整。市</w:t>
      </w:r>
      <w:r>
        <w:rPr>
          <w:rFonts w:hint="eastAsia" w:ascii="仿宋_GB2312" w:hAnsi="Times New Roman" w:eastAsia="仿宋_GB2312" w:cs="Times New Roman"/>
          <w:color w:val="000000"/>
          <w:kern w:val="2"/>
          <w:sz w:val="32"/>
          <w:szCs w:val="32"/>
          <w:u w:val="none"/>
          <w:lang w:val="en-US" w:eastAsia="zh-CN" w:bidi="ar-SA"/>
        </w:rPr>
        <w:t>商务</w:t>
      </w:r>
      <w:r>
        <w:rPr>
          <w:rFonts w:hint="default" w:ascii="仿宋_GB2312" w:hAnsi="Times New Roman" w:eastAsia="仿宋_GB2312" w:cs="Times New Roman"/>
          <w:color w:val="000000"/>
          <w:kern w:val="2"/>
          <w:sz w:val="32"/>
          <w:szCs w:val="32"/>
          <w:u w:val="none"/>
          <w:lang w:val="en-US" w:eastAsia="zh-CN" w:bidi="ar-SA"/>
        </w:rPr>
        <w:t>局</w:t>
      </w:r>
      <w:r>
        <w:rPr>
          <w:rFonts w:hint="eastAsia" w:ascii="仿宋_GB2312" w:hAnsi="Times New Roman" w:eastAsia="仿宋_GB2312" w:cs="Times New Roman"/>
          <w:color w:val="000000"/>
          <w:kern w:val="2"/>
          <w:sz w:val="32"/>
          <w:szCs w:val="32"/>
          <w:u w:val="none"/>
          <w:lang w:val="en-US" w:eastAsia="zh-CN" w:bidi="ar-SA"/>
        </w:rPr>
        <w:t>视申报情况和预算安排，对资助金额、支持比例和拨付进度等进行统一调整，</w:t>
      </w:r>
      <w:r>
        <w:rPr>
          <w:rFonts w:hint="default" w:ascii="仿宋_GB2312" w:hAnsi="Times New Roman" w:eastAsia="仿宋_GB2312" w:cs="Times New Roman"/>
          <w:color w:val="000000"/>
          <w:kern w:val="2"/>
          <w:sz w:val="32"/>
          <w:szCs w:val="32"/>
          <w:u w:val="none"/>
          <w:lang w:val="en-US" w:eastAsia="zh-CN" w:bidi="ar-SA"/>
        </w:rPr>
        <w:t>申报单位</w:t>
      </w:r>
      <w:r>
        <w:rPr>
          <w:rFonts w:hint="eastAsia" w:ascii="仿宋_GB2312" w:hAnsi="Times New Roman" w:eastAsia="仿宋_GB2312" w:cs="Times New Roman"/>
          <w:color w:val="000000"/>
          <w:kern w:val="2"/>
          <w:sz w:val="32"/>
          <w:szCs w:val="32"/>
          <w:u w:val="none"/>
          <w:lang w:val="en-US" w:eastAsia="zh-CN" w:bidi="ar-SA"/>
        </w:rPr>
        <w:t>应无条件同意调整结果。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bCs/>
          <w:color w:val="000000"/>
          <w:sz w:val="32"/>
          <w:szCs w:val="32"/>
          <w:u w:val="none"/>
        </w:rPr>
      </w:pPr>
      <w:r>
        <w:rPr>
          <w:rFonts w:hint="eastAsia" w:ascii="楷体_GB2312" w:hAnsi="楷体_GB2312" w:eastAsia="楷体_GB2312" w:cs="楷体_GB2312"/>
          <w:bCs/>
          <w:color w:val="000000"/>
          <w:sz w:val="32"/>
          <w:szCs w:val="32"/>
          <w:u w:val="none"/>
        </w:rPr>
        <w:t>（</w:t>
      </w:r>
      <w:r>
        <w:rPr>
          <w:rFonts w:hint="default" w:ascii="楷体_GB2312" w:hAnsi="楷体_GB2312" w:eastAsia="楷体_GB2312" w:cs="楷体_GB2312"/>
          <w:bCs/>
          <w:color w:val="000000"/>
          <w:sz w:val="32"/>
          <w:szCs w:val="32"/>
          <w:u w:val="none"/>
        </w:rPr>
        <w:t>二</w:t>
      </w:r>
      <w:r>
        <w:rPr>
          <w:rFonts w:hint="eastAsia" w:ascii="楷体_GB2312" w:hAnsi="楷体_GB2312" w:eastAsia="楷体_GB2312" w:cs="楷体_GB2312"/>
          <w:bCs/>
          <w:color w:val="000000"/>
          <w:sz w:val="32"/>
          <w:szCs w:val="32"/>
          <w:u w:val="none"/>
        </w:rPr>
        <w:t>）支持</w:t>
      </w:r>
      <w:r>
        <w:rPr>
          <w:rFonts w:hint="default" w:ascii="楷体_GB2312" w:hAnsi="楷体_GB2312" w:eastAsia="楷体_GB2312" w:cs="楷体_GB2312"/>
          <w:bCs/>
          <w:color w:val="000000"/>
          <w:sz w:val="32"/>
          <w:szCs w:val="32"/>
          <w:u w:val="none"/>
        </w:rPr>
        <w:t>方式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事后资助。</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Calibri" w:eastAsia="黑体" w:cs="Times New Roman"/>
          <w:color w:val="000000"/>
          <w:sz w:val="32"/>
          <w:szCs w:val="32"/>
          <w:u w:val="none"/>
          <w:lang w:eastAsia="zh-CN"/>
        </w:rPr>
      </w:pPr>
      <w:r>
        <w:rPr>
          <w:rFonts w:hint="default" w:ascii="黑体" w:hAnsi="黑体" w:eastAsia="黑体" w:cs="黑体"/>
          <w:color w:val="000000"/>
          <w:sz w:val="32"/>
          <w:szCs w:val="32"/>
          <w:u w:val="none"/>
        </w:rPr>
        <w:t>四、</w:t>
      </w:r>
      <w:r>
        <w:rPr>
          <w:rFonts w:hint="eastAsia" w:ascii="黑体" w:hAnsi="黑体" w:eastAsia="黑体" w:cs="黑体"/>
          <w:color w:val="000000"/>
          <w:sz w:val="32"/>
          <w:szCs w:val="32"/>
          <w:u w:val="none"/>
        </w:rPr>
        <w:t>申报</w:t>
      </w:r>
      <w:r>
        <w:rPr>
          <w:rFonts w:hint="default" w:ascii="黑体" w:hAnsi="黑体" w:eastAsia="黑体" w:cs="黑体"/>
          <w:color w:val="000000"/>
          <w:sz w:val="32"/>
          <w:szCs w:val="32"/>
          <w:u w:val="none"/>
          <w:lang w:eastAsia="zh-CN"/>
        </w:rPr>
        <w:t>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（一）基本条件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color w:val="000000"/>
          <w:sz w:val="32"/>
          <w:szCs w:val="32"/>
          <w:u w:val="none"/>
        </w:rPr>
      </w:pPr>
      <w:r>
        <w:rPr>
          <w:rFonts w:hint="eastAsia" w:ascii="仿宋_GB2312" w:hAnsi="仿宋_GB2312" w:eastAsia="仿宋_GB2312" w:cs="Times New Roman"/>
          <w:sz w:val="32"/>
          <w:szCs w:val="32"/>
          <w:u w:val="none"/>
        </w:rPr>
        <w:t>1.</w:t>
      </w:r>
      <w:r>
        <w:rPr>
          <w:rFonts w:hint="default" w:ascii="仿宋_GB2312" w:hAnsi="仿宋_GB2312" w:eastAsia="仿宋_GB2312" w:cs="Times New Roman"/>
          <w:sz w:val="32"/>
          <w:szCs w:val="32"/>
          <w:u w:val="none"/>
        </w:rPr>
        <w:t>申报单位应为在深圳市内（含深汕特别合作区）实际从事外贸经营活动的企业。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u w:val="none"/>
        </w:rPr>
      </w:pPr>
      <w:r>
        <w:rPr>
          <w:rFonts w:hint="default" w:ascii="仿宋_GB2312" w:hAnsi="Calibri" w:eastAsia="仿宋_GB2312" w:cs="Times New Roman"/>
          <w:color w:val="000000"/>
          <w:sz w:val="32"/>
          <w:szCs w:val="32"/>
          <w:u w:val="none"/>
        </w:rPr>
        <w:t>2</w:t>
      </w:r>
      <w:r>
        <w:rPr>
          <w:rFonts w:ascii="仿宋_GB2312" w:hAnsi="Calibri" w:eastAsia="仿宋_GB2312" w:cs="Times New Roman"/>
          <w:color w:val="000000"/>
          <w:sz w:val="32"/>
          <w:szCs w:val="32"/>
          <w:u w:val="none"/>
        </w:rPr>
        <w:t>.</w:t>
      </w:r>
      <w:r>
        <w:rPr>
          <w:rFonts w:hint="default" w:ascii="仿宋_GB2312" w:hAnsi="Calibri" w:eastAsia="仿宋_GB2312" w:cs="Times New Roman"/>
          <w:color w:val="000000"/>
          <w:sz w:val="32"/>
          <w:szCs w:val="32"/>
          <w:u w:val="none"/>
        </w:rPr>
        <w:t>申报单位</w:t>
      </w:r>
      <w:r>
        <w:rPr>
          <w:rFonts w:hint="eastAsia" w:ascii="仿宋_GB2312" w:hAnsi="Calibri" w:eastAsia="仿宋_GB2312" w:cs="Times New Roman"/>
          <w:color w:val="000000"/>
          <w:sz w:val="32"/>
          <w:szCs w:val="32"/>
          <w:u w:val="none"/>
        </w:rPr>
        <w:t>未被国家、省、市有关部门列入严重失信主体名单实施失信惩戒，明确限制申请财政性资金项目，且在限制期内</w:t>
      </w:r>
      <w:r>
        <w:rPr>
          <w:rFonts w:ascii="仿宋_GB2312" w:hAnsi="仿宋_GB2312" w:eastAsia="仿宋_GB2312" w:cs="仿宋_GB2312"/>
          <w:color w:val="000000"/>
          <w:sz w:val="32"/>
          <w:szCs w:val="32"/>
          <w:u w:val="none"/>
        </w:rPr>
        <w:t>。</w:t>
      </w:r>
      <w:r>
        <w:rPr>
          <w:rFonts w:hint="default" w:ascii="仿宋_GB2312" w:hAnsi="仿宋_GB2312" w:eastAsia="仿宋_GB2312" w:cs="仿宋_GB2312"/>
          <w:color w:val="000000"/>
          <w:sz w:val="32"/>
          <w:szCs w:val="32"/>
          <w:u w:val="non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color w:val="000000"/>
          <w:sz w:val="32"/>
          <w:szCs w:val="32"/>
          <w:u w:val="none"/>
        </w:rPr>
      </w:pPr>
      <w:r>
        <w:rPr>
          <w:rFonts w:hint="default" w:ascii="仿宋_GB2312" w:hAnsi="Calibri" w:eastAsia="仿宋_GB2312" w:cs="Times New Roman"/>
          <w:color w:val="000000"/>
          <w:sz w:val="32"/>
          <w:szCs w:val="32"/>
          <w:u w:val="none"/>
        </w:rPr>
        <w:t>3</w:t>
      </w:r>
      <w:r>
        <w:rPr>
          <w:rFonts w:hint="eastAsia" w:ascii="仿宋_GB2312" w:hAnsi="Calibri" w:eastAsia="仿宋_GB2312" w:cs="Times New Roman"/>
          <w:color w:val="000000"/>
          <w:sz w:val="32"/>
          <w:szCs w:val="32"/>
          <w:u w:val="none"/>
        </w:rPr>
        <w:t>.</w:t>
      </w:r>
      <w:r>
        <w:rPr>
          <w:rFonts w:hint="default" w:ascii="仿宋_GB2312" w:hAnsi="Calibri" w:eastAsia="仿宋_GB2312" w:cs="Times New Roman"/>
          <w:color w:val="000000"/>
          <w:sz w:val="32"/>
          <w:szCs w:val="32"/>
          <w:u w:val="none"/>
        </w:rPr>
        <w:t>申报单位</w:t>
      </w:r>
      <w:r>
        <w:rPr>
          <w:rFonts w:hint="eastAsia" w:ascii="仿宋_GB2312" w:hAnsi="Calibri" w:eastAsia="仿宋_GB2312" w:cs="Times New Roman"/>
          <w:color w:val="000000"/>
          <w:sz w:val="32"/>
          <w:szCs w:val="32"/>
          <w:u w:val="none"/>
        </w:rPr>
        <w:t>近</w:t>
      </w:r>
      <w:r>
        <w:rPr>
          <w:rFonts w:ascii="仿宋_GB2312" w:hAnsi="Calibri" w:eastAsia="仿宋_GB2312" w:cs="Times New Roman"/>
          <w:color w:val="000000"/>
          <w:sz w:val="32"/>
          <w:szCs w:val="32"/>
          <w:u w:val="none"/>
        </w:rPr>
        <w:t>三</w:t>
      </w:r>
      <w:r>
        <w:rPr>
          <w:rFonts w:hint="eastAsia" w:ascii="仿宋_GB2312" w:hAnsi="Calibri" w:eastAsia="仿宋_GB2312" w:cs="Times New Roman"/>
          <w:color w:val="000000"/>
          <w:sz w:val="32"/>
          <w:szCs w:val="32"/>
          <w:u w:val="none"/>
        </w:rPr>
        <w:t>年</w:t>
      </w:r>
      <w:r>
        <w:rPr>
          <w:rFonts w:ascii="仿宋_GB2312" w:hAnsi="Calibri" w:eastAsia="仿宋_GB2312" w:cs="Times New Roman"/>
          <w:color w:val="000000"/>
          <w:sz w:val="32"/>
          <w:szCs w:val="32"/>
          <w:u w:val="none"/>
        </w:rPr>
        <w:t>不存在</w:t>
      </w:r>
      <w:r>
        <w:rPr>
          <w:rFonts w:hint="eastAsia" w:ascii="仿宋_GB2312" w:hAnsi="Calibri" w:eastAsia="仿宋_GB2312" w:cs="Times New Roman"/>
          <w:color w:val="000000"/>
          <w:sz w:val="32"/>
          <w:szCs w:val="32"/>
          <w:u w:val="none"/>
        </w:rPr>
        <w:t>严重违法违规行为，未拖欠应缴还的财政性资金</w:t>
      </w:r>
      <w:r>
        <w:rPr>
          <w:rFonts w:ascii="仿宋_GB2312" w:hAnsi="Calibri" w:eastAsia="仿宋_GB2312" w:cs="Times New Roman"/>
          <w:color w:val="000000"/>
          <w:sz w:val="32"/>
          <w:szCs w:val="32"/>
          <w:u w:val="none"/>
        </w:rPr>
        <w:t>。</w:t>
      </w:r>
    </w:p>
    <w:p>
      <w:pPr>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4.申报单位应承担资金真实申报、合规使用和有效管理；应对申报材料的真实性、合法性、完整性负责，应如实提供本单位信用状况，承担违约责任并作出承诺，不得弄虚作假、套取、骗取财政资金。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color w:val="000000"/>
          <w:sz w:val="32"/>
          <w:szCs w:val="32"/>
          <w:u w:val="none"/>
        </w:rPr>
      </w:pPr>
      <w:r>
        <w:rPr>
          <w:rFonts w:hint="default" w:ascii="仿宋_GB2312" w:hAnsi="Calibri" w:eastAsia="仿宋_GB2312" w:cs="Times New Roman"/>
          <w:color w:val="000000"/>
          <w:sz w:val="32"/>
          <w:szCs w:val="32"/>
          <w:u w:val="none"/>
        </w:rPr>
        <w:t>5.申报单位不得利用同一项目重复或多头申报中央财政资金、市级财政专项资金资助。一经查实，将取消企业申报资格。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sz w:val="32"/>
          <w:szCs w:val="32"/>
          <w:highlight w:val="none"/>
          <w:u w:val="none"/>
        </w:rPr>
      </w:pPr>
      <w:r>
        <w:rPr>
          <w:rFonts w:hint="eastAsia" w:ascii="楷体_GB2312" w:hAnsi="楷体_GB2312" w:eastAsia="楷体_GB2312" w:cs="楷体_GB2312"/>
          <w:color w:val="000000"/>
          <w:sz w:val="32"/>
          <w:szCs w:val="32"/>
          <w:highlight w:val="none"/>
          <w:u w:val="none"/>
        </w:rPr>
        <w:t>（二）</w:t>
      </w:r>
      <w:r>
        <w:rPr>
          <w:rFonts w:ascii="楷体_GB2312" w:hAnsi="楷体_GB2312" w:eastAsia="楷体_GB2312" w:cs="楷体_GB2312"/>
          <w:color w:val="000000"/>
          <w:sz w:val="32"/>
          <w:szCs w:val="32"/>
          <w:highlight w:val="none"/>
          <w:u w:val="none"/>
        </w:rPr>
        <w:t>专项条件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color w:val="000000"/>
          <w:kern w:val="0"/>
          <w:sz w:val="32"/>
          <w:szCs w:val="32"/>
          <w:highlight w:val="none"/>
        </w:rPr>
      </w:pPr>
      <w:r>
        <w:rPr>
          <w:rFonts w:hint="default" w:ascii="仿宋_GB2312" w:hAnsi="宋体" w:eastAsia="仿宋_GB2312" w:cs="宋体"/>
          <w:color w:val="000000"/>
          <w:kern w:val="0"/>
          <w:sz w:val="32"/>
          <w:szCs w:val="32"/>
          <w:highlight w:val="none"/>
        </w:rPr>
        <w:t>1.企业须自主向保险机构投保国内贸易信用保险，并已完成营业额申报（或预付款申报）、足额缴纳保费且取得合法有效的保费发票。</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color w:val="000000"/>
          <w:kern w:val="0"/>
          <w:sz w:val="32"/>
          <w:szCs w:val="32"/>
          <w:highlight w:val="none"/>
        </w:rPr>
      </w:pPr>
      <w:r>
        <w:rPr>
          <w:rFonts w:hint="default" w:ascii="仿宋_GB2312" w:hAnsi="宋体" w:eastAsia="仿宋_GB2312" w:cs="宋体"/>
          <w:color w:val="000000"/>
          <w:kern w:val="0"/>
          <w:sz w:val="32"/>
          <w:szCs w:val="32"/>
          <w:highlight w:val="none"/>
        </w:rPr>
        <w:t>2.本申报指南所称保险机构，是指经国家金融监督管理总局批准设立、具备国内贸易信用保险业务资质、且在深圳实际经营的保险机构（含其深圳分支机构）。</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color w:val="000000"/>
          <w:kern w:val="0"/>
          <w:sz w:val="32"/>
          <w:szCs w:val="32"/>
          <w:highlight w:val="yellow"/>
          <w:u w:val="none"/>
        </w:rPr>
      </w:pPr>
      <w:r>
        <w:rPr>
          <w:rFonts w:hint="default" w:ascii="仿宋_GB2312" w:hAnsi="宋体" w:eastAsia="仿宋_GB2312" w:cs="宋体"/>
          <w:color w:val="000000"/>
          <w:kern w:val="0"/>
          <w:sz w:val="32"/>
          <w:szCs w:val="32"/>
          <w:highlight w:val="none"/>
        </w:rPr>
        <w:t>3.本申报指南所称国内贸易信用保险，是指经深圳市商务局、国家金融监督管理总局深圳监管局联合审核确认的、在深圳地区经营的国内贸易信用保险产品。</w:t>
      </w:r>
    </w:p>
    <w:p>
      <w:pPr>
        <w:keepNext w:val="0"/>
        <w:keepLines w:val="0"/>
        <w:pageBreakBefore w:val="0"/>
        <w:kinsoku/>
        <w:wordWrap/>
        <w:overflowPunct/>
        <w:topLinePunct w:val="0"/>
        <w:autoSpaceDE/>
        <w:autoSpaceDN/>
        <w:bidi w:val="0"/>
        <w:spacing w:line="560" w:lineRule="exact"/>
        <w:ind w:firstLine="645"/>
        <w:textAlignment w:val="auto"/>
        <w:rPr>
          <w:rFonts w:hint="default" w:ascii="黑体" w:hAnsi="黑体" w:eastAsia="黑体" w:cs="Times New Roman"/>
          <w:color w:val="000000"/>
          <w:sz w:val="32"/>
          <w:szCs w:val="32"/>
          <w:u w:val="none"/>
          <w:lang w:eastAsia="zh-CN"/>
        </w:rPr>
      </w:pPr>
      <w:r>
        <w:rPr>
          <w:rFonts w:hint="default" w:ascii="黑体" w:hAnsi="黑体" w:eastAsia="黑体" w:cs="Times New Roman"/>
          <w:color w:val="000000"/>
          <w:sz w:val="32"/>
          <w:szCs w:val="32"/>
          <w:u w:val="none"/>
          <w:lang w:eastAsia="zh-CN"/>
        </w:rPr>
        <w:t>五</w:t>
      </w:r>
      <w:r>
        <w:rPr>
          <w:rFonts w:hint="eastAsia" w:ascii="黑体" w:hAnsi="黑体" w:eastAsia="黑体" w:cs="Times New Roman"/>
          <w:color w:val="000000"/>
          <w:sz w:val="32"/>
          <w:szCs w:val="32"/>
          <w:u w:val="none"/>
        </w:rPr>
        <w:t>、</w:t>
      </w:r>
      <w:r>
        <w:rPr>
          <w:rFonts w:hint="default" w:ascii="黑体" w:hAnsi="黑体" w:eastAsia="黑体" w:cs="Times New Roman"/>
          <w:color w:val="000000"/>
          <w:sz w:val="32"/>
          <w:szCs w:val="32"/>
          <w:u w:val="none"/>
        </w:rPr>
        <w:t>支持内容和支持标准</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（一）支持内容</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default" w:ascii="仿宋_GB2312" w:hAnsi="Calibri" w:eastAsia="仿宋_GB2312" w:cs="Times New Roman"/>
          <w:b w:val="0"/>
          <w:bCs w:val="0"/>
          <w:color w:val="000000"/>
          <w:sz w:val="32"/>
          <w:szCs w:val="32"/>
        </w:rPr>
      </w:pPr>
      <w:r>
        <w:rPr>
          <w:rFonts w:hint="default" w:ascii="仿宋_GB2312" w:hAnsi="Calibri" w:eastAsia="仿宋_GB2312" w:cs="Times New Roman"/>
          <w:b w:val="0"/>
          <w:bCs w:val="0"/>
          <w:color w:val="000000"/>
          <w:sz w:val="32"/>
          <w:szCs w:val="32"/>
        </w:rPr>
        <w:t>支持外贸企业投保国内贸易信用保险，以拓展国内市场、降低交易风险。</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（二）支持标准</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default" w:ascii="仿宋_GB2312" w:hAnsi="Calibri" w:eastAsia="仿宋_GB2312" w:cs="Times New Roman"/>
          <w:b w:val="0"/>
          <w:bCs w:val="0"/>
          <w:color w:val="000000"/>
          <w:sz w:val="32"/>
          <w:szCs w:val="32"/>
        </w:rPr>
      </w:pPr>
      <w:r>
        <w:rPr>
          <w:rFonts w:hint="default" w:ascii="仿宋_GB2312" w:hAnsi="Calibri" w:eastAsia="仿宋_GB2312" w:cs="Times New Roman"/>
          <w:b w:val="0"/>
          <w:bCs w:val="0"/>
          <w:color w:val="000000"/>
          <w:sz w:val="32"/>
          <w:szCs w:val="32"/>
        </w:rPr>
        <w:t>1.资助比例与限额。对投保国内贸易信用保险且符合条件的企业，按其实际</w:t>
      </w:r>
      <w:r>
        <w:rPr>
          <w:rFonts w:hint="eastAsia" w:ascii="仿宋_GB2312" w:hAnsi="Calibri" w:eastAsia="仿宋_GB2312" w:cs="Times New Roman"/>
          <w:b w:val="0"/>
          <w:bCs w:val="0"/>
          <w:color w:val="000000"/>
          <w:sz w:val="32"/>
          <w:szCs w:val="32"/>
          <w:lang w:eastAsia="zh-CN"/>
        </w:rPr>
        <w:t>缴纳</w:t>
      </w:r>
      <w:r>
        <w:rPr>
          <w:rFonts w:hint="default" w:ascii="仿宋_GB2312" w:hAnsi="Calibri" w:eastAsia="仿宋_GB2312" w:cs="Times New Roman"/>
          <w:b w:val="0"/>
          <w:bCs w:val="0"/>
          <w:color w:val="000000"/>
          <w:sz w:val="32"/>
          <w:szCs w:val="32"/>
        </w:rPr>
        <w:t>保险费用的25%给予资助。单家企业每个自然年度累计资助金额最高50万元。资助金额低于1万元（以元为单位按舍尾法取整）的，不予资助。</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default" w:ascii="仿宋_GB2312" w:hAnsi="Calibri" w:eastAsia="仿宋_GB2312" w:cs="Times New Roman"/>
          <w:b w:val="0"/>
          <w:bCs w:val="0"/>
          <w:color w:val="000000"/>
          <w:sz w:val="32"/>
          <w:szCs w:val="32"/>
        </w:rPr>
      </w:pPr>
      <w:r>
        <w:rPr>
          <w:rFonts w:hint="default" w:ascii="仿宋_GB2312" w:hAnsi="Calibri" w:eastAsia="仿宋_GB2312" w:cs="Times New Roman"/>
          <w:b w:val="0"/>
          <w:bCs w:val="0"/>
          <w:color w:val="000000"/>
          <w:sz w:val="32"/>
          <w:szCs w:val="32"/>
        </w:rPr>
        <w:t>2.项目发生期限。保险期限应在2024年1月1日至2025年12月31日期间，以保单记载的保险期限为准。</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default" w:ascii="仿宋_GB2312" w:hAnsi="Calibri" w:eastAsia="仿宋_GB2312" w:cs="Times New Roman"/>
          <w:b w:val="0"/>
          <w:bCs w:val="0"/>
          <w:color w:val="000000"/>
          <w:sz w:val="32"/>
          <w:szCs w:val="32"/>
          <w:highlight w:val="none"/>
          <w:u w:val="none"/>
        </w:rPr>
      </w:pPr>
      <w:r>
        <w:rPr>
          <w:rFonts w:hint="default" w:ascii="仿宋_GB2312" w:hAnsi="Calibri" w:eastAsia="仿宋_GB2312" w:cs="Times New Roman"/>
          <w:b w:val="0"/>
          <w:bCs w:val="0"/>
          <w:color w:val="000000"/>
          <w:sz w:val="32"/>
          <w:szCs w:val="32"/>
        </w:rPr>
        <w:t>3.跨期申报处理。企业按照保单约定的申报周期申报营业额（或预付款），如该周期申报的营业额（或预付款）横跨两个自然年度且无法按年度拆分，则该周期内全部营业额（或预付款）计入后一个自然年度。</w:t>
      </w:r>
    </w:p>
    <w:p>
      <w:pPr>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Times New Roman"/>
          <w:color w:val="000000"/>
          <w:sz w:val="32"/>
          <w:szCs w:val="32"/>
          <w:u w:val="none"/>
        </w:rPr>
      </w:pPr>
      <w:r>
        <w:rPr>
          <w:rFonts w:hint="default" w:ascii="黑体" w:hAnsi="黑体" w:eastAsia="黑体" w:cs="Times New Roman"/>
          <w:color w:val="000000"/>
          <w:sz w:val="32"/>
          <w:szCs w:val="32"/>
          <w:u w:val="none"/>
          <w:lang w:eastAsia="zh-CN"/>
        </w:rPr>
        <w:t>六</w:t>
      </w:r>
      <w:r>
        <w:rPr>
          <w:rFonts w:hint="eastAsia" w:ascii="黑体" w:hAnsi="黑体" w:eastAsia="黑体" w:cs="Times New Roman"/>
          <w:color w:val="000000"/>
          <w:sz w:val="32"/>
          <w:szCs w:val="32"/>
          <w:u w:val="none"/>
        </w:rPr>
        <w:t>、申报材料</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ascii="楷体_GB2312" w:hAnsi="Calibri" w:eastAsia="楷体_GB2312" w:cs="Times New Roman"/>
          <w:color w:val="000000"/>
          <w:sz w:val="32"/>
          <w:szCs w:val="32"/>
          <w:highlight w:val="none"/>
          <w:u w:val="none"/>
        </w:rPr>
      </w:pPr>
      <w:r>
        <w:rPr>
          <w:rFonts w:hint="default" w:ascii="楷体_GB2312" w:hAnsi="Calibri" w:eastAsia="楷体_GB2312" w:cs="Times New Roman"/>
          <w:color w:val="000000"/>
          <w:sz w:val="32"/>
          <w:szCs w:val="32"/>
          <w:highlight w:val="none"/>
          <w:u w:val="none"/>
        </w:rPr>
        <w:t>（一）基础</w:t>
      </w:r>
      <w:r>
        <w:rPr>
          <w:rFonts w:hint="eastAsia" w:ascii="楷体_GB2312" w:hAnsi="Calibri" w:eastAsia="楷体_GB2312" w:cs="Times New Roman"/>
          <w:color w:val="000000"/>
          <w:sz w:val="32"/>
          <w:szCs w:val="32"/>
          <w:highlight w:val="none"/>
          <w:u w:val="none"/>
        </w:rPr>
        <w:t>材料</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highlight w:val="none"/>
          <w:u w:val="none"/>
        </w:rPr>
        <w:t>1.登录广东政务服务网（http://www.gdzwfw.gov.cn/）—深圳市—市商务局—搜索</w:t>
      </w:r>
      <w:r>
        <w:rPr>
          <w:rFonts w:hint="eastAsia" w:ascii="仿宋_GB2312" w:hAnsi="仿宋_GB2312" w:eastAsia="仿宋_GB2312" w:cs="仿宋_GB2312"/>
          <w:color w:val="000000"/>
          <w:kern w:val="0"/>
          <w:sz w:val="32"/>
          <w:szCs w:val="32"/>
          <w:highlight w:val="none"/>
          <w:u w:val="none"/>
        </w:rPr>
        <w:t>“</w:t>
      </w:r>
      <w:r>
        <w:rPr>
          <w:rFonts w:hint="default" w:ascii="仿宋_GB2312" w:hAnsi="仿宋_GB2312" w:eastAsia="仿宋_GB2312" w:cs="仿宋_GB2312"/>
          <w:color w:val="000000"/>
          <w:kern w:val="0"/>
          <w:sz w:val="32"/>
          <w:szCs w:val="32"/>
          <w:highlight w:val="none"/>
          <w:u w:val="none"/>
        </w:rPr>
        <w:t>国内贸易信用保险资助项目</w:t>
      </w:r>
      <w:r>
        <w:rPr>
          <w:rFonts w:hint="eastAsia" w:ascii="仿宋_GB2312" w:hAnsi="仿宋_GB2312" w:eastAsia="仿宋_GB2312" w:cs="仿宋_GB2312"/>
          <w:color w:val="000000"/>
          <w:kern w:val="0"/>
          <w:sz w:val="32"/>
          <w:szCs w:val="32"/>
          <w:highlight w:val="none"/>
          <w:u w:val="none"/>
        </w:rPr>
        <w:t>”</w:t>
      </w:r>
      <w:r>
        <w:rPr>
          <w:rFonts w:hint="default" w:ascii="仿宋_GB2312" w:hAnsi="宋体" w:eastAsia="仿宋_GB2312" w:cs="宋体"/>
          <w:color w:val="000000"/>
          <w:kern w:val="0"/>
          <w:sz w:val="32"/>
          <w:szCs w:val="32"/>
          <w:highlight w:val="none"/>
          <w:u w:val="none"/>
        </w:rPr>
        <w:t>，在线填报申请书，提供通过该系统打印的申请书纸质文件原件。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highlight w:val="none"/>
          <w:u w:val="none"/>
        </w:rPr>
        <w:t>2.企业营业执照复印件。</w:t>
      </w:r>
    </w:p>
    <w:p>
      <w:pPr>
        <w:keepNext w:val="0"/>
        <w:keepLines w:val="0"/>
        <w:pageBreakBefore w:val="0"/>
        <w:widowControl w:val="0"/>
        <w:kinsoku/>
        <w:wordWrap/>
        <w:overflowPunct/>
        <w:topLinePunct w:val="0"/>
        <w:autoSpaceDE/>
        <w:autoSpaceDN/>
        <w:bidi w:val="0"/>
        <w:adjustRightInd w:val="0"/>
        <w:spacing w:after="0" w:afterLines="0" w:line="560" w:lineRule="exact"/>
        <w:ind w:left="0" w:leftChars="0" w:firstLine="640" w:firstLineChars="200"/>
        <w:jc w:val="left"/>
        <w:textAlignment w:val="baseline"/>
        <w:rPr>
          <w:rFonts w:hint="default" w:ascii="Calibri" w:hAnsi="Calibri" w:eastAsia="宋体" w:cs="Times New Roman"/>
          <w:kern w:val="0"/>
          <w:sz w:val="24"/>
          <w:szCs w:val="24"/>
          <w:u w:val="none"/>
          <w:lang w:val="en-US" w:eastAsia="zh-CN" w:bidi="ar-SA"/>
        </w:rPr>
      </w:pPr>
      <w:r>
        <w:rPr>
          <w:rFonts w:hint="default" w:ascii="仿宋_GB2312" w:hAnsi="宋体" w:eastAsia="仿宋_GB2312" w:cs="宋体"/>
          <w:color w:val="000000"/>
          <w:kern w:val="0"/>
          <w:sz w:val="32"/>
          <w:szCs w:val="32"/>
          <w:highlight w:val="none"/>
          <w:u w:val="none"/>
          <w:lang w:val="en-US" w:eastAsia="zh-CN" w:bidi="ar-SA"/>
        </w:rPr>
        <w:t>3.</w:t>
      </w:r>
      <w:r>
        <w:rPr>
          <w:rFonts w:hint="eastAsia" w:ascii="仿宋_GB2312" w:hAnsi="仿宋_GB2312" w:eastAsia="仿宋_GB2312" w:cs="仿宋_GB2312"/>
          <w:color w:val="000000"/>
          <w:kern w:val="0"/>
          <w:sz w:val="32"/>
          <w:szCs w:val="32"/>
          <w:highlight w:val="none"/>
          <w:u w:val="none"/>
          <w:lang w:val="en-US" w:eastAsia="zh-CN" w:bidi="ar-SA"/>
        </w:rPr>
        <w:t>信用中国（广东·深圳）网站查询打印的“企业信用报告”（https://www.szcredit.org.</w:t>
      </w:r>
      <w:r>
        <w:rPr>
          <w:rFonts w:hint="default" w:ascii="仿宋_GB2312" w:hAnsi="宋体" w:eastAsia="仿宋_GB2312" w:cs="宋体"/>
          <w:color w:val="000000"/>
          <w:kern w:val="0"/>
          <w:sz w:val="32"/>
          <w:szCs w:val="32"/>
          <w:highlight w:val="none"/>
          <w:u w:val="none"/>
          <w:lang w:val="en-US" w:eastAsia="zh-CN" w:bidi="ar-SA"/>
        </w:rPr>
        <w:t>cn/下载打印）。</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color w:val="000000"/>
          <w:kern w:val="0"/>
          <w:sz w:val="32"/>
          <w:szCs w:val="32"/>
          <w:highlight w:val="none"/>
          <w:u w:val="none"/>
        </w:rPr>
      </w:pPr>
      <w:r>
        <w:rPr>
          <w:rFonts w:hint="eastAsia" w:ascii="楷体_GB2312" w:hAnsi="楷体_GB2312" w:eastAsia="楷体_GB2312" w:cs="楷体_GB2312"/>
          <w:color w:val="000000"/>
          <w:kern w:val="0"/>
          <w:sz w:val="32"/>
          <w:szCs w:val="32"/>
          <w:highlight w:val="none"/>
          <w:u w:val="none"/>
        </w:rPr>
        <w:t>（二）项目材料</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highlight w:val="none"/>
          <w:u w:val="none"/>
        </w:rPr>
        <w:t>1.</w:t>
      </w:r>
      <w:r>
        <w:rPr>
          <w:rFonts w:ascii="仿宋_GB2312" w:hAnsi="宋体" w:eastAsia="仿宋_GB2312" w:cs="宋体"/>
          <w:color w:val="000000"/>
          <w:kern w:val="0"/>
          <w:sz w:val="32"/>
          <w:szCs w:val="32"/>
          <w:highlight w:val="none"/>
          <w:u w:val="none"/>
        </w:rPr>
        <w:t>保费</w:t>
      </w:r>
      <w:r>
        <w:rPr>
          <w:rFonts w:hint="default" w:ascii="仿宋_GB2312" w:hAnsi="宋体" w:eastAsia="仿宋_GB2312" w:cs="宋体"/>
          <w:color w:val="000000"/>
          <w:kern w:val="0"/>
          <w:sz w:val="32"/>
          <w:szCs w:val="32"/>
          <w:highlight w:val="none"/>
          <w:u w:val="none"/>
        </w:rPr>
        <w:t>发票复印件。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u w:val="none"/>
        </w:rPr>
        <w:t>2.保费对应的</w:t>
      </w:r>
      <w:r>
        <w:rPr>
          <w:rFonts w:hint="eastAsia" w:ascii="仿宋_GB2312" w:hAnsi="宋体" w:eastAsia="仿宋_GB2312" w:cs="宋体"/>
          <w:color w:val="000000"/>
          <w:kern w:val="0"/>
          <w:sz w:val="32"/>
          <w:szCs w:val="32"/>
          <w:u w:val="none"/>
        </w:rPr>
        <w:t>银行支付凭证复印件</w:t>
      </w:r>
      <w:r>
        <w:rPr>
          <w:rFonts w:hint="default" w:ascii="仿宋_GB2312" w:hAnsi="宋体" w:eastAsia="仿宋_GB2312" w:cs="宋体"/>
          <w:color w:val="000000"/>
          <w:kern w:val="0"/>
          <w:sz w:val="32"/>
          <w:szCs w:val="32"/>
          <w:highlight w:val="none"/>
          <w:u w:val="none"/>
        </w:rPr>
        <w:t>（即银行电子回单，</w:t>
      </w:r>
      <w:r>
        <w:rPr>
          <w:rFonts w:hint="default" w:ascii="仿宋_GB2312" w:hAnsi="宋体" w:eastAsia="仿宋_GB2312" w:cs="宋体"/>
          <w:color w:val="000000"/>
          <w:kern w:val="0"/>
          <w:sz w:val="32"/>
          <w:szCs w:val="32"/>
          <w:u w:val="none"/>
        </w:rPr>
        <w:t>如银行支付凭证金额与保费发票金额不一致，须提供补充说明</w:t>
      </w:r>
      <w:r>
        <w:rPr>
          <w:rFonts w:hint="default" w:ascii="仿宋_GB2312" w:hAnsi="宋体" w:eastAsia="仿宋_GB2312" w:cs="宋体"/>
          <w:color w:val="000000"/>
          <w:kern w:val="0"/>
          <w:sz w:val="32"/>
          <w:szCs w:val="32"/>
          <w:highlight w:val="none"/>
          <w:u w:val="none"/>
        </w:rPr>
        <w:t>）。</w:t>
      </w:r>
    </w:p>
    <w:p>
      <w:pPr>
        <w:keepNext w:val="0"/>
        <w:keepLines w:val="0"/>
        <w:pageBreakBefore w:val="0"/>
        <w:widowControl w:val="0"/>
        <w:kinsoku/>
        <w:wordWrap/>
        <w:overflowPunct/>
        <w:topLinePunct w:val="0"/>
        <w:autoSpaceDE/>
        <w:autoSpaceDN/>
        <w:bidi w:val="0"/>
        <w:spacing w:after="0" w:afterLines="0" w:afterAutospacing="0" w:line="560" w:lineRule="exact"/>
        <w:ind w:firstLine="640" w:firstLineChars="200"/>
        <w:jc w:val="both"/>
        <w:textAlignment w:val="auto"/>
        <w:rPr>
          <w:rFonts w:hint="default" w:ascii="仿宋_GB2312" w:hAnsi="宋体" w:eastAsia="仿宋_GB2312" w:cs="宋体"/>
          <w:color w:val="000000"/>
          <w:kern w:val="0"/>
          <w:sz w:val="32"/>
          <w:szCs w:val="32"/>
          <w:highlight w:val="none"/>
          <w:u w:val="none"/>
          <w:lang w:val="en-US" w:eastAsia="zh-CN" w:bidi="ar-SA"/>
        </w:rPr>
      </w:pPr>
      <w:r>
        <w:rPr>
          <w:rFonts w:hint="default" w:ascii="仿宋_GB2312" w:hAnsi="宋体" w:eastAsia="仿宋_GB2312" w:cs="宋体"/>
          <w:color w:val="000000"/>
          <w:kern w:val="0"/>
          <w:sz w:val="32"/>
          <w:szCs w:val="32"/>
          <w:highlight w:val="none"/>
          <w:u w:val="none"/>
          <w:lang w:val="en-US" w:eastAsia="zh-CN" w:bidi="ar-SA"/>
        </w:rPr>
        <w:t>3.保单明细表复印件。</w:t>
      </w:r>
    </w:p>
    <w:p>
      <w:pPr>
        <w:keepNext w:val="0"/>
        <w:keepLines w:val="0"/>
        <w:pageBreakBefore w:val="0"/>
        <w:widowControl w:val="0"/>
        <w:kinsoku/>
        <w:wordWrap/>
        <w:overflowPunct/>
        <w:topLinePunct w:val="0"/>
        <w:autoSpaceDE/>
        <w:autoSpaceDN/>
        <w:bidi w:val="0"/>
        <w:spacing w:after="0" w:afterLines="0" w:afterAutospacing="0" w:line="560" w:lineRule="exact"/>
        <w:ind w:firstLine="640" w:firstLineChars="200"/>
        <w:jc w:val="both"/>
        <w:textAlignment w:val="auto"/>
        <w:rPr>
          <w:rFonts w:hint="default" w:ascii="仿宋_GB2312" w:hAnsi="宋体" w:eastAsia="仿宋_GB2312" w:cs="宋体"/>
          <w:color w:val="000000"/>
          <w:kern w:val="0"/>
          <w:sz w:val="32"/>
          <w:szCs w:val="32"/>
          <w:highlight w:val="none"/>
          <w:u w:val="none"/>
          <w:lang w:val="en-US" w:eastAsia="zh-CN" w:bidi="ar-SA"/>
        </w:rPr>
      </w:pPr>
      <w:r>
        <w:rPr>
          <w:rFonts w:hint="default" w:ascii="仿宋_GB2312" w:hAnsi="宋体" w:eastAsia="仿宋_GB2312" w:cs="宋体"/>
          <w:color w:val="000000"/>
          <w:kern w:val="0"/>
          <w:sz w:val="32"/>
          <w:szCs w:val="32"/>
          <w:highlight w:val="none"/>
          <w:u w:val="none"/>
          <w:lang w:val="en-US" w:eastAsia="zh-CN" w:bidi="ar-SA"/>
        </w:rPr>
        <w:t>4.保险费通知书复印件。</w:t>
      </w:r>
    </w:p>
    <w:p>
      <w:pPr>
        <w:keepNext w:val="0"/>
        <w:keepLines w:val="0"/>
        <w:pageBreakBefore w:val="0"/>
        <w:widowControl w:val="0"/>
        <w:kinsoku/>
        <w:wordWrap/>
        <w:overflowPunct/>
        <w:topLinePunct w:val="0"/>
        <w:autoSpaceDE/>
        <w:autoSpaceDN/>
        <w:bidi w:val="0"/>
        <w:spacing w:after="0" w:afterLines="0" w:afterAutospacing="0" w:line="560" w:lineRule="exact"/>
        <w:ind w:firstLine="640" w:firstLineChars="200"/>
        <w:jc w:val="both"/>
        <w:textAlignment w:val="auto"/>
        <w:rPr>
          <w:rFonts w:hint="default" w:ascii="仿宋_GB2312" w:hAnsi="宋体" w:eastAsia="仿宋_GB2312" w:cs="宋体"/>
          <w:color w:val="000000"/>
          <w:kern w:val="0"/>
          <w:sz w:val="32"/>
          <w:szCs w:val="32"/>
          <w:highlight w:val="none"/>
          <w:u w:val="none"/>
          <w:lang w:val="en-US" w:eastAsia="zh-CN" w:bidi="ar-SA"/>
        </w:rPr>
      </w:pPr>
      <w:r>
        <w:rPr>
          <w:rFonts w:hint="default" w:ascii="仿宋_GB2312" w:hAnsi="宋体" w:eastAsia="仿宋_GB2312" w:cs="宋体"/>
          <w:color w:val="000000"/>
          <w:kern w:val="0"/>
          <w:sz w:val="32"/>
          <w:szCs w:val="32"/>
          <w:highlight w:val="none"/>
          <w:u w:val="none"/>
          <w:lang w:val="en-US" w:eastAsia="zh-CN" w:bidi="ar-SA"/>
        </w:rPr>
        <w:t>5.营业额申报函件（或预付款申报函件）。</w:t>
      </w:r>
    </w:p>
    <w:p>
      <w:pPr>
        <w:keepNext w:val="0"/>
        <w:keepLines w:val="0"/>
        <w:pageBreakBefore w:val="0"/>
        <w:widowControl w:val="0"/>
        <w:kinsoku/>
        <w:wordWrap/>
        <w:overflowPunct/>
        <w:topLinePunct w:val="0"/>
        <w:autoSpaceDE/>
        <w:autoSpaceDN/>
        <w:bidi w:val="0"/>
        <w:spacing w:after="0" w:afterLines="0" w:afterAutospacing="0" w:line="560" w:lineRule="exact"/>
        <w:ind w:firstLine="640" w:firstLineChars="200"/>
        <w:jc w:val="both"/>
        <w:textAlignment w:val="auto"/>
        <w:rPr>
          <w:rFonts w:hint="default" w:ascii="仿宋_GB2312" w:hAnsi="宋体" w:eastAsia="仿宋_GB2312" w:cs="宋体"/>
          <w:color w:val="000000"/>
          <w:kern w:val="0"/>
          <w:sz w:val="32"/>
          <w:szCs w:val="32"/>
          <w:highlight w:val="none"/>
          <w:u w:val="none"/>
          <w:lang w:val="en-US" w:eastAsia="zh-CN" w:bidi="ar-SA"/>
        </w:rPr>
      </w:pPr>
      <w:r>
        <w:rPr>
          <w:rFonts w:hint="default" w:ascii="仿宋_GB2312" w:hAnsi="宋体" w:eastAsia="仿宋_GB2312" w:cs="宋体"/>
          <w:color w:val="000000"/>
          <w:kern w:val="0"/>
          <w:sz w:val="32"/>
          <w:szCs w:val="32"/>
          <w:highlight w:val="none"/>
          <w:u w:val="none"/>
          <w:lang w:val="en-US" w:eastAsia="zh-CN" w:bidi="ar-SA"/>
        </w:rPr>
        <w:t>（</w:t>
      </w:r>
      <w:r>
        <w:rPr>
          <w:rFonts w:hint="default" w:ascii="仿宋_GB2312" w:hAnsi="宋体" w:eastAsia="仿宋_GB2312" w:cs="宋体"/>
          <w:color w:val="000000"/>
          <w:kern w:val="0"/>
          <w:sz w:val="32"/>
          <w:szCs w:val="32"/>
          <w:highlight w:val="none"/>
          <w:lang w:val="en-US" w:eastAsia="zh-CN" w:bidi="ar-SA"/>
        </w:rPr>
        <w:t>注：如申请人选择按“不可退保”方式投保并以最低保费标准申请资助的，可不提供此项材料。</w:t>
      </w:r>
      <w:r>
        <w:rPr>
          <w:rFonts w:hint="default" w:ascii="仿宋_GB2312" w:hAnsi="宋体" w:eastAsia="仿宋_GB2312" w:cs="宋体"/>
          <w:color w:val="000000"/>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spacing w:after="0" w:afterLines="0" w:afterAutospacing="0" w:line="560" w:lineRule="exact"/>
        <w:ind w:firstLine="640" w:firstLineChars="200"/>
        <w:jc w:val="both"/>
        <w:textAlignment w:val="auto"/>
        <w:rPr>
          <w:rFonts w:hint="default" w:ascii="Times New Roman" w:hAnsi="Times New Roman" w:eastAsia="宋体" w:cs="Times New Roman"/>
          <w:kern w:val="2"/>
          <w:sz w:val="32"/>
          <w:szCs w:val="32"/>
          <w:u w:val="none"/>
          <w:lang w:val="en-US" w:eastAsia="zh-CN" w:bidi="ar-SA"/>
        </w:rPr>
      </w:pPr>
      <w:r>
        <w:rPr>
          <w:rFonts w:hint="default" w:ascii="仿宋_GB2312" w:hAnsi="宋体" w:eastAsia="仿宋_GB2312" w:cs="宋体"/>
          <w:color w:val="000000"/>
          <w:kern w:val="0"/>
          <w:sz w:val="32"/>
          <w:szCs w:val="32"/>
          <w:highlight w:val="none"/>
          <w:u w:val="none"/>
          <w:lang w:val="en-US" w:eastAsia="zh-CN" w:bidi="ar-SA"/>
        </w:rPr>
        <w:t>6.保险期间的出口报关单复印件（境内发货人或生产销售单位应与申报单位一致）。若企业为委托代理报关（即通过货代或外贸代理出口），且无法提供以自身为经营单位的报关单，则需提供对应的代理报关委托协议或合同复印件，以及能证明该笔业务的货权归属及业务真实性的佐证材料。</w:t>
      </w:r>
    </w:p>
    <w:p>
      <w:pPr>
        <w:keepNext w:val="0"/>
        <w:keepLines w:val="0"/>
        <w:pageBreakBefore w:val="0"/>
        <w:widowControl w:val="0"/>
        <w:kinsoku/>
        <w:wordWrap/>
        <w:overflowPunct/>
        <w:topLinePunct w:val="0"/>
        <w:autoSpaceDE/>
        <w:autoSpaceDN/>
        <w:bidi w:val="0"/>
        <w:spacing w:after="0" w:afterLines="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default" w:ascii="仿宋_GB2312" w:hAnsi="宋体" w:eastAsia="仿宋_GB2312" w:cs="宋体"/>
          <w:color w:val="000000"/>
          <w:kern w:val="0"/>
          <w:sz w:val="32"/>
          <w:szCs w:val="32"/>
          <w:highlight w:val="none"/>
          <w:u w:val="none"/>
          <w:lang w:val="en-US" w:eastAsia="zh-CN" w:bidi="ar-SA"/>
        </w:rPr>
        <w:t>7.</w:t>
      </w:r>
      <w:r>
        <w:rPr>
          <w:rFonts w:hint="default" w:ascii="仿宋_GB2312" w:hAnsi="宋体" w:eastAsia="仿宋_GB2312" w:cs="宋体"/>
          <w:color w:val="auto"/>
          <w:kern w:val="0"/>
          <w:sz w:val="32"/>
          <w:szCs w:val="32"/>
          <w:highlight w:val="none"/>
          <w:u w:val="none"/>
          <w:lang w:val="en-US" w:eastAsia="zh-CN" w:bidi="ar-SA"/>
        </w:rPr>
        <w:t>企业就同一保险标的重复投保并同时申报资金的，取消该企业当期该保险标的的资助资格。如同一企业向多个保险机构投保，其投保申请明细若为不同标的或保险单有效期不重叠，均可申报，应提供相关佐证材料。</w:t>
      </w:r>
    </w:p>
    <w:p>
      <w:pPr>
        <w:keepNext w:val="0"/>
        <w:keepLines w:val="0"/>
        <w:pageBreakBefore w:val="0"/>
        <w:kinsoku/>
        <w:wordWrap/>
        <w:overflowPunct/>
        <w:topLinePunct w:val="0"/>
        <w:autoSpaceDE/>
        <w:autoSpaceDN/>
        <w:bidi w:val="0"/>
        <w:spacing w:line="560" w:lineRule="exact"/>
        <w:ind w:firstLine="630"/>
        <w:textAlignment w:val="auto"/>
        <w:rPr>
          <w:rFonts w:hint="default" w:ascii="仿宋_GB2312" w:hAnsi="宋体" w:eastAsia="仿宋_GB2312" w:cs="宋体"/>
          <w:b/>
          <w:bCs/>
          <w:color w:val="000000"/>
          <w:kern w:val="0"/>
          <w:sz w:val="32"/>
          <w:szCs w:val="32"/>
          <w:u w:val="none"/>
          <w:lang w:eastAsia="zh-CN"/>
        </w:rPr>
      </w:pPr>
      <w:r>
        <w:rPr>
          <w:rFonts w:hint="eastAsia" w:ascii="仿宋_GB2312" w:hAnsi="宋体" w:eastAsia="仿宋_GB2312" w:cs="宋体"/>
          <w:color w:val="000000"/>
          <w:kern w:val="0"/>
          <w:sz w:val="32"/>
          <w:szCs w:val="32"/>
          <w:u w:val="none"/>
        </w:rPr>
        <w:t>以上</w:t>
      </w:r>
      <w:r>
        <w:rPr>
          <w:rFonts w:hint="default" w:ascii="仿宋_GB2312" w:hAnsi="宋体" w:eastAsia="仿宋_GB2312" w:cs="宋体"/>
          <w:color w:val="000000"/>
          <w:kern w:val="0"/>
          <w:sz w:val="32"/>
          <w:szCs w:val="32"/>
          <w:u w:val="none"/>
        </w:rPr>
        <w:t>申报</w:t>
      </w:r>
      <w:r>
        <w:rPr>
          <w:rFonts w:hint="eastAsia" w:ascii="仿宋_GB2312" w:hAnsi="宋体" w:eastAsia="仿宋_GB2312" w:cs="宋体"/>
          <w:color w:val="000000"/>
          <w:kern w:val="0"/>
          <w:sz w:val="32"/>
          <w:szCs w:val="32"/>
          <w:u w:val="none"/>
        </w:rPr>
        <w:t>材料</w:t>
      </w:r>
      <w:r>
        <w:rPr>
          <w:rFonts w:hint="default" w:ascii="仿宋_GB2312" w:hAnsi="宋体" w:eastAsia="仿宋_GB2312" w:cs="宋体"/>
          <w:color w:val="000000"/>
          <w:kern w:val="0"/>
          <w:sz w:val="32"/>
          <w:szCs w:val="32"/>
          <w:u w:val="none"/>
        </w:rPr>
        <w:t>均</w:t>
      </w:r>
      <w:r>
        <w:rPr>
          <w:rFonts w:hint="eastAsia" w:ascii="仿宋_GB2312" w:hAnsi="宋体" w:eastAsia="仿宋_GB2312" w:cs="宋体"/>
          <w:color w:val="000000"/>
          <w:kern w:val="0"/>
          <w:sz w:val="32"/>
          <w:szCs w:val="32"/>
          <w:u w:val="none"/>
        </w:rPr>
        <w:t>需加盖企业公章，多页的还需加盖骑缝公章；一式</w:t>
      </w:r>
      <w:r>
        <w:rPr>
          <w:rFonts w:hint="default" w:ascii="仿宋_GB2312" w:hAnsi="宋体" w:eastAsia="仿宋_GB2312" w:cs="宋体"/>
          <w:color w:val="000000"/>
          <w:kern w:val="0"/>
          <w:sz w:val="32"/>
          <w:szCs w:val="32"/>
          <w:u w:val="none"/>
          <w:lang w:eastAsia="zh-CN"/>
        </w:rPr>
        <w:t>两</w:t>
      </w:r>
      <w:r>
        <w:rPr>
          <w:rFonts w:hint="eastAsia" w:ascii="仿宋_GB2312" w:hAnsi="宋体" w:eastAsia="仿宋_GB2312" w:cs="宋体"/>
          <w:color w:val="000000"/>
          <w:kern w:val="0"/>
          <w:sz w:val="32"/>
          <w:szCs w:val="32"/>
          <w:u w:val="none"/>
        </w:rPr>
        <w:t>份，A4纸正反面打印/复印，非空白页（含封</w:t>
      </w:r>
      <w:r>
        <w:rPr>
          <w:rFonts w:hint="eastAsia" w:ascii="仿宋_GB2312" w:hAnsi="宋体" w:eastAsia="仿宋_GB2312" w:cs="宋体"/>
          <w:color w:val="000000"/>
          <w:kern w:val="0"/>
          <w:sz w:val="32"/>
          <w:szCs w:val="32"/>
          <w:u w:val="none"/>
          <w:lang w:val="en-US" w:eastAsia="zh-CN"/>
        </w:rPr>
        <w:t>面）需连续编写页码，装订成册。</w:t>
      </w:r>
    </w:p>
    <w:p>
      <w:pPr>
        <w:keepNext w:val="0"/>
        <w:keepLines w:val="0"/>
        <w:pageBreakBefore w:val="0"/>
        <w:kinsoku/>
        <w:wordWrap/>
        <w:overflowPunct/>
        <w:topLinePunct w:val="0"/>
        <w:autoSpaceDE/>
        <w:autoSpaceDN/>
        <w:bidi w:val="0"/>
        <w:spacing w:line="560" w:lineRule="exact"/>
        <w:ind w:firstLine="640" w:firstLineChars="200"/>
        <w:rPr>
          <w:rFonts w:hint="default" w:ascii="Calibri" w:hAnsi="Calibri" w:eastAsia="宋体" w:cs="Times New Roman"/>
          <w:sz w:val="32"/>
          <w:szCs w:val="32"/>
          <w:u w:val="none"/>
          <w:lang w:eastAsia="zh-CN"/>
        </w:rPr>
      </w:pPr>
      <w:r>
        <w:rPr>
          <w:rFonts w:hint="eastAsia" w:ascii="仿宋_GB2312" w:hAnsi="Calibri" w:eastAsia="仿宋_GB2312" w:cs="Times New Roman"/>
          <w:sz w:val="32"/>
          <w:szCs w:val="32"/>
          <w:u w:val="none"/>
        </w:rPr>
        <w:t>申报单位提供的纸质材料和填报的电子材料应保持一致，如出现不同，应</w:t>
      </w:r>
      <w:r>
        <w:rPr>
          <w:rFonts w:ascii="仿宋_GB2312" w:hAnsi="Calibri" w:eastAsia="仿宋_GB2312" w:cs="Times New Roman"/>
          <w:sz w:val="32"/>
          <w:szCs w:val="32"/>
          <w:u w:val="none"/>
        </w:rPr>
        <w:t>按要求按时重新提交</w:t>
      </w:r>
      <w:r>
        <w:rPr>
          <w:rFonts w:hint="eastAsia" w:ascii="仿宋_GB2312" w:hAnsi="Calibri" w:eastAsia="仿宋_GB2312" w:cs="Times New Roman"/>
          <w:sz w:val="32"/>
          <w:szCs w:val="32"/>
          <w:u w:val="none"/>
        </w:rPr>
        <w:t>。</w:t>
      </w:r>
      <w:r>
        <w:rPr>
          <w:rFonts w:hint="default" w:ascii="仿宋_GB2312" w:hAnsi="宋体" w:eastAsia="仿宋_GB2312" w:cs="宋体"/>
          <w:color w:val="000000"/>
          <w:kern w:val="0"/>
          <w:sz w:val="32"/>
          <w:szCs w:val="32"/>
          <w:highlight w:val="none"/>
          <w:u w:val="none"/>
          <w:lang w:eastAsia="zh-CN"/>
        </w:rPr>
        <w:t>以上要求提供复印件的材料，申报单位均应留原件备查。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Times New Roman"/>
          <w:color w:val="auto"/>
          <w:sz w:val="32"/>
          <w:szCs w:val="32"/>
          <w:u w:val="none"/>
        </w:rPr>
      </w:pPr>
      <w:r>
        <w:rPr>
          <w:rFonts w:hint="eastAsia" w:ascii="黑体" w:hAnsi="黑体" w:eastAsia="黑体" w:cs="Times New Roman"/>
          <w:color w:val="auto"/>
          <w:sz w:val="32"/>
          <w:szCs w:val="32"/>
          <w:u w:val="none"/>
          <w:lang w:eastAsia="zh-CN"/>
        </w:rPr>
        <w:t>七</w:t>
      </w:r>
      <w:r>
        <w:rPr>
          <w:rFonts w:hint="eastAsia" w:ascii="黑体" w:hAnsi="黑体" w:eastAsia="黑体" w:cs="Times New Roman"/>
          <w:color w:val="auto"/>
          <w:sz w:val="32"/>
          <w:szCs w:val="32"/>
          <w:u w:val="none"/>
        </w:rPr>
        <w:t>、申请表格</w:t>
      </w:r>
    </w:p>
    <w:p>
      <w:pPr>
        <w:keepNext w:val="0"/>
        <w:keepLines w:val="0"/>
        <w:pageBreakBefore w:val="0"/>
        <w:widowControl w:val="0"/>
        <w:kinsoku/>
        <w:wordWrap/>
        <w:overflowPunct/>
        <w:topLinePunct w:val="0"/>
        <w:autoSpaceDE/>
        <w:autoSpaceDN/>
        <w:bidi w:val="0"/>
        <w:spacing w:after="0" w:afterLines="0" w:line="560" w:lineRule="exact"/>
        <w:ind w:firstLine="608" w:firstLineChars="200"/>
        <w:jc w:val="both"/>
        <w:textAlignment w:val="auto"/>
        <w:rPr>
          <w:rFonts w:ascii="仿宋_GB2312" w:hAnsi="Courier New" w:eastAsia="仿宋_GB2312" w:cs="Courier New"/>
          <w:color w:val="auto"/>
          <w:spacing w:val="-10"/>
          <w:kern w:val="2"/>
          <w:sz w:val="32"/>
          <w:szCs w:val="32"/>
          <w:u w:val="none"/>
          <w:lang w:val="en-US" w:eastAsia="zh-CN" w:bidi="ar-SA"/>
        </w:rPr>
      </w:pPr>
      <w:r>
        <w:rPr>
          <w:rFonts w:hint="eastAsia" w:ascii="仿宋_GB2312" w:hAnsi="宋体" w:eastAsia="仿宋_GB2312" w:cs="Times New Roman"/>
          <w:color w:val="auto"/>
          <w:spacing w:val="-8"/>
          <w:kern w:val="2"/>
          <w:sz w:val="32"/>
          <w:szCs w:val="32"/>
          <w:u w:val="none"/>
          <w:lang w:val="en-US" w:eastAsia="zh-CN" w:bidi="ar-SA"/>
        </w:rPr>
        <w:t>本指南</w:t>
      </w:r>
      <w:r>
        <w:rPr>
          <w:rFonts w:hint="default" w:ascii="仿宋_GB2312" w:hAnsi="宋体" w:eastAsia="仿宋_GB2312" w:cs="Times New Roman"/>
          <w:color w:val="auto"/>
          <w:spacing w:val="-8"/>
          <w:kern w:val="2"/>
          <w:sz w:val="32"/>
          <w:szCs w:val="32"/>
          <w:u w:val="none"/>
          <w:lang w:val="en-US" w:eastAsia="zh-CN" w:bidi="ar-SA"/>
        </w:rPr>
        <w:t>第六条（一）</w:t>
      </w:r>
      <w:r>
        <w:rPr>
          <w:rFonts w:hint="eastAsia" w:ascii="仿宋_GB2312" w:hAnsi="宋体" w:eastAsia="仿宋_GB2312" w:cs="Times New Roman"/>
          <w:color w:val="auto"/>
          <w:spacing w:val="-8"/>
          <w:kern w:val="2"/>
          <w:sz w:val="32"/>
          <w:szCs w:val="32"/>
          <w:u w:val="none"/>
          <w:lang w:val="en-US" w:eastAsia="zh-CN" w:bidi="ar-SA"/>
        </w:rPr>
        <w:t>规定</w:t>
      </w:r>
      <w:r>
        <w:rPr>
          <w:rFonts w:hint="default" w:ascii="仿宋_GB2312" w:hAnsi="宋体" w:eastAsia="仿宋_GB2312" w:cs="Times New Roman"/>
          <w:color w:val="auto"/>
          <w:spacing w:val="-8"/>
          <w:kern w:val="2"/>
          <w:sz w:val="32"/>
          <w:szCs w:val="32"/>
          <w:u w:val="none"/>
          <w:lang w:val="en-US" w:eastAsia="zh-CN" w:bidi="ar-SA"/>
        </w:rPr>
        <w:t>的</w:t>
      </w:r>
      <w:r>
        <w:rPr>
          <w:rFonts w:hint="default" w:ascii="仿宋_GB2312" w:hAnsi="宋体" w:eastAsia="仿宋_GB2312" w:cs="宋体"/>
          <w:color w:val="000000"/>
          <w:kern w:val="0"/>
          <w:sz w:val="32"/>
          <w:szCs w:val="32"/>
          <w:highlight w:val="none"/>
          <w:u w:val="none"/>
          <w:lang w:val="en-US" w:eastAsia="zh-CN" w:bidi="ar-SA"/>
        </w:rPr>
        <w:t>申请书</w:t>
      </w:r>
      <w:r>
        <w:rPr>
          <w:rFonts w:hint="eastAsia" w:ascii="仿宋_GB2312" w:hAnsi="宋体" w:eastAsia="仿宋_GB2312" w:cs="Times New Roman"/>
          <w:color w:val="auto"/>
          <w:spacing w:val="-8"/>
          <w:kern w:val="2"/>
          <w:sz w:val="32"/>
          <w:szCs w:val="32"/>
          <w:u w:val="none"/>
          <w:lang w:val="en-US" w:eastAsia="zh-CN" w:bidi="ar-SA"/>
        </w:rPr>
        <w:t>登录</w:t>
      </w:r>
      <w:r>
        <w:rPr>
          <w:rFonts w:hint="default" w:ascii="仿宋_GB2312" w:hAnsi="宋体" w:eastAsia="仿宋_GB2312" w:cs="宋体"/>
          <w:color w:val="000000"/>
          <w:kern w:val="0"/>
          <w:sz w:val="32"/>
          <w:szCs w:val="32"/>
          <w:highlight w:val="none"/>
          <w:u w:val="none"/>
          <w:lang w:val="en-US" w:eastAsia="zh-CN" w:bidi="ar-SA"/>
        </w:rPr>
        <w:t>广东政务服务网在线填报（网址：http://www.gdzwfw.gov.cn/）</w:t>
      </w:r>
      <w:r>
        <w:rPr>
          <w:rFonts w:hint="eastAsia" w:ascii="仿宋_GB2312" w:hAnsi="宋体" w:eastAsia="仿宋_GB2312" w:cs="Times New Roman"/>
          <w:color w:val="auto"/>
          <w:kern w:val="2"/>
          <w:sz w:val="32"/>
          <w:szCs w:val="32"/>
          <w:u w:val="none"/>
          <w:lang w:val="en-US" w:eastAsia="zh-CN" w:bidi="ar-SA"/>
        </w:rPr>
        <w:t>。</w:t>
      </w:r>
    </w:p>
    <w:p>
      <w:pPr>
        <w:keepNext w:val="0"/>
        <w:keepLines w:val="0"/>
        <w:pageBreakBefore w:val="0"/>
        <w:numPr>
          <w:ilvl w:val="0"/>
          <w:numId w:val="1"/>
        </w:numPr>
        <w:kinsoku/>
        <w:wordWrap/>
        <w:overflowPunct/>
        <w:topLinePunct w:val="0"/>
        <w:autoSpaceDE/>
        <w:autoSpaceDN/>
        <w:bidi w:val="0"/>
        <w:spacing w:line="560" w:lineRule="exact"/>
        <w:ind w:firstLine="645"/>
        <w:textAlignment w:val="auto"/>
        <w:rPr>
          <w:rFonts w:hint="default" w:ascii="黑体" w:hAnsi="黑体" w:eastAsia="黑体" w:cs="Times New Roman"/>
          <w:b w:val="0"/>
          <w:bCs w:val="0"/>
          <w:color w:val="000000"/>
          <w:kern w:val="2"/>
          <w:sz w:val="32"/>
          <w:szCs w:val="32"/>
          <w:u w:val="none"/>
          <w:lang w:eastAsia="zh-CN"/>
        </w:rPr>
      </w:pPr>
      <w:r>
        <w:rPr>
          <w:rFonts w:hint="default" w:ascii="黑体" w:hAnsi="黑体" w:eastAsia="黑体" w:cs="Times New Roman"/>
          <w:b w:val="0"/>
          <w:bCs w:val="0"/>
          <w:color w:val="000000"/>
          <w:kern w:val="2"/>
          <w:sz w:val="32"/>
          <w:szCs w:val="32"/>
          <w:u w:val="none"/>
          <w:lang w:eastAsia="zh-CN"/>
        </w:rPr>
        <w:t>受理信息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（一）受理机关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1.网络填报时间：</w:t>
      </w:r>
      <w:r>
        <w:rPr>
          <w:rFonts w:hint="eastAsia" w:ascii="仿宋_GB2312" w:hAnsi="宋体" w:eastAsia="仿宋_GB2312" w:cs="宋体"/>
          <w:kern w:val="0"/>
          <w:sz w:val="32"/>
          <w:szCs w:val="32"/>
          <w:u w:val="none"/>
        </w:rPr>
        <w:t>202</w:t>
      </w:r>
      <w:r>
        <w:rPr>
          <w:rFonts w:hint="default" w:ascii="仿宋_GB2312" w:hAnsi="宋体" w:eastAsia="仿宋_GB2312" w:cs="宋体"/>
          <w:kern w:val="0"/>
          <w:sz w:val="32"/>
          <w:szCs w:val="32"/>
          <w:u w:val="none"/>
        </w:rPr>
        <w:t>6</w:t>
      </w:r>
      <w:r>
        <w:rPr>
          <w:rFonts w:hint="eastAsia" w:ascii="仿宋_GB2312" w:hAnsi="宋体" w:eastAsia="仿宋_GB2312" w:cs="宋体"/>
          <w:kern w:val="0"/>
          <w:sz w:val="32"/>
          <w:szCs w:val="32"/>
          <w:u w:val="none"/>
        </w:rPr>
        <w:t>年</w:t>
      </w:r>
      <w:r>
        <w:rPr>
          <w:rFonts w:hint="default" w:ascii="仿宋_GB2312" w:hAnsi="宋体" w:eastAsia="仿宋_GB2312" w:cs="宋体"/>
          <w:kern w:val="0"/>
          <w:sz w:val="32"/>
          <w:szCs w:val="32"/>
          <w:u w:val="none"/>
        </w:rPr>
        <w:t>4</w:t>
      </w:r>
      <w:r>
        <w:rPr>
          <w:rFonts w:hint="eastAsia" w:ascii="仿宋_GB2312" w:hAnsi="宋体" w:eastAsia="仿宋_GB2312" w:cs="宋体"/>
          <w:kern w:val="0"/>
          <w:sz w:val="32"/>
          <w:szCs w:val="32"/>
          <w:u w:val="none"/>
        </w:rPr>
        <w:t>月</w:t>
      </w:r>
      <w:r>
        <w:rPr>
          <w:rFonts w:hint="default" w:ascii="仿宋_GB2312" w:hAnsi="宋体" w:eastAsia="仿宋_GB2312" w:cs="宋体"/>
          <w:kern w:val="0"/>
          <w:sz w:val="32"/>
          <w:szCs w:val="32"/>
          <w:u w:val="none"/>
          <w:lang w:eastAsia="zh-CN"/>
        </w:rPr>
        <w:t>15</w:t>
      </w:r>
      <w:r>
        <w:rPr>
          <w:rFonts w:hint="eastAsia" w:ascii="仿宋_GB2312" w:hAnsi="宋体" w:eastAsia="仿宋_GB2312" w:cs="宋体"/>
          <w:kern w:val="0"/>
          <w:sz w:val="32"/>
          <w:szCs w:val="32"/>
          <w:u w:val="none"/>
        </w:rPr>
        <w:t>日-202</w:t>
      </w:r>
      <w:r>
        <w:rPr>
          <w:rFonts w:hint="default" w:ascii="仿宋_GB2312" w:hAnsi="宋体" w:eastAsia="仿宋_GB2312" w:cs="宋体"/>
          <w:kern w:val="0"/>
          <w:sz w:val="32"/>
          <w:szCs w:val="32"/>
          <w:u w:val="none"/>
        </w:rPr>
        <w:t>6</w:t>
      </w:r>
      <w:r>
        <w:rPr>
          <w:rFonts w:hint="eastAsia" w:ascii="仿宋_GB2312" w:hAnsi="宋体" w:eastAsia="仿宋_GB2312" w:cs="宋体"/>
          <w:kern w:val="0"/>
          <w:sz w:val="32"/>
          <w:szCs w:val="32"/>
          <w:u w:val="none"/>
        </w:rPr>
        <w:t>年</w:t>
      </w:r>
      <w:r>
        <w:rPr>
          <w:rFonts w:hint="default" w:ascii="仿宋_GB2312" w:hAnsi="宋体" w:eastAsia="仿宋_GB2312" w:cs="宋体"/>
          <w:kern w:val="0"/>
          <w:sz w:val="32"/>
          <w:szCs w:val="32"/>
          <w:u w:val="none"/>
          <w:lang w:eastAsia="zh-CN"/>
        </w:rPr>
        <w:t>4</w:t>
      </w:r>
      <w:r>
        <w:rPr>
          <w:rFonts w:hint="eastAsia" w:ascii="仿宋_GB2312" w:hAnsi="宋体" w:eastAsia="仿宋_GB2312" w:cs="宋体"/>
          <w:kern w:val="0"/>
          <w:sz w:val="32"/>
          <w:szCs w:val="32"/>
          <w:u w:val="none"/>
        </w:rPr>
        <w:t>月</w:t>
      </w:r>
      <w:r>
        <w:rPr>
          <w:rFonts w:hint="default" w:ascii="仿宋_GB2312" w:hAnsi="宋体" w:eastAsia="仿宋_GB2312" w:cs="宋体"/>
          <w:kern w:val="0"/>
          <w:sz w:val="32"/>
          <w:szCs w:val="32"/>
          <w:u w:val="none"/>
          <w:lang w:eastAsia="zh-CN"/>
        </w:rPr>
        <w:t>27</w:t>
      </w:r>
      <w:r>
        <w:rPr>
          <w:rFonts w:hint="eastAsia" w:ascii="仿宋_GB2312" w:hAnsi="宋体" w:eastAsia="仿宋_GB2312" w:cs="宋体"/>
          <w:kern w:val="0"/>
          <w:sz w:val="32"/>
          <w:szCs w:val="32"/>
          <w:u w:val="none"/>
        </w:rPr>
        <w:t>日</w:t>
      </w:r>
      <w:r>
        <w:rPr>
          <w:rFonts w:hint="eastAsia" w:ascii="仿宋_GB2312" w:hAnsi="仿宋_GB2312" w:eastAsia="仿宋_GB2312" w:cs="仿宋_GB2312"/>
          <w:sz w:val="32"/>
          <w:szCs w:val="32"/>
          <w:u w:val="none"/>
        </w:rPr>
        <w:t>18:00。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2.材料提交时间：202</w:t>
      </w:r>
      <w:r>
        <w:rPr>
          <w:rFonts w:hint="default" w:ascii="仿宋_GB2312" w:hAnsi="仿宋_GB2312" w:eastAsia="仿宋_GB2312" w:cs="仿宋_GB2312"/>
          <w:sz w:val="32"/>
          <w:szCs w:val="32"/>
          <w:u w:val="none"/>
          <w:lang w:eastAsia="zh-CN"/>
        </w:rPr>
        <w:t>6</w:t>
      </w:r>
      <w:r>
        <w:rPr>
          <w:rFonts w:hint="eastAsia" w:ascii="仿宋_GB2312" w:hAnsi="仿宋_GB2312" w:eastAsia="仿宋_GB2312" w:cs="仿宋_GB2312"/>
          <w:sz w:val="32"/>
          <w:szCs w:val="32"/>
          <w:u w:val="none"/>
        </w:rPr>
        <w:t>年</w:t>
      </w:r>
      <w:r>
        <w:rPr>
          <w:rFonts w:hint="default" w:ascii="仿宋_GB2312" w:hAnsi="宋体" w:eastAsia="仿宋_GB2312" w:cs="宋体"/>
          <w:kern w:val="0"/>
          <w:sz w:val="32"/>
          <w:szCs w:val="32"/>
          <w:u w:val="none"/>
        </w:rPr>
        <w:t>4</w:t>
      </w:r>
      <w:r>
        <w:rPr>
          <w:rFonts w:hint="eastAsia" w:ascii="仿宋_GB2312" w:hAnsi="仿宋_GB2312" w:eastAsia="仿宋_GB2312" w:cs="仿宋_GB2312"/>
          <w:sz w:val="32"/>
          <w:szCs w:val="32"/>
          <w:u w:val="none"/>
        </w:rPr>
        <w:t>月</w:t>
      </w:r>
      <w:r>
        <w:rPr>
          <w:rFonts w:hint="default" w:ascii="仿宋_GB2312" w:hAnsi="宋体" w:eastAsia="仿宋_GB2312" w:cs="宋体"/>
          <w:kern w:val="0"/>
          <w:sz w:val="32"/>
          <w:szCs w:val="32"/>
          <w:u w:val="none"/>
        </w:rPr>
        <w:t>17</w:t>
      </w:r>
      <w:r>
        <w:rPr>
          <w:rFonts w:hint="eastAsia" w:ascii="仿宋_GB2312" w:hAnsi="仿宋_GB2312" w:eastAsia="仿宋_GB2312" w:cs="仿宋_GB2312"/>
          <w:sz w:val="32"/>
          <w:szCs w:val="32"/>
          <w:u w:val="none"/>
        </w:rPr>
        <w:t>日-202</w:t>
      </w:r>
      <w:r>
        <w:rPr>
          <w:rFonts w:hint="default" w:ascii="仿宋_GB2312" w:hAnsi="仿宋_GB2312" w:eastAsia="仿宋_GB2312" w:cs="仿宋_GB2312"/>
          <w:sz w:val="32"/>
          <w:szCs w:val="32"/>
          <w:u w:val="none"/>
        </w:rPr>
        <w:t>6</w:t>
      </w:r>
      <w:r>
        <w:rPr>
          <w:rFonts w:hint="eastAsia" w:ascii="仿宋_GB2312" w:hAnsi="仿宋_GB2312" w:eastAsia="仿宋_GB2312" w:cs="仿宋_GB2312"/>
          <w:sz w:val="32"/>
          <w:szCs w:val="32"/>
          <w:u w:val="none"/>
        </w:rPr>
        <w:t>年</w:t>
      </w:r>
      <w:r>
        <w:rPr>
          <w:rFonts w:hint="default" w:ascii="仿宋_GB2312" w:hAnsi="宋体" w:eastAsia="仿宋_GB2312" w:cs="宋体"/>
          <w:kern w:val="0"/>
          <w:sz w:val="32"/>
          <w:szCs w:val="32"/>
          <w:u w:val="none"/>
        </w:rPr>
        <w:t>4</w:t>
      </w:r>
      <w:r>
        <w:rPr>
          <w:rFonts w:hint="eastAsia" w:ascii="仿宋_GB2312" w:hAnsi="仿宋_GB2312" w:eastAsia="仿宋_GB2312" w:cs="仿宋_GB2312"/>
          <w:sz w:val="32"/>
          <w:szCs w:val="32"/>
          <w:u w:val="none"/>
        </w:rPr>
        <w:t>月</w:t>
      </w:r>
      <w:r>
        <w:rPr>
          <w:rFonts w:hint="default" w:ascii="仿宋_GB2312" w:hAnsi="宋体" w:eastAsia="仿宋_GB2312" w:cs="宋体"/>
          <w:kern w:val="0"/>
          <w:sz w:val="32"/>
          <w:szCs w:val="32"/>
          <w:u w:val="none"/>
        </w:rPr>
        <w:t>30</w:t>
      </w:r>
      <w:r>
        <w:rPr>
          <w:rFonts w:hint="eastAsia" w:ascii="仿宋_GB2312" w:hAnsi="仿宋_GB2312" w:eastAsia="仿宋_GB2312" w:cs="仿宋_GB2312"/>
          <w:sz w:val="32"/>
          <w:szCs w:val="32"/>
          <w:u w:val="none"/>
        </w:rPr>
        <w:t>日1</w:t>
      </w:r>
      <w:r>
        <w:rPr>
          <w:rFonts w:hint="default" w:ascii="仿宋_GB2312" w:hAnsi="仿宋_GB2312" w:eastAsia="仿宋_GB2312" w:cs="仿宋_GB2312"/>
          <w:sz w:val="32"/>
          <w:szCs w:val="32"/>
          <w:u w:val="none"/>
        </w:rPr>
        <w:t>7</w:t>
      </w:r>
      <w:r>
        <w:rPr>
          <w:rFonts w:hint="eastAsia" w:ascii="仿宋_GB2312" w:hAnsi="仿宋_GB2312" w:eastAsia="仿宋_GB2312" w:cs="仿宋_GB2312"/>
          <w:sz w:val="32"/>
          <w:szCs w:val="32"/>
          <w:u w:val="none"/>
        </w:rPr>
        <w:t>:</w:t>
      </w:r>
      <w:r>
        <w:rPr>
          <w:rFonts w:hint="default" w:ascii="仿宋_GB2312" w:hAnsi="仿宋_GB2312" w:eastAsia="仿宋_GB2312" w:cs="仿宋_GB2312"/>
          <w:sz w:val="32"/>
          <w:szCs w:val="32"/>
          <w:u w:val="none"/>
        </w:rPr>
        <w:t>30</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申报单位在上述规定时间内在线填报、提交材料，逾期不予受理。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（三）受理地点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highlight w:val="none"/>
          <w:lang w:val="en-US" w:eastAsia="zh-CN"/>
        </w:rPr>
        <w:t>深圳市福田区福中三路市民中心B区市政务服务中心西厅综合窗口（注：为提交工作效率，到深圳市政务服务中心提交材料需提前预约。预约指南：“i深圳”APP，操作流程：【办事预约】—【深圳市】—【深圳市政务服务中心-西厅】—【在线预约】</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请按照预约时段，错峰提交材料）</w:t>
      </w:r>
      <w:r>
        <w:rPr>
          <w:rFonts w:hint="default"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（四）咨询电话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default" w:ascii="仿宋_GB2312" w:hAnsi="仿宋_GB2312" w:eastAsia="仿宋_GB2312" w:cs="仿宋_GB2312"/>
          <w:sz w:val="32"/>
          <w:szCs w:val="32"/>
          <w:u w:val="none"/>
        </w:rPr>
        <w:t>0755-88102384</w:t>
      </w:r>
      <w:r>
        <w:rPr>
          <w:rFonts w:hint="eastAsia" w:ascii="仿宋_GB2312" w:hAnsi="仿宋_GB2312" w:eastAsia="仿宋_GB2312" w:cs="仿宋_GB2312"/>
          <w:sz w:val="32"/>
          <w:szCs w:val="32"/>
          <w:u w:val="none"/>
        </w:rPr>
        <w:t>（工作日上午9:00-12:00，下午2:00-6:00）</w:t>
      </w:r>
      <w:r>
        <w:rPr>
          <w:rFonts w:hint="eastAsia" w:ascii="仿宋_GB2312" w:hAnsi="仿宋_GB2312" w:eastAsia="仿宋_GB2312" w:cs="仿宋_GB2312"/>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u w:val="none"/>
        </w:rPr>
      </w:pPr>
      <w:r>
        <w:rPr>
          <w:rFonts w:hint="eastAsia" w:ascii="黑体" w:hAnsi="黑体" w:eastAsia="黑体" w:cs="Times New Roman"/>
          <w:sz w:val="32"/>
          <w:szCs w:val="32"/>
          <w:u w:val="none"/>
        </w:rPr>
        <w:t>九、申请决定机关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sz w:val="32"/>
          <w:szCs w:val="32"/>
          <w:u w:val="none"/>
        </w:rPr>
      </w:pPr>
      <w:r>
        <w:rPr>
          <w:rFonts w:hint="eastAsia" w:ascii="仿宋_GB2312" w:hAnsi="Calibri" w:eastAsia="仿宋_GB2312" w:cs="Times New Roman"/>
          <w:sz w:val="32"/>
          <w:szCs w:val="32"/>
          <w:u w:val="none"/>
        </w:rPr>
        <w:t>深圳市商务局</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u w:val="none"/>
        </w:rPr>
      </w:pPr>
      <w:r>
        <w:rPr>
          <w:rFonts w:hint="eastAsia" w:ascii="黑体" w:hAnsi="黑体" w:eastAsia="黑体" w:cs="Times New Roman"/>
          <w:sz w:val="32"/>
          <w:szCs w:val="32"/>
          <w:u w:val="none"/>
        </w:rPr>
        <w:t>十、办理流程</w:t>
      </w:r>
      <w:r>
        <w:rPr>
          <w:rFonts w:hint="eastAsia" w:ascii="黑体" w:hAnsi="黑体" w:eastAsia="黑体" w:cs="Times New Roman"/>
          <w:sz w:val="32"/>
          <w:szCs w:val="32"/>
          <w:u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Times New Roman"/>
          <w:sz w:val="32"/>
          <w:szCs w:val="32"/>
          <w:u w:val="none"/>
        </w:rPr>
      </w:pPr>
      <w:r>
        <w:rPr>
          <w:rFonts w:hint="eastAsia" w:ascii="仿宋_GB2312" w:hAnsi="仿宋_GB2312" w:eastAsia="仿宋_GB2312" w:cs="Times New Roman"/>
          <w:sz w:val="32"/>
          <w:szCs w:val="32"/>
          <w:u w:val="none"/>
        </w:rPr>
        <w:t>市商务局发布申报指南——申报单位网上申报——初审——</w:t>
      </w:r>
      <w:r>
        <w:rPr>
          <w:rFonts w:hint="eastAsia" w:ascii="仿宋_GB2312" w:hAnsi="Calibri" w:eastAsia="仿宋_GB2312" w:cs="Times New Roman"/>
          <w:b w:val="0"/>
          <w:bCs w:val="0"/>
          <w:color w:val="auto"/>
          <w:sz w:val="32"/>
          <w:szCs w:val="32"/>
        </w:rPr>
        <w:t>申请单位向市政务服务中心收文窗口提交申请材料</w:t>
      </w:r>
      <w:r>
        <w:rPr>
          <w:rFonts w:hint="default" w:ascii="仿宋_GB2312" w:hAnsi="仿宋_GB2312" w:eastAsia="仿宋_GB2312" w:cs="Times New Roman"/>
          <w:sz w:val="32"/>
          <w:szCs w:val="32"/>
          <w:highlight w:val="none"/>
          <w:u w:val="none"/>
        </w:rPr>
        <w:t>——</w:t>
      </w:r>
      <w:r>
        <w:rPr>
          <w:rFonts w:hint="eastAsia" w:ascii="仿宋_GB2312" w:hAnsi="仿宋_GB2312" w:eastAsia="仿宋_GB2312" w:cs="Times New Roman"/>
          <w:sz w:val="32"/>
          <w:szCs w:val="32"/>
          <w:u w:val="none"/>
        </w:rPr>
        <w:t>形式审查——资质审查</w:t>
      </w:r>
      <w:r>
        <w:rPr>
          <w:rFonts w:hint="default" w:ascii="仿宋_GB2312" w:hAnsi="仿宋_GB2312" w:eastAsia="仿宋_GB2312" w:cs="Times New Roman"/>
          <w:sz w:val="32"/>
          <w:szCs w:val="32"/>
          <w:u w:val="none"/>
        </w:rPr>
        <w:t>——</w:t>
      </w:r>
      <w:r>
        <w:rPr>
          <w:rFonts w:hint="eastAsia" w:ascii="仿宋_GB2312" w:hAnsi="仿宋_GB2312" w:eastAsia="仿宋_GB2312" w:cs="Times New Roman"/>
          <w:sz w:val="32"/>
          <w:szCs w:val="32"/>
          <w:u w:val="none"/>
        </w:rPr>
        <w:t>专项审计——</w:t>
      </w:r>
      <w:r>
        <w:rPr>
          <w:rFonts w:hint="default" w:ascii="仿宋_GB2312" w:hAnsi="仿宋_GB2312" w:eastAsia="仿宋_GB2312" w:cs="Times New Roman"/>
          <w:sz w:val="32"/>
          <w:szCs w:val="32"/>
          <w:u w:val="none"/>
        </w:rPr>
        <w:t>征求相关单位意见</w:t>
      </w:r>
      <w:r>
        <w:rPr>
          <w:rFonts w:hint="eastAsia" w:ascii="仿宋_GB2312" w:hAnsi="仿宋_GB2312" w:eastAsia="仿宋_GB2312" w:cs="Times New Roman"/>
          <w:sz w:val="32"/>
          <w:szCs w:val="32"/>
          <w:u w:val="none"/>
        </w:rPr>
        <w:t>（根据需要核查比对：资质情况、统计数据，是否存在重复资助情形、有无重大违法违规行为</w:t>
      </w:r>
      <w:r>
        <w:rPr>
          <w:rFonts w:hint="default" w:ascii="仿宋_GB2312" w:hAnsi="仿宋_GB2312" w:eastAsia="仿宋_GB2312" w:cs="Times New Roman"/>
          <w:sz w:val="32"/>
          <w:szCs w:val="32"/>
          <w:u w:val="none"/>
        </w:rPr>
        <w:t>，</w:t>
      </w:r>
      <w:r>
        <w:rPr>
          <w:rFonts w:hint="eastAsia" w:ascii="仿宋_GB2312" w:hAnsi="仿宋_GB2312" w:eastAsia="仿宋_GB2312" w:cs="Times New Roman"/>
          <w:sz w:val="32"/>
          <w:szCs w:val="32"/>
          <w:u w:val="none"/>
        </w:rPr>
        <w:t>有否被列入</w:t>
      </w:r>
      <w:r>
        <w:rPr>
          <w:rFonts w:hint="default" w:ascii="仿宋_GB2312" w:hAnsi="仿宋_GB2312" w:eastAsia="仿宋_GB2312" w:cs="Times New Roman"/>
          <w:sz w:val="32"/>
          <w:szCs w:val="32"/>
          <w:u w:val="none"/>
        </w:rPr>
        <w:t>严重违法</w:t>
      </w:r>
      <w:r>
        <w:rPr>
          <w:rFonts w:hint="eastAsia" w:ascii="仿宋_GB2312" w:hAnsi="仿宋_GB2312" w:eastAsia="仿宋_GB2312" w:cs="Times New Roman"/>
          <w:sz w:val="32"/>
          <w:szCs w:val="32"/>
          <w:u w:val="none"/>
        </w:rPr>
        <w:t>失信惩戒名单、有无拖欠应缴还的财政性资金等情况）——拟定</w:t>
      </w:r>
      <w:r>
        <w:rPr>
          <w:rFonts w:hint="default" w:ascii="仿宋_GB2312" w:hAnsi="仿宋_GB2312" w:eastAsia="仿宋_GB2312" w:cs="Times New Roman"/>
          <w:sz w:val="32"/>
          <w:szCs w:val="32"/>
          <w:u w:val="none"/>
        </w:rPr>
        <w:t>资助</w:t>
      </w:r>
      <w:r>
        <w:rPr>
          <w:rFonts w:hint="eastAsia" w:ascii="仿宋_GB2312" w:hAnsi="仿宋_GB2312" w:eastAsia="仿宋_GB2312" w:cs="Times New Roman"/>
          <w:sz w:val="32"/>
          <w:szCs w:val="32"/>
          <w:u w:val="none"/>
        </w:rPr>
        <w:t>计划——社会公示——</w:t>
      </w:r>
      <w:r>
        <w:rPr>
          <w:rFonts w:hint="default" w:ascii="仿宋_GB2312" w:hAnsi="仿宋_GB2312" w:eastAsia="仿宋_GB2312" w:cs="Times New Roman"/>
          <w:sz w:val="32"/>
          <w:szCs w:val="32"/>
          <w:u w:val="none"/>
        </w:rPr>
        <w:t>下达通知</w:t>
      </w:r>
      <w:r>
        <w:rPr>
          <w:rFonts w:hint="eastAsia" w:ascii="仿宋_GB2312" w:hAnsi="仿宋_GB2312" w:eastAsia="仿宋_GB2312" w:cs="Times New Roman"/>
          <w:sz w:val="32"/>
          <w:szCs w:val="32"/>
          <w:u w:val="none"/>
        </w:rPr>
        <w:t>——申报单位提交拨付资料——拨付资金。</w:t>
      </w:r>
    </w:p>
    <w:p>
      <w:pPr>
        <w:keepNext w:val="0"/>
        <w:keepLines w:val="0"/>
        <w:pageBreakBefore w:val="0"/>
        <w:kinsoku/>
        <w:wordWrap/>
        <w:overflowPunct/>
        <w:topLinePunct w:val="0"/>
        <w:autoSpaceDE/>
        <w:autoSpaceDN/>
        <w:bidi w:val="0"/>
        <w:spacing w:line="560" w:lineRule="exact"/>
        <w:ind w:firstLine="630"/>
        <w:textAlignment w:val="auto"/>
        <w:rPr>
          <w:rFonts w:hint="default" w:ascii="黑体" w:hAnsi="黑体" w:eastAsia="黑体" w:cs="黑体"/>
          <w:b w:val="0"/>
          <w:bCs w:val="0"/>
          <w:color w:val="000000"/>
          <w:kern w:val="0"/>
          <w:sz w:val="32"/>
          <w:szCs w:val="32"/>
          <w:u w:val="none"/>
          <w:lang w:eastAsia="zh-CN"/>
        </w:rPr>
      </w:pPr>
      <w:r>
        <w:rPr>
          <w:rFonts w:hint="default" w:ascii="黑体" w:hAnsi="黑体" w:eastAsia="黑体" w:cs="黑体"/>
          <w:b w:val="0"/>
          <w:bCs w:val="0"/>
          <w:color w:val="000000"/>
          <w:kern w:val="0"/>
          <w:sz w:val="32"/>
          <w:szCs w:val="32"/>
          <w:u w:val="none"/>
          <w:lang w:eastAsia="zh-CN"/>
        </w:rPr>
        <w:t>十一</w:t>
      </w:r>
      <w:r>
        <w:rPr>
          <w:rFonts w:hint="eastAsia" w:ascii="黑体" w:hAnsi="黑体" w:eastAsia="黑体" w:cs="黑体"/>
          <w:b w:val="0"/>
          <w:bCs w:val="0"/>
          <w:color w:val="000000"/>
          <w:kern w:val="0"/>
          <w:sz w:val="32"/>
          <w:szCs w:val="32"/>
          <w:u w:val="none"/>
          <w:lang w:eastAsia="zh-CN"/>
        </w:rPr>
        <w:t>、</w:t>
      </w:r>
      <w:r>
        <w:rPr>
          <w:rFonts w:hint="default" w:ascii="黑体" w:hAnsi="黑体" w:eastAsia="黑体" w:cs="黑体"/>
          <w:b w:val="0"/>
          <w:bCs w:val="0"/>
          <w:color w:val="000000"/>
          <w:kern w:val="0"/>
          <w:sz w:val="32"/>
          <w:szCs w:val="32"/>
          <w:u w:val="none"/>
          <w:lang w:eastAsia="zh-CN"/>
        </w:rPr>
        <w:t>办理时限</w:t>
      </w:r>
    </w:p>
    <w:p>
      <w:pPr>
        <w:keepNext w:val="0"/>
        <w:keepLines w:val="0"/>
        <w:pageBreakBefore w:val="0"/>
        <w:kinsoku/>
        <w:wordWrap/>
        <w:overflowPunct/>
        <w:topLinePunct w:val="0"/>
        <w:autoSpaceDE/>
        <w:autoSpaceDN/>
        <w:bidi w:val="0"/>
        <w:spacing w:line="560" w:lineRule="exact"/>
        <w:ind w:firstLine="630"/>
        <w:textAlignment w:val="auto"/>
        <w:rPr>
          <w:rFonts w:hint="default" w:ascii="仿宋_GB2312" w:hAnsi="仿宋_GB2312" w:eastAsia="仿宋_GB2312" w:cs="仿宋_GB2312"/>
          <w:b w:val="0"/>
          <w:bCs w:val="0"/>
          <w:color w:val="000000"/>
          <w:kern w:val="0"/>
          <w:sz w:val="32"/>
          <w:szCs w:val="32"/>
          <w:u w:val="none"/>
          <w:lang w:eastAsia="zh-CN"/>
        </w:rPr>
      </w:pPr>
      <w:r>
        <w:rPr>
          <w:rFonts w:hint="default" w:ascii="仿宋_GB2312" w:hAnsi="仿宋_GB2312" w:eastAsia="仿宋_GB2312" w:cs="仿宋_GB2312"/>
          <w:bCs w:val="0"/>
          <w:color w:val="000000"/>
          <w:kern w:val="0"/>
          <w:sz w:val="32"/>
          <w:szCs w:val="32"/>
          <w:u w:val="none"/>
          <w:lang w:val="en-US" w:eastAsia="zh-CN"/>
        </w:rPr>
        <w:t>90</w:t>
      </w:r>
      <w:r>
        <w:rPr>
          <w:rFonts w:ascii="仿宋_GB2312" w:hAnsi="仿宋_GB2312" w:eastAsia="仿宋_GB2312" w:cs="仿宋_GB2312"/>
          <w:color w:val="000000"/>
          <w:kern w:val="0"/>
          <w:sz w:val="32"/>
          <w:szCs w:val="32"/>
          <w:u w:val="none"/>
        </w:rPr>
        <w:t>个工作日（不包含特殊程序）</w:t>
      </w:r>
      <w:r>
        <w:rPr>
          <w:rFonts w:hint="default" w:ascii="仿宋_GB2312" w:hAnsi="仿宋_GB2312" w:eastAsia="仿宋_GB2312" w:cs="仿宋_GB2312"/>
          <w:b w:val="0"/>
          <w:bCs w:val="0"/>
          <w:color w:val="00000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Times New Roman"/>
          <w:sz w:val="32"/>
          <w:szCs w:val="32"/>
          <w:u w:val="none"/>
        </w:rPr>
      </w:pPr>
      <w:r>
        <w:rPr>
          <w:rFonts w:hint="eastAsia" w:ascii="黑体" w:hAnsi="黑体" w:eastAsia="黑体" w:cs="Times New Roman"/>
          <w:sz w:val="32"/>
          <w:szCs w:val="32"/>
          <w:u w:val="none"/>
        </w:rPr>
        <w:t>十二、证件及有效期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仿宋_GB2312" w:hAnsi="Calibri" w:eastAsia="仿宋_GB2312" w:cs="Times New Roman"/>
          <w:sz w:val="32"/>
          <w:szCs w:val="32"/>
          <w:u w:val="none"/>
        </w:rPr>
      </w:pPr>
      <w:r>
        <w:rPr>
          <w:rFonts w:hint="eastAsia" w:ascii="仿宋_GB2312" w:hAnsi="Calibri" w:eastAsia="仿宋_GB2312" w:cs="Times New Roman"/>
          <w:sz w:val="32"/>
          <w:szCs w:val="32"/>
          <w:u w:val="none"/>
        </w:rPr>
        <w:t>证件：无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仿宋_GB2312" w:hAnsi="Calibri" w:eastAsia="仿宋_GB2312" w:cs="Times New Roman"/>
          <w:sz w:val="32"/>
          <w:szCs w:val="32"/>
          <w:u w:val="none"/>
        </w:rPr>
      </w:pPr>
      <w:r>
        <w:rPr>
          <w:rFonts w:hint="eastAsia" w:ascii="仿宋_GB2312" w:hAnsi="Calibri" w:eastAsia="仿宋_GB2312" w:cs="Times New Roman"/>
          <w:sz w:val="32"/>
          <w:szCs w:val="32"/>
          <w:u w:val="none"/>
        </w:rPr>
        <w:t>有效期限：无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Times New Roman"/>
          <w:sz w:val="32"/>
          <w:szCs w:val="32"/>
          <w:u w:val="none"/>
        </w:rPr>
      </w:pPr>
      <w:r>
        <w:rPr>
          <w:rFonts w:hint="eastAsia" w:ascii="黑体" w:hAnsi="黑体" w:eastAsia="黑体" w:cs="Times New Roman"/>
          <w:sz w:val="32"/>
          <w:szCs w:val="32"/>
          <w:u w:val="none"/>
        </w:rPr>
        <w:t>十三、证件的法律效力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Calibri" w:eastAsia="仿宋_GB2312" w:cs="Times New Roman"/>
          <w:sz w:val="32"/>
          <w:szCs w:val="32"/>
          <w:u w:val="none"/>
        </w:rPr>
      </w:pPr>
      <w:r>
        <w:rPr>
          <w:rFonts w:hint="eastAsia" w:ascii="仿宋_GB2312" w:hAnsi="Calibri" w:eastAsia="仿宋_GB2312" w:cs="Times New Roman"/>
          <w:sz w:val="32"/>
          <w:szCs w:val="32"/>
          <w:u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Times New Roman"/>
          <w:sz w:val="32"/>
          <w:szCs w:val="32"/>
          <w:u w:val="none"/>
        </w:rPr>
      </w:pPr>
      <w:r>
        <w:rPr>
          <w:rFonts w:hint="eastAsia" w:ascii="黑体" w:hAnsi="黑体" w:eastAsia="黑体" w:cs="Times New Roman"/>
          <w:sz w:val="32"/>
          <w:szCs w:val="32"/>
          <w:u w:val="none"/>
        </w:rPr>
        <w:t>十四、收费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Calibri" w:eastAsia="仿宋_GB2312" w:cs="Times New Roman"/>
          <w:sz w:val="32"/>
          <w:szCs w:val="32"/>
          <w:u w:val="none"/>
        </w:rPr>
      </w:pPr>
      <w:r>
        <w:rPr>
          <w:rFonts w:hint="eastAsia" w:ascii="仿宋_GB2312" w:hAnsi="Calibri" w:eastAsia="仿宋_GB2312" w:cs="Times New Roman"/>
          <w:sz w:val="32"/>
          <w:szCs w:val="32"/>
          <w:u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Times New Roman"/>
          <w:sz w:val="32"/>
          <w:szCs w:val="32"/>
          <w:u w:val="none"/>
        </w:rPr>
      </w:pPr>
      <w:r>
        <w:rPr>
          <w:rFonts w:hint="eastAsia" w:ascii="黑体" w:hAnsi="黑体" w:eastAsia="黑体" w:cs="Times New Roman"/>
          <w:sz w:val="32"/>
          <w:szCs w:val="32"/>
          <w:u w:val="none"/>
        </w:rPr>
        <w:t>十五、年审或年检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Times New Roman"/>
          <w:sz w:val="32"/>
          <w:szCs w:val="32"/>
          <w:u w:val="none"/>
        </w:rPr>
      </w:pPr>
      <w:r>
        <w:rPr>
          <w:rFonts w:hint="eastAsia" w:ascii="仿宋_GB2312" w:hAnsi="Calibri" w:eastAsia="仿宋_GB2312" w:cs="Times New Roman"/>
          <w:sz w:val="32"/>
          <w:szCs w:val="32"/>
          <w:u w:val="none"/>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Times New Roman"/>
          <w:sz w:val="32"/>
          <w:szCs w:val="32"/>
          <w:u w:val="none"/>
        </w:rPr>
      </w:pPr>
      <w:r>
        <w:rPr>
          <w:rFonts w:hint="default" w:ascii="黑体" w:hAnsi="黑体" w:eastAsia="黑体" w:cs="Times New Roman"/>
          <w:sz w:val="32"/>
          <w:szCs w:val="32"/>
          <w:u w:val="none"/>
        </w:rPr>
        <w:t>十六</w:t>
      </w:r>
      <w:r>
        <w:rPr>
          <w:rFonts w:hint="eastAsia" w:ascii="黑体" w:hAnsi="黑体" w:eastAsia="黑体" w:cs="Times New Roman"/>
          <w:sz w:val="32"/>
          <w:szCs w:val="32"/>
          <w:u w:val="none"/>
        </w:rPr>
        <w:t>、监督检查和补充说明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sz w:val="32"/>
          <w:szCs w:val="32"/>
          <w:u w:val="none"/>
        </w:rPr>
      </w:pPr>
      <w:r>
        <w:rPr>
          <w:rFonts w:hint="default" w:ascii="仿宋_GB2312" w:hAnsi="Calibri" w:eastAsia="仿宋_GB2312" w:cs="Times New Roman"/>
          <w:sz w:val="32"/>
          <w:szCs w:val="32"/>
          <w:u w:val="none"/>
        </w:rPr>
        <w:t>（一）已经取得资助过的项目不得重复申报</w:t>
      </w:r>
      <w:r>
        <w:rPr>
          <w:rFonts w:hint="default" w:ascii="仿宋_GB2312" w:hAnsi="Calibri" w:eastAsia="仿宋_GB2312" w:cs="Times New Roman"/>
          <w:color w:val="000000"/>
          <w:sz w:val="32"/>
          <w:szCs w:val="32"/>
          <w:u w:val="none"/>
        </w:rPr>
        <w:t>中央财政资金、市级财政专项资金</w:t>
      </w:r>
      <w:r>
        <w:rPr>
          <w:rFonts w:hint="default" w:ascii="仿宋_GB2312" w:hAnsi="Calibri" w:eastAsia="仿宋_GB2312" w:cs="Times New Roman"/>
          <w:sz w:val="32"/>
          <w:szCs w:val="32"/>
          <w:u w:val="none"/>
        </w:rPr>
        <w:t>。同一单位建设内容相同或部分相同项目、同一笔费用支出不得向市有关部门多头申报。经核实属重复申报或多头申报的项目，将取消该单位的申报资格并追究责任。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u w:val="none"/>
        </w:rPr>
      </w:pPr>
      <w:r>
        <w:rPr>
          <w:rFonts w:hint="eastAsia" w:ascii="仿宋_GB2312" w:hAnsi="Calibri" w:eastAsia="仿宋_GB2312" w:cs="Times New Roman"/>
          <w:sz w:val="32"/>
          <w:szCs w:val="32"/>
          <w:u w:val="none"/>
        </w:rPr>
        <w:t>（</w:t>
      </w:r>
      <w:r>
        <w:rPr>
          <w:rFonts w:hint="default" w:ascii="仿宋_GB2312" w:hAnsi="Calibri" w:eastAsia="仿宋_GB2312" w:cs="Times New Roman"/>
          <w:sz w:val="32"/>
          <w:szCs w:val="32"/>
          <w:u w:val="none"/>
        </w:rPr>
        <w:t>二</w:t>
      </w:r>
      <w:r>
        <w:rPr>
          <w:rFonts w:hint="eastAsia" w:ascii="仿宋_GB2312" w:hAnsi="Calibri" w:eastAsia="仿宋_GB2312" w:cs="Times New Roman"/>
          <w:sz w:val="32"/>
          <w:szCs w:val="32"/>
          <w:u w:val="none"/>
        </w:rPr>
        <w:t>）市商务局从未委托任何单位和个人为申报单位代理专项资金扶持计划项目申报事宜，申报单位应自主申报。我局严格按照有关规定和程序受理申请，不收取任何费用。如有任何中介机构和个人假借我局或工作人员名义向申报单位收取费用的，请向我局举报</w:t>
      </w:r>
      <w:r>
        <w:rPr>
          <w:rFonts w:hint="default" w:ascii="仿宋_GB2312" w:hAnsi="Calibri" w:eastAsia="仿宋_GB2312" w:cs="Times New Roman"/>
          <w:sz w:val="32"/>
          <w:szCs w:val="32"/>
          <w:u w:val="none"/>
        </w:rPr>
        <w:t>（举报电话：0755-88102384）</w:t>
      </w:r>
      <w:r>
        <w:rPr>
          <w:rFonts w:hint="eastAsia" w:ascii="仿宋_GB2312" w:hAnsi="Calibri" w:eastAsia="仿宋_GB2312" w:cs="Times New Roman"/>
          <w:sz w:val="32"/>
          <w:szCs w:val="32"/>
          <w:u w:val="none"/>
        </w:rPr>
        <w:t>。</w:t>
      </w:r>
    </w:p>
    <w:p>
      <w:pPr>
        <w:keepNext w:val="0"/>
        <w:keepLines w:val="0"/>
        <w:pageBreakBefore w:val="0"/>
        <w:kinsoku/>
        <w:wordWrap/>
        <w:overflowPunct/>
        <w:topLinePunct w:val="0"/>
        <w:autoSpaceDE/>
        <w:autoSpaceDN/>
        <w:bidi w:val="0"/>
        <w:spacing w:line="560" w:lineRule="exact"/>
        <w:ind w:firstLine="640" w:firstLineChars="200"/>
        <w:contextualSpacing/>
        <w:textAlignment w:val="auto"/>
        <w:outlineLvl w:val="0"/>
        <w:rPr>
          <w:rFonts w:ascii="仿宋_GB2312" w:hAnsi="Calibri" w:eastAsia="仿宋_GB2312" w:cs="Times New Roman"/>
          <w:sz w:val="32"/>
          <w:szCs w:val="32"/>
          <w:u w:val="none"/>
        </w:rPr>
      </w:pPr>
      <w:r>
        <w:rPr>
          <w:rFonts w:hint="eastAsia" w:ascii="仿宋_GB2312" w:hAnsi="Calibri" w:eastAsia="仿宋_GB2312" w:cs="Times New Roman"/>
          <w:sz w:val="32"/>
          <w:szCs w:val="32"/>
          <w:u w:val="none"/>
        </w:rPr>
        <w:t>（</w:t>
      </w:r>
      <w:r>
        <w:rPr>
          <w:rFonts w:hint="default" w:ascii="仿宋_GB2312" w:hAnsi="Calibri" w:eastAsia="仿宋_GB2312" w:cs="Times New Roman"/>
          <w:sz w:val="32"/>
          <w:szCs w:val="32"/>
          <w:u w:val="none"/>
        </w:rPr>
        <w:t>三</w:t>
      </w:r>
      <w:r>
        <w:rPr>
          <w:rFonts w:hint="eastAsia" w:ascii="仿宋_GB2312" w:hAnsi="Calibri" w:eastAsia="仿宋_GB2312" w:cs="Times New Roman"/>
          <w:sz w:val="32"/>
          <w:szCs w:val="32"/>
          <w:u w:val="none"/>
        </w:rPr>
        <w:t>）获得资金支持的</w:t>
      </w:r>
      <w:r>
        <w:rPr>
          <w:rFonts w:hint="default" w:ascii="仿宋_GB2312" w:hAnsi="Calibri" w:eastAsia="仿宋_GB2312" w:cs="Times New Roman"/>
          <w:sz w:val="32"/>
          <w:szCs w:val="32"/>
          <w:u w:val="none"/>
        </w:rPr>
        <w:t>申报单位</w:t>
      </w:r>
      <w:r>
        <w:rPr>
          <w:rFonts w:hint="eastAsia" w:ascii="仿宋_GB2312" w:hAnsi="Calibri" w:eastAsia="仿宋_GB2312" w:cs="Times New Roman"/>
          <w:sz w:val="32"/>
          <w:szCs w:val="32"/>
          <w:u w:val="none"/>
        </w:rPr>
        <w:t>，应当按照国家有关财务制度规定进行管理和使用，按照国家统一的会计制度进行会计核算，并自觉接受财政、商务、审计等部门的监督检查。配合商务部门开展业务、资金统计监测，妥善保管项目申报材料。</w:t>
      </w:r>
    </w:p>
    <w:p>
      <w:pPr>
        <w:keepNext w:val="0"/>
        <w:keepLines w:val="0"/>
        <w:pageBreakBefore w:val="0"/>
        <w:kinsoku/>
        <w:wordWrap/>
        <w:overflowPunct/>
        <w:topLinePunct w:val="0"/>
        <w:autoSpaceDE/>
        <w:autoSpaceDN/>
        <w:bidi w:val="0"/>
        <w:spacing w:line="560" w:lineRule="exact"/>
        <w:ind w:firstLine="640" w:firstLineChars="200"/>
        <w:contextualSpacing/>
        <w:textAlignment w:val="auto"/>
        <w:outlineLvl w:val="0"/>
        <w:rPr>
          <w:rFonts w:hint="eastAsia" w:ascii="仿宋_GB2312" w:hAnsi="Calibri" w:eastAsia="仿宋_GB2312" w:cs="Times New Roman"/>
          <w:sz w:val="32"/>
          <w:szCs w:val="32"/>
          <w:u w:val="none"/>
        </w:rPr>
      </w:pPr>
      <w:r>
        <w:rPr>
          <w:rFonts w:hint="eastAsia" w:ascii="仿宋_GB2312" w:hAnsi="Calibri" w:eastAsia="仿宋_GB2312" w:cs="Times New Roman"/>
          <w:sz w:val="32"/>
          <w:szCs w:val="32"/>
          <w:u w:val="none"/>
        </w:rPr>
        <w:t>（</w:t>
      </w:r>
      <w:r>
        <w:rPr>
          <w:rFonts w:hint="default" w:ascii="仿宋_GB2312" w:hAnsi="Calibri" w:eastAsia="仿宋_GB2312" w:cs="Times New Roman"/>
          <w:sz w:val="32"/>
          <w:szCs w:val="32"/>
          <w:u w:val="none"/>
        </w:rPr>
        <w:t>四</w:t>
      </w:r>
      <w:r>
        <w:rPr>
          <w:rFonts w:hint="eastAsia" w:ascii="仿宋_GB2312" w:hAnsi="Calibri" w:eastAsia="仿宋_GB2312" w:cs="Times New Roman"/>
          <w:sz w:val="32"/>
          <w:szCs w:val="32"/>
          <w:u w:val="none"/>
        </w:rPr>
        <w:t>）</w:t>
      </w:r>
      <w:r>
        <w:rPr>
          <w:rFonts w:hint="default" w:ascii="仿宋_GB2312" w:hAnsi="Calibri" w:eastAsia="仿宋_GB2312" w:cs="Times New Roman"/>
          <w:sz w:val="32"/>
          <w:szCs w:val="32"/>
          <w:u w:val="none"/>
        </w:rPr>
        <w:t>申报单位</w:t>
      </w:r>
      <w:r>
        <w:rPr>
          <w:rFonts w:hint="eastAsia" w:ascii="仿宋_GB2312" w:hAnsi="Calibri" w:eastAsia="仿宋_GB2312" w:cs="Times New Roman"/>
          <w:sz w:val="32"/>
          <w:szCs w:val="32"/>
          <w:u w:val="none"/>
        </w:rPr>
        <w:t>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keepNext w:val="0"/>
        <w:keepLines w:val="0"/>
        <w:pageBreakBefore w:val="0"/>
        <w:kinsoku/>
        <w:wordWrap/>
        <w:overflowPunct/>
        <w:topLinePunct w:val="0"/>
        <w:autoSpaceDE/>
        <w:autoSpaceDN/>
        <w:bidi w:val="0"/>
        <w:spacing w:line="560" w:lineRule="exact"/>
        <w:ind w:firstLine="640" w:firstLineChars="200"/>
        <w:contextualSpacing/>
        <w:textAlignment w:val="auto"/>
        <w:outlineLvl w:val="0"/>
        <w:rPr>
          <w:rFonts w:hint="eastAsia" w:ascii="仿宋_GB2312" w:hAnsi="Calibri" w:eastAsia="仿宋_GB2312" w:cs="Times New Roman"/>
          <w:sz w:val="32"/>
          <w:szCs w:val="32"/>
          <w:u w:val="none"/>
        </w:rPr>
      </w:pPr>
      <w:r>
        <w:rPr>
          <w:rFonts w:hint="eastAsia" w:ascii="仿宋_GB2312" w:hAnsi="Calibri" w:eastAsia="仿宋_GB2312" w:cs="Times New Roman"/>
          <w:sz w:val="32"/>
          <w:szCs w:val="32"/>
          <w:u w:val="none"/>
        </w:rPr>
        <w:t>（</w:t>
      </w:r>
      <w:r>
        <w:rPr>
          <w:rFonts w:ascii="仿宋_GB2312" w:hAnsi="Calibri" w:eastAsia="仿宋_GB2312" w:cs="Times New Roman"/>
          <w:sz w:val="32"/>
          <w:szCs w:val="32"/>
          <w:u w:val="none"/>
        </w:rPr>
        <w:t>五</w:t>
      </w:r>
      <w:r>
        <w:rPr>
          <w:rFonts w:hint="eastAsia" w:ascii="仿宋_GB2312" w:hAnsi="Calibri" w:eastAsia="仿宋_GB2312" w:cs="Times New Roman"/>
          <w:sz w:val="32"/>
          <w:szCs w:val="32"/>
          <w:u w:val="none"/>
        </w:rPr>
        <w:t>）</w:t>
      </w:r>
      <w:r>
        <w:rPr>
          <w:rFonts w:hint="default" w:ascii="仿宋_GB2312" w:hAnsi="Calibri" w:eastAsia="仿宋_GB2312" w:cs="Times New Roman"/>
          <w:sz w:val="32"/>
          <w:szCs w:val="32"/>
          <w:u w:val="none"/>
        </w:rPr>
        <w:t>申报单位</w:t>
      </w:r>
      <w:r>
        <w:rPr>
          <w:rFonts w:hint="eastAsia" w:ascii="仿宋_GB2312" w:hAnsi="Calibri" w:eastAsia="仿宋_GB2312" w:cs="Times New Roman"/>
          <w:sz w:val="32"/>
          <w:szCs w:val="32"/>
          <w:u w:val="none"/>
        </w:rPr>
        <w:t>在项目申报期间发生企业名称、联系信息变更的，应及时联系并提供变更材料，如因未及时变更产生的后果由企业自行承担。</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sz w:val="32"/>
          <w:szCs w:val="32"/>
          <w:u w:val="none"/>
        </w:rPr>
      </w:pPr>
      <w:r>
        <w:rPr>
          <w:rFonts w:hint="eastAsia" w:ascii="仿宋_GB2312" w:hAnsi="宋体" w:eastAsia="仿宋_GB2312" w:cs="宋体"/>
          <w:kern w:val="0"/>
          <w:sz w:val="32"/>
          <w:szCs w:val="32"/>
          <w:u w:val="none"/>
        </w:rPr>
        <w:t>（</w:t>
      </w:r>
      <w:r>
        <w:rPr>
          <w:rFonts w:hint="default" w:ascii="仿宋_GB2312" w:hAnsi="宋体" w:eastAsia="仿宋_GB2312" w:cs="宋体"/>
          <w:kern w:val="0"/>
          <w:sz w:val="32"/>
          <w:szCs w:val="32"/>
          <w:u w:val="none"/>
        </w:rPr>
        <w:t>六</w:t>
      </w:r>
      <w:r>
        <w:rPr>
          <w:rFonts w:hint="eastAsia" w:ascii="仿宋_GB2312" w:hAnsi="宋体" w:eastAsia="仿宋_GB2312" w:cs="宋体"/>
          <w:kern w:val="0"/>
          <w:sz w:val="32"/>
          <w:szCs w:val="32"/>
          <w:u w:val="none"/>
        </w:rPr>
        <w:t>）资助拨款按照</w:t>
      </w:r>
      <w:r>
        <w:rPr>
          <w:rFonts w:hint="default" w:ascii="仿宋_GB2312" w:hAnsi="宋体" w:eastAsia="仿宋_GB2312" w:cs="宋体"/>
          <w:kern w:val="0"/>
          <w:sz w:val="32"/>
          <w:szCs w:val="32"/>
          <w:u w:val="none"/>
        </w:rPr>
        <w:t>企业提交的项目</w:t>
      </w:r>
      <w:r>
        <w:rPr>
          <w:rFonts w:hint="eastAsia" w:ascii="仿宋_GB2312" w:hAnsi="宋体" w:eastAsia="仿宋_GB2312" w:cs="宋体"/>
          <w:kern w:val="0"/>
          <w:sz w:val="32"/>
          <w:szCs w:val="32"/>
          <w:u w:val="none"/>
        </w:rPr>
        <w:t>申请书</w:t>
      </w:r>
      <w:r>
        <w:rPr>
          <w:rFonts w:hint="default" w:ascii="仿宋_GB2312" w:hAnsi="宋体" w:eastAsia="仿宋_GB2312" w:cs="宋体"/>
          <w:kern w:val="0"/>
          <w:sz w:val="32"/>
          <w:szCs w:val="32"/>
          <w:u w:val="none"/>
        </w:rPr>
        <w:t>中的</w:t>
      </w:r>
      <w:r>
        <w:rPr>
          <w:rFonts w:hint="eastAsia" w:ascii="仿宋_GB2312" w:hAnsi="宋体" w:eastAsia="仿宋_GB2312" w:cs="宋体"/>
          <w:kern w:val="0"/>
          <w:sz w:val="32"/>
          <w:szCs w:val="32"/>
          <w:u w:val="none"/>
        </w:rPr>
        <w:t>银行账户信息办理。因账户信息更改或企业填写错误等原因导致拨付不成功的，原则上予以办理一次拨款信息更改并再次拨付。</w:t>
      </w:r>
      <w:r>
        <w:rPr>
          <w:rFonts w:hint="default" w:ascii="仿宋_GB2312" w:hAnsi="宋体" w:eastAsia="仿宋_GB2312" w:cs="宋体"/>
          <w:kern w:val="0"/>
          <w:sz w:val="32"/>
          <w:szCs w:val="32"/>
          <w:u w:val="none"/>
        </w:rPr>
        <w:t>申报单位</w:t>
      </w:r>
      <w:r>
        <w:rPr>
          <w:rFonts w:hint="eastAsia" w:ascii="仿宋_GB2312" w:hAnsi="宋体" w:eastAsia="仿宋_GB2312" w:cs="Times New Roman"/>
          <w:sz w:val="32"/>
          <w:szCs w:val="32"/>
          <w:u w:val="none"/>
        </w:rPr>
        <w:t>应按照要求办理资金拨付手续。</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color w:val="000000"/>
          <w:kern w:val="0"/>
          <w:sz w:val="32"/>
          <w:szCs w:val="32"/>
          <w:u w:val="none"/>
        </w:rPr>
      </w:pPr>
      <w:r>
        <w:rPr>
          <w:rFonts w:hint="default" w:ascii="仿宋_GB2312" w:hAnsi="宋体" w:eastAsia="仿宋_GB2312" w:cs="Times New Roman"/>
          <w:sz w:val="32"/>
          <w:szCs w:val="32"/>
          <w:u w:val="none"/>
        </w:rPr>
        <w:t>（七）申报单位提交的</w:t>
      </w:r>
      <w:r>
        <w:rPr>
          <w:rFonts w:hint="default" w:ascii="仿宋_GB2312" w:hAnsi="宋体" w:eastAsia="仿宋_GB2312" w:cs="宋体"/>
          <w:color w:val="000000"/>
          <w:kern w:val="0"/>
          <w:sz w:val="32"/>
          <w:szCs w:val="32"/>
          <w:u w:val="none"/>
          <w:lang w:eastAsia="zh-CN"/>
        </w:rPr>
        <w:t>保费</w:t>
      </w:r>
      <w:r>
        <w:rPr>
          <w:rFonts w:hint="eastAsia" w:ascii="仿宋_GB2312" w:hAnsi="宋体" w:eastAsia="仿宋_GB2312" w:cs="宋体"/>
          <w:color w:val="000000"/>
          <w:kern w:val="0"/>
          <w:sz w:val="32"/>
          <w:szCs w:val="32"/>
          <w:u w:val="none"/>
        </w:rPr>
        <w:t>发票应合法有效，无效发票不予受理并取消资助。企业以作废发票申请并实际获得资助的，认定为骗取财政专项资金行为。</w:t>
      </w:r>
    </w:p>
    <w:p>
      <w:bookmarkStart w:id="0" w:name="_GoBack"/>
      <w:bookmarkEnd w:id="0"/>
    </w:p>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C1021"/>
    <w:multiLevelType w:val="singleLevel"/>
    <w:tmpl w:val="577C102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74C09"/>
    <w:rsid w:val="25C74C09"/>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2026-04-08T03:36:00Z</dcterms:created>
  <dc:creator>网站运维（陈梓标）</dc:creator>
  <cp:lastModifiedBy>网站运维（陈梓标）</cp:lastModifiedBy>
  <dcterms:modified xsi:type="dcterms:W3CDTF">2026-04-08T03:37:15Z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